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2D11" w14:textId="153544EF" w:rsidR="009E7B40" w:rsidRDefault="009E7B40" w:rsidP="02CE7042">
      <w:pPr>
        <w:jc w:val="center"/>
        <w:rPr>
          <w:rFonts w:asciiTheme="majorHAnsi" w:hAnsiTheme="majorHAnsi"/>
          <w:sz w:val="56"/>
          <w:szCs w:val="56"/>
        </w:rPr>
      </w:pPr>
    </w:p>
    <w:p w14:paraId="45BAB9A4" w14:textId="77777777" w:rsidR="009E7B40" w:rsidRDefault="009E7B40" w:rsidP="0052051C">
      <w:pPr>
        <w:jc w:val="center"/>
        <w:rPr>
          <w:rFonts w:asciiTheme="majorHAnsi" w:hAnsiTheme="majorHAnsi"/>
          <w:sz w:val="56"/>
          <w:szCs w:val="56"/>
        </w:rPr>
      </w:pPr>
    </w:p>
    <w:p w14:paraId="24F46CFD" w14:textId="77777777" w:rsidR="009E7B40" w:rsidRDefault="009E7B40" w:rsidP="0052051C">
      <w:pPr>
        <w:jc w:val="center"/>
        <w:rPr>
          <w:rFonts w:asciiTheme="majorHAnsi" w:hAnsiTheme="majorHAnsi"/>
          <w:sz w:val="56"/>
          <w:szCs w:val="56"/>
        </w:rPr>
      </w:pPr>
    </w:p>
    <w:p w14:paraId="0D1DC95F" w14:textId="77777777" w:rsidR="009E7B40" w:rsidRDefault="009E7B40" w:rsidP="0052051C">
      <w:pPr>
        <w:jc w:val="center"/>
        <w:rPr>
          <w:rFonts w:asciiTheme="majorHAnsi" w:hAnsiTheme="majorHAnsi"/>
          <w:sz w:val="56"/>
          <w:szCs w:val="56"/>
        </w:rPr>
      </w:pPr>
    </w:p>
    <w:p w14:paraId="62B54C37" w14:textId="77777777" w:rsidR="00947199" w:rsidRDefault="00DC4A64" w:rsidP="0050195F">
      <w:pPr>
        <w:jc w:val="center"/>
        <w:rPr>
          <w:rFonts w:asciiTheme="majorHAnsi" w:hAnsiTheme="majorHAnsi"/>
          <w:sz w:val="56"/>
          <w:szCs w:val="56"/>
        </w:rPr>
      </w:pPr>
      <w:r w:rsidRPr="00DC4A64">
        <w:rPr>
          <w:rFonts w:asciiTheme="majorHAnsi" w:hAnsiTheme="majorHAnsi"/>
          <w:sz w:val="56"/>
          <w:szCs w:val="56"/>
        </w:rPr>
        <w:t>Newcastle University</w:t>
      </w:r>
      <w:r w:rsidR="0050195F">
        <w:rPr>
          <w:rFonts w:asciiTheme="majorHAnsi" w:hAnsiTheme="majorHAnsi"/>
          <w:sz w:val="56"/>
          <w:szCs w:val="56"/>
        </w:rPr>
        <w:t xml:space="preserve"> </w:t>
      </w:r>
    </w:p>
    <w:p w14:paraId="35D67CE4" w14:textId="069A3D08" w:rsidR="00DC4A64" w:rsidRPr="00DC4A64" w:rsidRDefault="0050195F" w:rsidP="00947199">
      <w:pPr>
        <w:jc w:val="center"/>
        <w:rPr>
          <w:rFonts w:asciiTheme="majorHAnsi" w:hAnsiTheme="majorHAnsi"/>
          <w:sz w:val="56"/>
          <w:szCs w:val="56"/>
        </w:rPr>
      </w:pPr>
      <w:r>
        <w:rPr>
          <w:rFonts w:asciiTheme="majorHAnsi" w:hAnsiTheme="majorHAnsi"/>
          <w:sz w:val="56"/>
          <w:szCs w:val="56"/>
        </w:rPr>
        <w:t xml:space="preserve">Annual </w:t>
      </w:r>
      <w:r w:rsidR="00DC4A64" w:rsidRPr="00DC4A64">
        <w:rPr>
          <w:rFonts w:asciiTheme="majorHAnsi" w:hAnsiTheme="majorHAnsi"/>
          <w:sz w:val="56"/>
          <w:szCs w:val="56"/>
        </w:rPr>
        <w:t>Equality, Diversity &amp; Inclusion</w:t>
      </w:r>
      <w:r w:rsidR="004F263A">
        <w:rPr>
          <w:rFonts w:asciiTheme="majorHAnsi" w:hAnsiTheme="majorHAnsi"/>
          <w:sz w:val="56"/>
          <w:szCs w:val="56"/>
        </w:rPr>
        <w:t xml:space="preserve"> </w:t>
      </w:r>
    </w:p>
    <w:p w14:paraId="2BF31A2D" w14:textId="77777777" w:rsidR="00D60674" w:rsidRDefault="0050195F" w:rsidP="00D60674">
      <w:pPr>
        <w:jc w:val="center"/>
        <w:rPr>
          <w:rFonts w:asciiTheme="majorHAnsi" w:hAnsiTheme="majorHAnsi"/>
          <w:sz w:val="56"/>
          <w:szCs w:val="56"/>
        </w:rPr>
      </w:pPr>
      <w:r>
        <w:rPr>
          <w:rFonts w:asciiTheme="majorHAnsi" w:hAnsiTheme="majorHAnsi"/>
          <w:sz w:val="56"/>
          <w:szCs w:val="56"/>
        </w:rPr>
        <w:t>and Gender Pay Gap</w:t>
      </w:r>
      <w:r w:rsidR="00D60674">
        <w:rPr>
          <w:rFonts w:asciiTheme="majorHAnsi" w:hAnsiTheme="majorHAnsi"/>
          <w:sz w:val="56"/>
          <w:szCs w:val="56"/>
        </w:rPr>
        <w:t xml:space="preserve"> </w:t>
      </w:r>
      <w:r w:rsidR="00DC4A64" w:rsidRPr="00DC4A64">
        <w:rPr>
          <w:rFonts w:asciiTheme="majorHAnsi" w:hAnsiTheme="majorHAnsi"/>
          <w:sz w:val="56"/>
          <w:szCs w:val="56"/>
        </w:rPr>
        <w:t xml:space="preserve">Report </w:t>
      </w:r>
    </w:p>
    <w:p w14:paraId="5CFB96CB" w14:textId="3DF2F022" w:rsidR="0052051C" w:rsidRPr="00D60674" w:rsidRDefault="00DC4A64" w:rsidP="00D60674">
      <w:pPr>
        <w:jc w:val="center"/>
        <w:rPr>
          <w:rFonts w:asciiTheme="majorHAnsi" w:hAnsiTheme="majorHAnsi"/>
          <w:sz w:val="56"/>
          <w:szCs w:val="56"/>
        </w:rPr>
      </w:pPr>
      <w:r w:rsidRPr="00DC4A64">
        <w:rPr>
          <w:rFonts w:asciiTheme="majorHAnsi" w:hAnsiTheme="majorHAnsi"/>
          <w:sz w:val="56"/>
          <w:szCs w:val="56"/>
        </w:rPr>
        <w:t>2025</w:t>
      </w:r>
      <w:r w:rsidR="0052051C">
        <w:rPr>
          <w:rFonts w:asciiTheme="majorHAnsi" w:hAnsiTheme="majorHAnsi"/>
          <w:color w:val="0B769F" w:themeColor="accent4" w:themeShade="BF"/>
          <w:sz w:val="36"/>
          <w:szCs w:val="40"/>
        </w:rPr>
        <w:br w:type="page"/>
      </w:r>
    </w:p>
    <w:p w14:paraId="0F8B413A" w14:textId="175AFB83" w:rsidR="0052051C" w:rsidRPr="0028253A" w:rsidRDefault="00024155">
      <w:pPr>
        <w:rPr>
          <w:rFonts w:asciiTheme="majorHAnsi" w:hAnsiTheme="majorHAnsi"/>
          <w:color w:val="0B769F" w:themeColor="accent4" w:themeShade="BF"/>
          <w:sz w:val="40"/>
          <w:szCs w:val="44"/>
        </w:rPr>
      </w:pPr>
      <w:r w:rsidRPr="0028253A">
        <w:rPr>
          <w:rFonts w:asciiTheme="majorHAnsi" w:hAnsiTheme="majorHAnsi"/>
          <w:color w:val="0B769F" w:themeColor="accent4" w:themeShade="BF"/>
          <w:sz w:val="40"/>
          <w:szCs w:val="44"/>
        </w:rPr>
        <w:lastRenderedPageBreak/>
        <w:t>Table of Contents</w:t>
      </w:r>
    </w:p>
    <w:tbl>
      <w:tblPr>
        <w:tblStyle w:val="TableGrid"/>
        <w:tblW w:w="9156" w:type="dxa"/>
        <w:tblLayout w:type="fixed"/>
        <w:tblLook w:val="04A0" w:firstRow="1" w:lastRow="0" w:firstColumn="1" w:lastColumn="0" w:noHBand="0" w:noVBand="1"/>
      </w:tblPr>
      <w:tblGrid>
        <w:gridCol w:w="8789"/>
        <w:gridCol w:w="367"/>
      </w:tblGrid>
      <w:tr w:rsidR="00E2061F" w:rsidRPr="00BE7A39" w14:paraId="67748828" w14:textId="77777777" w:rsidTr="004C6BDE">
        <w:trPr>
          <w:trHeight w:val="237"/>
        </w:trPr>
        <w:tc>
          <w:tcPr>
            <w:tcW w:w="8789" w:type="dxa"/>
            <w:vAlign w:val="bottom"/>
          </w:tcPr>
          <w:p w14:paraId="4F93656B" w14:textId="2E39D0E3" w:rsidR="00BE7A39" w:rsidRPr="00BE7A39" w:rsidRDefault="00BE7A39" w:rsidP="00966C08">
            <w:pPr>
              <w:spacing w:before="240"/>
              <w:rPr>
                <w:rFonts w:asciiTheme="minorHAnsi" w:hAnsiTheme="minorHAnsi"/>
                <w:b/>
                <w:bCs/>
                <w:szCs w:val="22"/>
              </w:rPr>
            </w:pPr>
            <w:r w:rsidRPr="00BE7A39">
              <w:rPr>
                <w:rFonts w:asciiTheme="minorHAnsi" w:hAnsiTheme="minorHAnsi"/>
                <w:b/>
                <w:bCs/>
                <w:szCs w:val="22"/>
              </w:rPr>
              <w:t>Introduction</w:t>
            </w:r>
            <w:r w:rsidR="00B45D5E">
              <w:rPr>
                <w:rFonts w:asciiTheme="minorHAnsi" w:hAnsiTheme="minorHAnsi"/>
                <w:b/>
                <w:bCs/>
                <w:szCs w:val="22"/>
              </w:rPr>
              <w:t>……………………………………………………………………………………………………</w:t>
            </w:r>
            <w:r w:rsidR="00BD15A2">
              <w:rPr>
                <w:rFonts w:asciiTheme="minorHAnsi" w:hAnsiTheme="minorHAnsi"/>
                <w:b/>
                <w:bCs/>
                <w:szCs w:val="22"/>
              </w:rPr>
              <w:t>…</w:t>
            </w:r>
          </w:p>
        </w:tc>
        <w:tc>
          <w:tcPr>
            <w:tcW w:w="367" w:type="dxa"/>
            <w:shd w:val="clear" w:color="auto" w:fill="auto"/>
            <w:vAlign w:val="bottom"/>
          </w:tcPr>
          <w:p w14:paraId="64A6A0D2" w14:textId="06A914CF" w:rsidR="00BE7A39" w:rsidRPr="00072C78" w:rsidRDefault="00365029" w:rsidP="00BD15A2">
            <w:pPr>
              <w:spacing w:before="240"/>
              <w:ind w:left="-111"/>
              <w:rPr>
                <w:rFonts w:asciiTheme="minorHAnsi" w:hAnsiTheme="minorHAnsi"/>
                <w:b/>
                <w:bCs/>
                <w:szCs w:val="22"/>
              </w:rPr>
            </w:pPr>
            <w:r>
              <w:rPr>
                <w:rFonts w:asciiTheme="minorHAnsi" w:hAnsiTheme="minorHAnsi"/>
                <w:b/>
                <w:bCs/>
                <w:szCs w:val="22"/>
              </w:rPr>
              <w:t>3</w:t>
            </w:r>
          </w:p>
        </w:tc>
      </w:tr>
      <w:tr w:rsidR="00E2061F" w:rsidRPr="00BE7A39" w14:paraId="3B7459EF" w14:textId="77777777" w:rsidTr="004C6BDE">
        <w:trPr>
          <w:trHeight w:val="237"/>
        </w:trPr>
        <w:tc>
          <w:tcPr>
            <w:tcW w:w="8789" w:type="dxa"/>
            <w:vAlign w:val="bottom"/>
          </w:tcPr>
          <w:p w14:paraId="7C9847A3" w14:textId="184D9F1F" w:rsidR="00BE7A39" w:rsidRPr="00B77B2D" w:rsidRDefault="00B77B2D" w:rsidP="00966C08">
            <w:pPr>
              <w:spacing w:before="240"/>
              <w:rPr>
                <w:rFonts w:asciiTheme="minorHAnsi" w:hAnsiTheme="minorHAnsi"/>
                <w:b/>
                <w:bCs/>
                <w:szCs w:val="22"/>
              </w:rPr>
            </w:pPr>
            <w:r>
              <w:rPr>
                <w:rFonts w:asciiTheme="minorHAnsi" w:hAnsiTheme="minorHAnsi"/>
                <w:b/>
                <w:bCs/>
                <w:szCs w:val="22"/>
              </w:rPr>
              <w:t xml:space="preserve">Key Areas of Progress </w:t>
            </w:r>
            <w:r w:rsidR="00E41B64">
              <w:rPr>
                <w:rFonts w:asciiTheme="minorHAnsi" w:hAnsiTheme="minorHAnsi"/>
                <w:b/>
                <w:bCs/>
                <w:szCs w:val="22"/>
              </w:rPr>
              <w:t>2024/25</w:t>
            </w:r>
            <w:r w:rsidR="00B45D5E">
              <w:rPr>
                <w:rFonts w:asciiTheme="minorHAnsi" w:hAnsiTheme="minorHAnsi"/>
                <w:b/>
                <w:bCs/>
                <w:szCs w:val="22"/>
              </w:rPr>
              <w:t>………………………………………………………………………</w:t>
            </w:r>
            <w:proofErr w:type="gramStart"/>
            <w:r w:rsidR="00BD15A2">
              <w:rPr>
                <w:rFonts w:asciiTheme="minorHAnsi" w:hAnsiTheme="minorHAnsi"/>
                <w:b/>
                <w:bCs/>
                <w:szCs w:val="22"/>
              </w:rPr>
              <w:t>…..</w:t>
            </w:r>
            <w:proofErr w:type="gramEnd"/>
          </w:p>
        </w:tc>
        <w:tc>
          <w:tcPr>
            <w:tcW w:w="367" w:type="dxa"/>
            <w:shd w:val="clear" w:color="auto" w:fill="auto"/>
            <w:vAlign w:val="bottom"/>
          </w:tcPr>
          <w:p w14:paraId="790121A3" w14:textId="1F8FF4CF" w:rsidR="00BE7A39" w:rsidRPr="00072C78" w:rsidRDefault="00365029" w:rsidP="00BD15A2">
            <w:pPr>
              <w:spacing w:before="240"/>
              <w:ind w:left="-111"/>
              <w:rPr>
                <w:rFonts w:asciiTheme="minorHAnsi" w:hAnsiTheme="minorHAnsi"/>
                <w:b/>
                <w:bCs/>
                <w:szCs w:val="22"/>
              </w:rPr>
            </w:pPr>
            <w:r>
              <w:rPr>
                <w:rFonts w:asciiTheme="minorHAnsi" w:hAnsiTheme="minorHAnsi"/>
                <w:b/>
                <w:bCs/>
                <w:szCs w:val="22"/>
              </w:rPr>
              <w:t>4</w:t>
            </w:r>
          </w:p>
        </w:tc>
      </w:tr>
      <w:tr w:rsidR="00E2061F" w:rsidRPr="00BE7A39" w14:paraId="4579651F" w14:textId="77777777" w:rsidTr="004C6BDE">
        <w:trPr>
          <w:trHeight w:val="237"/>
        </w:trPr>
        <w:tc>
          <w:tcPr>
            <w:tcW w:w="8789" w:type="dxa"/>
            <w:vAlign w:val="bottom"/>
          </w:tcPr>
          <w:p w14:paraId="79AAF911" w14:textId="149A8E17" w:rsidR="00BE7A39" w:rsidRPr="00BE7A39" w:rsidRDefault="00B77B2D" w:rsidP="00966C08">
            <w:pPr>
              <w:spacing w:before="240"/>
              <w:ind w:left="313"/>
              <w:rPr>
                <w:rFonts w:asciiTheme="minorHAnsi" w:hAnsiTheme="minorHAnsi"/>
                <w:szCs w:val="22"/>
              </w:rPr>
            </w:pPr>
            <w:r w:rsidRPr="00B77B2D">
              <w:rPr>
                <w:rFonts w:asciiTheme="minorHAnsi" w:hAnsiTheme="minorHAnsi"/>
                <w:szCs w:val="22"/>
              </w:rPr>
              <w:t>EO1. Further develop an inclusive culture and one which does not tolerate hate crime, discrimination, victimisation or harassment</w:t>
            </w:r>
            <w:r w:rsidR="00BD15A2">
              <w:rPr>
                <w:rFonts w:asciiTheme="minorHAnsi" w:hAnsiTheme="minorHAnsi"/>
                <w:szCs w:val="22"/>
              </w:rPr>
              <w:t>……………………………………………………………</w:t>
            </w:r>
          </w:p>
        </w:tc>
        <w:tc>
          <w:tcPr>
            <w:tcW w:w="367" w:type="dxa"/>
            <w:shd w:val="clear" w:color="auto" w:fill="auto"/>
            <w:vAlign w:val="bottom"/>
          </w:tcPr>
          <w:p w14:paraId="2F21F9D0" w14:textId="70AF7819" w:rsidR="00BE7A39" w:rsidRPr="00BE7A39" w:rsidRDefault="00365029" w:rsidP="00BD15A2">
            <w:pPr>
              <w:spacing w:before="240"/>
              <w:ind w:left="-111"/>
              <w:rPr>
                <w:rFonts w:asciiTheme="minorHAnsi" w:hAnsiTheme="minorHAnsi"/>
                <w:szCs w:val="22"/>
              </w:rPr>
            </w:pPr>
            <w:r>
              <w:rPr>
                <w:rFonts w:asciiTheme="minorHAnsi" w:hAnsiTheme="minorHAnsi"/>
                <w:szCs w:val="22"/>
              </w:rPr>
              <w:t>4</w:t>
            </w:r>
          </w:p>
        </w:tc>
      </w:tr>
      <w:tr w:rsidR="00E2061F" w:rsidRPr="00BE7A39" w14:paraId="27691E07" w14:textId="77777777" w:rsidTr="004C6BDE">
        <w:trPr>
          <w:trHeight w:val="237"/>
        </w:trPr>
        <w:tc>
          <w:tcPr>
            <w:tcW w:w="8789" w:type="dxa"/>
            <w:vAlign w:val="bottom"/>
          </w:tcPr>
          <w:p w14:paraId="5D2937D1" w14:textId="5E676BB8" w:rsidR="00BE7A39" w:rsidRPr="00BE7A39" w:rsidRDefault="00B77B2D" w:rsidP="00966C08">
            <w:pPr>
              <w:spacing w:before="240"/>
              <w:ind w:left="313"/>
              <w:rPr>
                <w:rFonts w:asciiTheme="minorHAnsi" w:hAnsiTheme="minorHAnsi"/>
                <w:szCs w:val="22"/>
              </w:rPr>
            </w:pPr>
            <w:r w:rsidRPr="00B77B2D">
              <w:rPr>
                <w:rFonts w:asciiTheme="minorHAnsi" w:hAnsiTheme="minorHAnsi"/>
                <w:szCs w:val="22"/>
              </w:rPr>
              <w:t>EO2. Increase representation of underrepresented protected characteristic groups among professional service and academic colleagues, governing boards, and decision-making committees</w:t>
            </w:r>
            <w:r w:rsidR="00BD15A2">
              <w:rPr>
                <w:rFonts w:asciiTheme="minorHAnsi" w:hAnsiTheme="minorHAnsi"/>
                <w:szCs w:val="22"/>
              </w:rPr>
              <w:t>…………………………………………………………………………………………….</w:t>
            </w:r>
          </w:p>
        </w:tc>
        <w:tc>
          <w:tcPr>
            <w:tcW w:w="367" w:type="dxa"/>
            <w:shd w:val="clear" w:color="auto" w:fill="auto"/>
            <w:vAlign w:val="bottom"/>
          </w:tcPr>
          <w:p w14:paraId="114F39CD" w14:textId="169F3B30" w:rsidR="00BE7A39" w:rsidRPr="00BE7A39" w:rsidRDefault="00365029" w:rsidP="00BD15A2">
            <w:pPr>
              <w:spacing w:before="240"/>
              <w:ind w:left="-111"/>
              <w:rPr>
                <w:rFonts w:asciiTheme="minorHAnsi" w:hAnsiTheme="minorHAnsi"/>
                <w:szCs w:val="22"/>
              </w:rPr>
            </w:pPr>
            <w:r>
              <w:rPr>
                <w:rFonts w:asciiTheme="minorHAnsi" w:hAnsiTheme="minorHAnsi"/>
                <w:szCs w:val="22"/>
              </w:rPr>
              <w:t>5</w:t>
            </w:r>
          </w:p>
        </w:tc>
      </w:tr>
      <w:tr w:rsidR="00E2061F" w:rsidRPr="00BE7A39" w14:paraId="48A18070" w14:textId="77777777" w:rsidTr="004C6BDE">
        <w:trPr>
          <w:trHeight w:val="237"/>
        </w:trPr>
        <w:tc>
          <w:tcPr>
            <w:tcW w:w="8789" w:type="dxa"/>
            <w:vAlign w:val="bottom"/>
          </w:tcPr>
          <w:p w14:paraId="06B1C0FF" w14:textId="76F9E43D" w:rsidR="00BE7A39" w:rsidRPr="00BE7A39" w:rsidRDefault="00B77B2D" w:rsidP="00966C08">
            <w:pPr>
              <w:spacing w:before="240"/>
              <w:ind w:left="313"/>
              <w:rPr>
                <w:rFonts w:asciiTheme="minorHAnsi" w:hAnsiTheme="minorHAnsi"/>
                <w:szCs w:val="22"/>
              </w:rPr>
            </w:pPr>
            <w:r w:rsidRPr="00B77B2D">
              <w:rPr>
                <w:rFonts w:asciiTheme="minorHAnsi" w:hAnsiTheme="minorHAnsi"/>
                <w:szCs w:val="22"/>
              </w:rPr>
              <w:t>EO3. Improve the progression of academic and professional service colleagues from protected characteristic groups into senior positions where underrepresentation has been identified</w:t>
            </w:r>
            <w:r w:rsidR="00BD15A2">
              <w:rPr>
                <w:rFonts w:asciiTheme="minorHAnsi" w:hAnsiTheme="minorHAnsi"/>
                <w:szCs w:val="22"/>
              </w:rPr>
              <w:t>……………………………………………………………………………………………………</w:t>
            </w:r>
          </w:p>
        </w:tc>
        <w:tc>
          <w:tcPr>
            <w:tcW w:w="367" w:type="dxa"/>
            <w:shd w:val="clear" w:color="auto" w:fill="auto"/>
            <w:vAlign w:val="bottom"/>
          </w:tcPr>
          <w:p w14:paraId="6C45B0EE" w14:textId="75AE6DB0" w:rsidR="00BE7A39" w:rsidRPr="00BE7A39" w:rsidRDefault="00365029" w:rsidP="00BD15A2">
            <w:pPr>
              <w:spacing w:before="240"/>
              <w:ind w:left="-111"/>
              <w:rPr>
                <w:rFonts w:asciiTheme="minorHAnsi" w:hAnsiTheme="minorHAnsi"/>
                <w:szCs w:val="22"/>
              </w:rPr>
            </w:pPr>
            <w:r>
              <w:rPr>
                <w:rFonts w:asciiTheme="minorHAnsi" w:hAnsiTheme="minorHAnsi"/>
                <w:szCs w:val="22"/>
              </w:rPr>
              <w:t>6</w:t>
            </w:r>
          </w:p>
        </w:tc>
      </w:tr>
      <w:tr w:rsidR="00E2061F" w:rsidRPr="00BE7A39" w14:paraId="6038D3D7" w14:textId="77777777" w:rsidTr="004C6BDE">
        <w:trPr>
          <w:trHeight w:val="237"/>
        </w:trPr>
        <w:tc>
          <w:tcPr>
            <w:tcW w:w="8789" w:type="dxa"/>
            <w:vAlign w:val="bottom"/>
          </w:tcPr>
          <w:p w14:paraId="76C92AC4" w14:textId="1CFA68AA" w:rsidR="00BE7A39" w:rsidRPr="00BE7A39" w:rsidRDefault="00B77B2D" w:rsidP="00966C08">
            <w:pPr>
              <w:spacing w:before="240"/>
              <w:ind w:left="313"/>
              <w:rPr>
                <w:rFonts w:asciiTheme="minorHAnsi" w:hAnsiTheme="minorHAnsi"/>
                <w:szCs w:val="22"/>
              </w:rPr>
            </w:pPr>
            <w:r w:rsidRPr="00B77B2D">
              <w:rPr>
                <w:rFonts w:asciiTheme="minorHAnsi" w:hAnsiTheme="minorHAnsi"/>
                <w:szCs w:val="22"/>
              </w:rPr>
              <w:t>EO4. Increase representation of underrepresented protected characteristic groups among students, and ensure equity in the student experience and graduate outcomes</w:t>
            </w:r>
            <w:r w:rsidR="00FB0842">
              <w:rPr>
                <w:rFonts w:asciiTheme="minorHAnsi" w:hAnsiTheme="minorHAnsi"/>
                <w:szCs w:val="22"/>
              </w:rPr>
              <w:t>…</w:t>
            </w:r>
          </w:p>
        </w:tc>
        <w:tc>
          <w:tcPr>
            <w:tcW w:w="367" w:type="dxa"/>
            <w:shd w:val="clear" w:color="auto" w:fill="auto"/>
            <w:vAlign w:val="bottom"/>
          </w:tcPr>
          <w:p w14:paraId="1E7A987E" w14:textId="3FB2DD31" w:rsidR="00BE7A39" w:rsidRPr="00BE7A39" w:rsidRDefault="00365029" w:rsidP="00BD15A2">
            <w:pPr>
              <w:spacing w:before="240"/>
              <w:ind w:left="-111"/>
              <w:rPr>
                <w:rFonts w:asciiTheme="minorHAnsi" w:hAnsiTheme="minorHAnsi"/>
                <w:szCs w:val="22"/>
              </w:rPr>
            </w:pPr>
            <w:r>
              <w:rPr>
                <w:rFonts w:asciiTheme="minorHAnsi" w:hAnsiTheme="minorHAnsi"/>
                <w:szCs w:val="22"/>
              </w:rPr>
              <w:t>6</w:t>
            </w:r>
          </w:p>
        </w:tc>
      </w:tr>
      <w:tr w:rsidR="00E2061F" w:rsidRPr="00BE7A39" w14:paraId="177178B4" w14:textId="77777777" w:rsidTr="004C6BDE">
        <w:trPr>
          <w:trHeight w:val="237"/>
        </w:trPr>
        <w:tc>
          <w:tcPr>
            <w:tcW w:w="8789" w:type="dxa"/>
            <w:vAlign w:val="bottom"/>
          </w:tcPr>
          <w:p w14:paraId="45F0D55E" w14:textId="3E008364" w:rsidR="00B77B2D" w:rsidRPr="00BE7A39" w:rsidRDefault="00B77B2D" w:rsidP="00966C08">
            <w:pPr>
              <w:spacing w:before="240"/>
              <w:ind w:left="313"/>
              <w:rPr>
                <w:rFonts w:asciiTheme="minorHAnsi" w:hAnsiTheme="minorHAnsi"/>
                <w:szCs w:val="22"/>
              </w:rPr>
            </w:pPr>
            <w:r w:rsidRPr="00B77B2D">
              <w:rPr>
                <w:rFonts w:asciiTheme="minorHAnsi" w:hAnsiTheme="minorHAnsi"/>
                <w:szCs w:val="22"/>
              </w:rPr>
              <w:t>EO5. Further enhance our position as a family-friendly organisation</w:t>
            </w:r>
            <w:r w:rsidR="00FB0842">
              <w:rPr>
                <w:rFonts w:asciiTheme="minorHAnsi" w:hAnsiTheme="minorHAnsi"/>
                <w:szCs w:val="22"/>
              </w:rPr>
              <w:t>………………………</w:t>
            </w:r>
            <w:proofErr w:type="gramStart"/>
            <w:r w:rsidR="00FB0842">
              <w:rPr>
                <w:rFonts w:asciiTheme="minorHAnsi" w:hAnsiTheme="minorHAnsi"/>
                <w:szCs w:val="22"/>
              </w:rPr>
              <w:t>…..</w:t>
            </w:r>
            <w:proofErr w:type="gramEnd"/>
          </w:p>
        </w:tc>
        <w:tc>
          <w:tcPr>
            <w:tcW w:w="367" w:type="dxa"/>
            <w:shd w:val="clear" w:color="auto" w:fill="auto"/>
            <w:vAlign w:val="bottom"/>
          </w:tcPr>
          <w:p w14:paraId="43365BED" w14:textId="4BDC7C23" w:rsidR="00B77B2D" w:rsidRPr="00BE7A39" w:rsidRDefault="00365029" w:rsidP="00BD15A2">
            <w:pPr>
              <w:spacing w:before="240"/>
              <w:ind w:left="-111"/>
              <w:rPr>
                <w:rFonts w:asciiTheme="minorHAnsi" w:hAnsiTheme="minorHAnsi"/>
                <w:szCs w:val="22"/>
              </w:rPr>
            </w:pPr>
            <w:r>
              <w:rPr>
                <w:rFonts w:asciiTheme="minorHAnsi" w:hAnsiTheme="minorHAnsi"/>
                <w:szCs w:val="22"/>
              </w:rPr>
              <w:t>7</w:t>
            </w:r>
          </w:p>
        </w:tc>
      </w:tr>
      <w:tr w:rsidR="00E2061F" w:rsidRPr="00BE7A39" w14:paraId="1BC1EB70" w14:textId="77777777" w:rsidTr="004C6BDE">
        <w:trPr>
          <w:trHeight w:val="237"/>
        </w:trPr>
        <w:tc>
          <w:tcPr>
            <w:tcW w:w="8789" w:type="dxa"/>
            <w:vAlign w:val="bottom"/>
          </w:tcPr>
          <w:p w14:paraId="781D0C45" w14:textId="2FBF49CA" w:rsidR="00B77B2D" w:rsidRPr="00BE7A39" w:rsidRDefault="00B77B2D" w:rsidP="00966C08">
            <w:pPr>
              <w:spacing w:before="240"/>
              <w:ind w:left="313"/>
              <w:rPr>
                <w:rFonts w:asciiTheme="minorHAnsi" w:hAnsiTheme="minorHAnsi"/>
                <w:szCs w:val="22"/>
              </w:rPr>
            </w:pPr>
            <w:r w:rsidRPr="00B77B2D">
              <w:rPr>
                <w:rFonts w:asciiTheme="minorHAnsi" w:hAnsiTheme="minorHAnsi"/>
                <w:szCs w:val="22"/>
              </w:rPr>
              <w:t>EO6. Embed EDI in all our processes, policies, decision-making and governance</w:t>
            </w:r>
            <w:r w:rsidR="00FB0842">
              <w:rPr>
                <w:rFonts w:asciiTheme="minorHAnsi" w:hAnsiTheme="minorHAnsi"/>
                <w:szCs w:val="22"/>
              </w:rPr>
              <w:t>…………</w:t>
            </w:r>
          </w:p>
        </w:tc>
        <w:tc>
          <w:tcPr>
            <w:tcW w:w="367" w:type="dxa"/>
            <w:shd w:val="clear" w:color="auto" w:fill="auto"/>
            <w:vAlign w:val="bottom"/>
          </w:tcPr>
          <w:p w14:paraId="0D6CA350" w14:textId="649334A9" w:rsidR="00B77B2D" w:rsidRPr="00BE7A39" w:rsidRDefault="00365029" w:rsidP="00BD15A2">
            <w:pPr>
              <w:spacing w:before="240"/>
              <w:ind w:left="-111"/>
              <w:rPr>
                <w:rFonts w:asciiTheme="minorHAnsi" w:hAnsiTheme="minorHAnsi"/>
                <w:szCs w:val="22"/>
              </w:rPr>
            </w:pPr>
            <w:r>
              <w:rPr>
                <w:rFonts w:asciiTheme="minorHAnsi" w:hAnsiTheme="minorHAnsi"/>
                <w:szCs w:val="22"/>
              </w:rPr>
              <w:t>8</w:t>
            </w:r>
          </w:p>
        </w:tc>
      </w:tr>
      <w:tr w:rsidR="00E2061F" w:rsidRPr="00BE7A39" w14:paraId="02C0A8CB" w14:textId="77777777" w:rsidTr="004C6BDE">
        <w:trPr>
          <w:trHeight w:val="237"/>
        </w:trPr>
        <w:tc>
          <w:tcPr>
            <w:tcW w:w="8789" w:type="dxa"/>
            <w:vAlign w:val="bottom"/>
          </w:tcPr>
          <w:p w14:paraId="5818DBEA" w14:textId="06E5786A" w:rsidR="00B77B2D" w:rsidRPr="00BE7A39" w:rsidRDefault="00B77B2D" w:rsidP="00966C08">
            <w:pPr>
              <w:spacing w:before="240"/>
              <w:ind w:left="313"/>
              <w:rPr>
                <w:rFonts w:asciiTheme="minorHAnsi" w:hAnsiTheme="minorHAnsi"/>
                <w:szCs w:val="22"/>
              </w:rPr>
            </w:pPr>
            <w:r w:rsidRPr="00B77B2D">
              <w:rPr>
                <w:rFonts w:asciiTheme="minorHAnsi" w:hAnsiTheme="minorHAnsi"/>
                <w:szCs w:val="22"/>
              </w:rPr>
              <w:t>EO7. Progress developments in systems and processes relating to EDI data capture, analysis and reporting</w:t>
            </w:r>
            <w:r w:rsidR="00FB0842">
              <w:rPr>
                <w:rFonts w:asciiTheme="minorHAnsi" w:hAnsiTheme="minorHAnsi"/>
                <w:szCs w:val="22"/>
              </w:rPr>
              <w:t>…………………………………………………………………………………………</w:t>
            </w:r>
          </w:p>
        </w:tc>
        <w:tc>
          <w:tcPr>
            <w:tcW w:w="367" w:type="dxa"/>
            <w:shd w:val="clear" w:color="auto" w:fill="auto"/>
            <w:vAlign w:val="bottom"/>
          </w:tcPr>
          <w:p w14:paraId="4CB97B6B" w14:textId="3CD3455A" w:rsidR="00B77B2D" w:rsidRPr="00BE7A39" w:rsidRDefault="00365029" w:rsidP="00BD15A2">
            <w:pPr>
              <w:spacing w:before="240"/>
              <w:ind w:left="-111"/>
              <w:rPr>
                <w:rFonts w:asciiTheme="minorHAnsi" w:hAnsiTheme="minorHAnsi"/>
                <w:szCs w:val="22"/>
              </w:rPr>
            </w:pPr>
            <w:r>
              <w:rPr>
                <w:rFonts w:asciiTheme="minorHAnsi" w:hAnsiTheme="minorHAnsi"/>
                <w:szCs w:val="22"/>
              </w:rPr>
              <w:t>9</w:t>
            </w:r>
          </w:p>
        </w:tc>
      </w:tr>
      <w:tr w:rsidR="00E2061F" w:rsidRPr="00BE7A39" w14:paraId="6DD1FE43" w14:textId="77777777" w:rsidTr="004C6BDE">
        <w:trPr>
          <w:trHeight w:val="237"/>
        </w:trPr>
        <w:tc>
          <w:tcPr>
            <w:tcW w:w="8789" w:type="dxa"/>
            <w:vAlign w:val="bottom"/>
          </w:tcPr>
          <w:p w14:paraId="6E98D99B" w14:textId="78E8DCEF" w:rsidR="00B77B2D" w:rsidRPr="00BE7A39" w:rsidRDefault="00B77B2D" w:rsidP="00966C08">
            <w:pPr>
              <w:spacing w:before="240"/>
              <w:ind w:left="313"/>
              <w:rPr>
                <w:rFonts w:asciiTheme="minorHAnsi" w:hAnsiTheme="minorHAnsi"/>
                <w:szCs w:val="22"/>
              </w:rPr>
            </w:pPr>
            <w:r>
              <w:rPr>
                <w:rFonts w:asciiTheme="minorHAnsi" w:hAnsiTheme="minorHAnsi"/>
                <w:szCs w:val="22"/>
              </w:rPr>
              <w:t>Our commitment to Higher Education Charters</w:t>
            </w:r>
            <w:r w:rsidR="00FB0842">
              <w:rPr>
                <w:rFonts w:asciiTheme="minorHAnsi" w:hAnsiTheme="minorHAnsi"/>
                <w:szCs w:val="22"/>
              </w:rPr>
              <w:t>……………………………………………………….</w:t>
            </w:r>
          </w:p>
        </w:tc>
        <w:tc>
          <w:tcPr>
            <w:tcW w:w="367" w:type="dxa"/>
            <w:shd w:val="clear" w:color="auto" w:fill="auto"/>
            <w:vAlign w:val="bottom"/>
          </w:tcPr>
          <w:p w14:paraId="78E1143A" w14:textId="10185B53" w:rsidR="00B77B2D" w:rsidRPr="00BE7A39" w:rsidRDefault="00365029" w:rsidP="00BD15A2">
            <w:pPr>
              <w:spacing w:before="240"/>
              <w:ind w:left="-111"/>
              <w:rPr>
                <w:rFonts w:asciiTheme="minorHAnsi" w:hAnsiTheme="minorHAnsi"/>
                <w:szCs w:val="22"/>
              </w:rPr>
            </w:pPr>
            <w:r>
              <w:rPr>
                <w:rFonts w:asciiTheme="minorHAnsi" w:hAnsiTheme="minorHAnsi"/>
                <w:szCs w:val="22"/>
              </w:rPr>
              <w:t>9</w:t>
            </w:r>
          </w:p>
        </w:tc>
      </w:tr>
      <w:tr w:rsidR="00E2061F" w:rsidRPr="00BE7A39" w14:paraId="2E4BF33B" w14:textId="77777777" w:rsidTr="004C6BDE">
        <w:trPr>
          <w:trHeight w:val="237"/>
        </w:trPr>
        <w:tc>
          <w:tcPr>
            <w:tcW w:w="8789" w:type="dxa"/>
            <w:vAlign w:val="bottom"/>
          </w:tcPr>
          <w:p w14:paraId="6DA6980F" w14:textId="62EDF944" w:rsidR="00B77B2D" w:rsidRPr="00BE7A39" w:rsidRDefault="00B77B2D" w:rsidP="00966C08">
            <w:pPr>
              <w:spacing w:before="240"/>
              <w:ind w:left="313"/>
              <w:rPr>
                <w:rFonts w:asciiTheme="minorHAnsi" w:hAnsiTheme="minorHAnsi"/>
                <w:szCs w:val="22"/>
              </w:rPr>
            </w:pPr>
            <w:r>
              <w:rPr>
                <w:rFonts w:asciiTheme="minorHAnsi" w:hAnsiTheme="minorHAnsi"/>
                <w:szCs w:val="22"/>
              </w:rPr>
              <w:t>EDI activities across Newcastle University Faculties</w:t>
            </w:r>
            <w:r w:rsidR="00F86959">
              <w:rPr>
                <w:rFonts w:asciiTheme="minorHAnsi" w:hAnsiTheme="minorHAnsi"/>
                <w:szCs w:val="22"/>
              </w:rPr>
              <w:t>……………………………………………</w:t>
            </w:r>
            <w:proofErr w:type="gramStart"/>
            <w:r w:rsidR="00F86959">
              <w:rPr>
                <w:rFonts w:asciiTheme="minorHAnsi" w:hAnsiTheme="minorHAnsi"/>
                <w:szCs w:val="22"/>
              </w:rPr>
              <w:t>…..</w:t>
            </w:r>
            <w:proofErr w:type="gramEnd"/>
          </w:p>
        </w:tc>
        <w:tc>
          <w:tcPr>
            <w:tcW w:w="367" w:type="dxa"/>
            <w:shd w:val="clear" w:color="auto" w:fill="auto"/>
            <w:vAlign w:val="bottom"/>
          </w:tcPr>
          <w:p w14:paraId="2B246539" w14:textId="32CF9043" w:rsidR="00B77B2D" w:rsidRPr="00BE7A39" w:rsidRDefault="00365029" w:rsidP="00BD15A2">
            <w:pPr>
              <w:spacing w:before="240"/>
              <w:ind w:left="-111"/>
              <w:rPr>
                <w:rFonts w:asciiTheme="minorHAnsi" w:hAnsiTheme="minorHAnsi"/>
                <w:szCs w:val="22"/>
              </w:rPr>
            </w:pPr>
            <w:r>
              <w:rPr>
                <w:rFonts w:asciiTheme="minorHAnsi" w:hAnsiTheme="minorHAnsi"/>
                <w:szCs w:val="22"/>
              </w:rPr>
              <w:t>10</w:t>
            </w:r>
          </w:p>
        </w:tc>
      </w:tr>
      <w:tr w:rsidR="00E2061F" w:rsidRPr="00BE7A39" w14:paraId="43D30477" w14:textId="77777777" w:rsidTr="004C6BDE">
        <w:trPr>
          <w:trHeight w:val="237"/>
        </w:trPr>
        <w:tc>
          <w:tcPr>
            <w:tcW w:w="8789" w:type="dxa"/>
            <w:vAlign w:val="bottom"/>
          </w:tcPr>
          <w:p w14:paraId="1A5B8A78" w14:textId="37C1CB0B" w:rsidR="00B77B2D" w:rsidRPr="00BE7A39" w:rsidRDefault="00B77B2D" w:rsidP="00966C08">
            <w:pPr>
              <w:spacing w:before="240"/>
              <w:ind w:left="313"/>
              <w:rPr>
                <w:rFonts w:asciiTheme="minorHAnsi" w:hAnsiTheme="minorHAnsi"/>
                <w:szCs w:val="22"/>
              </w:rPr>
            </w:pPr>
            <w:r>
              <w:rPr>
                <w:rFonts w:asciiTheme="minorHAnsi" w:hAnsiTheme="minorHAnsi"/>
                <w:szCs w:val="22"/>
              </w:rPr>
              <w:t>Newcastle University’s Colleague Networks</w:t>
            </w:r>
            <w:r w:rsidR="00F86959">
              <w:rPr>
                <w:rFonts w:asciiTheme="minorHAnsi" w:hAnsiTheme="minorHAnsi"/>
                <w:szCs w:val="22"/>
              </w:rPr>
              <w:t>……………………………………………………………</w:t>
            </w:r>
          </w:p>
        </w:tc>
        <w:tc>
          <w:tcPr>
            <w:tcW w:w="367" w:type="dxa"/>
            <w:shd w:val="clear" w:color="auto" w:fill="auto"/>
            <w:vAlign w:val="bottom"/>
          </w:tcPr>
          <w:p w14:paraId="44DBEAFF" w14:textId="6B1FD366" w:rsidR="00B77B2D" w:rsidRPr="00BE7A39" w:rsidRDefault="00365029" w:rsidP="00BD15A2">
            <w:pPr>
              <w:spacing w:before="240"/>
              <w:ind w:left="-111"/>
              <w:rPr>
                <w:rFonts w:asciiTheme="minorHAnsi" w:hAnsiTheme="minorHAnsi"/>
                <w:szCs w:val="22"/>
              </w:rPr>
            </w:pPr>
            <w:r>
              <w:rPr>
                <w:rFonts w:asciiTheme="minorHAnsi" w:hAnsiTheme="minorHAnsi"/>
                <w:szCs w:val="22"/>
              </w:rPr>
              <w:t>11</w:t>
            </w:r>
          </w:p>
        </w:tc>
      </w:tr>
      <w:tr w:rsidR="00E2061F" w:rsidRPr="00BE7A39" w14:paraId="4F8EC872" w14:textId="77777777" w:rsidTr="004C6BDE">
        <w:trPr>
          <w:trHeight w:val="237"/>
        </w:trPr>
        <w:tc>
          <w:tcPr>
            <w:tcW w:w="8789" w:type="dxa"/>
            <w:vAlign w:val="bottom"/>
          </w:tcPr>
          <w:p w14:paraId="198B5211" w14:textId="0B7355E6" w:rsidR="00B77B2D" w:rsidRPr="00B77B2D" w:rsidRDefault="00B77B2D" w:rsidP="00966C08">
            <w:pPr>
              <w:spacing w:before="240"/>
              <w:rPr>
                <w:rFonts w:asciiTheme="minorHAnsi" w:hAnsiTheme="minorHAnsi"/>
                <w:b/>
                <w:bCs/>
                <w:szCs w:val="22"/>
              </w:rPr>
            </w:pPr>
            <w:r>
              <w:rPr>
                <w:rFonts w:asciiTheme="minorHAnsi" w:hAnsiTheme="minorHAnsi"/>
                <w:b/>
                <w:bCs/>
                <w:szCs w:val="22"/>
              </w:rPr>
              <w:t xml:space="preserve">Key Priorities for </w:t>
            </w:r>
            <w:r w:rsidR="00E41B64">
              <w:rPr>
                <w:rFonts w:asciiTheme="minorHAnsi" w:hAnsiTheme="minorHAnsi"/>
                <w:b/>
                <w:bCs/>
                <w:szCs w:val="22"/>
              </w:rPr>
              <w:t>2025/26</w:t>
            </w:r>
            <w:r w:rsidR="00F86959">
              <w:rPr>
                <w:rFonts w:asciiTheme="minorHAnsi" w:hAnsiTheme="minorHAnsi"/>
                <w:b/>
                <w:bCs/>
                <w:szCs w:val="22"/>
              </w:rPr>
              <w:t>………………………………………………………………………………….</w:t>
            </w:r>
          </w:p>
        </w:tc>
        <w:tc>
          <w:tcPr>
            <w:tcW w:w="367" w:type="dxa"/>
            <w:shd w:val="clear" w:color="auto" w:fill="auto"/>
            <w:vAlign w:val="bottom"/>
          </w:tcPr>
          <w:p w14:paraId="10D8284D" w14:textId="2A4B1B86" w:rsidR="00B77B2D" w:rsidRPr="00072C78" w:rsidRDefault="00365029" w:rsidP="00BD15A2">
            <w:pPr>
              <w:spacing w:before="240"/>
              <w:ind w:left="-111"/>
              <w:rPr>
                <w:rFonts w:asciiTheme="minorHAnsi" w:hAnsiTheme="minorHAnsi"/>
                <w:b/>
                <w:bCs/>
                <w:szCs w:val="22"/>
              </w:rPr>
            </w:pPr>
            <w:r>
              <w:rPr>
                <w:rFonts w:asciiTheme="minorHAnsi" w:hAnsiTheme="minorHAnsi"/>
                <w:b/>
                <w:bCs/>
                <w:szCs w:val="22"/>
              </w:rPr>
              <w:t>13</w:t>
            </w:r>
          </w:p>
        </w:tc>
      </w:tr>
      <w:tr w:rsidR="00E2061F" w:rsidRPr="00BE7A39" w14:paraId="14ADA8BB" w14:textId="77777777" w:rsidTr="004C6BDE">
        <w:trPr>
          <w:trHeight w:val="237"/>
        </w:trPr>
        <w:tc>
          <w:tcPr>
            <w:tcW w:w="8789" w:type="dxa"/>
            <w:vAlign w:val="bottom"/>
          </w:tcPr>
          <w:p w14:paraId="13EE76F6" w14:textId="4C2EE43C" w:rsidR="00B77B2D" w:rsidRPr="00B77B2D" w:rsidRDefault="00B77B2D" w:rsidP="00966C08">
            <w:pPr>
              <w:spacing w:before="240"/>
              <w:rPr>
                <w:rFonts w:asciiTheme="minorHAnsi" w:hAnsiTheme="minorHAnsi"/>
                <w:b/>
                <w:bCs/>
                <w:szCs w:val="22"/>
              </w:rPr>
            </w:pPr>
            <w:r>
              <w:rPr>
                <w:rFonts w:asciiTheme="minorHAnsi" w:hAnsiTheme="minorHAnsi"/>
                <w:b/>
                <w:bCs/>
                <w:szCs w:val="22"/>
              </w:rPr>
              <w:t>Data Statement</w:t>
            </w:r>
            <w:r w:rsidR="00F86959">
              <w:rPr>
                <w:rFonts w:asciiTheme="minorHAnsi" w:hAnsiTheme="minorHAnsi"/>
                <w:b/>
                <w:bCs/>
                <w:szCs w:val="22"/>
              </w:rPr>
              <w:t>………………………………………………………………………………………………….</w:t>
            </w:r>
          </w:p>
        </w:tc>
        <w:tc>
          <w:tcPr>
            <w:tcW w:w="367" w:type="dxa"/>
            <w:shd w:val="clear" w:color="auto" w:fill="auto"/>
            <w:vAlign w:val="bottom"/>
          </w:tcPr>
          <w:p w14:paraId="3E566D58" w14:textId="2580926E" w:rsidR="00B77B2D" w:rsidRPr="00072C78" w:rsidRDefault="00365029" w:rsidP="00BD15A2">
            <w:pPr>
              <w:spacing w:before="240"/>
              <w:ind w:left="-111"/>
              <w:rPr>
                <w:rFonts w:asciiTheme="minorHAnsi" w:hAnsiTheme="minorHAnsi"/>
                <w:b/>
                <w:bCs/>
                <w:szCs w:val="22"/>
              </w:rPr>
            </w:pPr>
            <w:r>
              <w:rPr>
                <w:rFonts w:asciiTheme="minorHAnsi" w:hAnsiTheme="minorHAnsi"/>
                <w:b/>
                <w:bCs/>
                <w:szCs w:val="22"/>
              </w:rPr>
              <w:t>14</w:t>
            </w:r>
          </w:p>
        </w:tc>
      </w:tr>
      <w:tr w:rsidR="00E2061F" w:rsidRPr="00BE7A39" w14:paraId="14EC5841" w14:textId="77777777" w:rsidTr="004C6BDE">
        <w:trPr>
          <w:trHeight w:val="237"/>
        </w:trPr>
        <w:tc>
          <w:tcPr>
            <w:tcW w:w="8789" w:type="dxa"/>
            <w:vAlign w:val="bottom"/>
          </w:tcPr>
          <w:p w14:paraId="4DECE1A9" w14:textId="5DA59EB9" w:rsidR="00B77B2D" w:rsidRPr="00B77B2D" w:rsidRDefault="00B77B2D" w:rsidP="00966C08">
            <w:pPr>
              <w:spacing w:before="240"/>
              <w:rPr>
                <w:rFonts w:asciiTheme="minorHAnsi" w:hAnsiTheme="minorHAnsi"/>
                <w:b/>
                <w:bCs/>
                <w:szCs w:val="22"/>
              </w:rPr>
            </w:pPr>
            <w:r>
              <w:rPr>
                <w:rFonts w:asciiTheme="minorHAnsi" w:hAnsiTheme="minorHAnsi"/>
                <w:b/>
                <w:bCs/>
                <w:szCs w:val="22"/>
              </w:rPr>
              <w:t>Workforce Summary</w:t>
            </w:r>
            <w:r w:rsidR="00F86959">
              <w:rPr>
                <w:rFonts w:asciiTheme="minorHAnsi" w:hAnsiTheme="minorHAnsi"/>
                <w:b/>
                <w:bCs/>
                <w:szCs w:val="22"/>
              </w:rPr>
              <w:t>………………………………………………………………………………………</w:t>
            </w:r>
            <w:proofErr w:type="gramStart"/>
            <w:r w:rsidR="00F86959">
              <w:rPr>
                <w:rFonts w:asciiTheme="minorHAnsi" w:hAnsiTheme="minorHAnsi"/>
                <w:b/>
                <w:bCs/>
                <w:szCs w:val="22"/>
              </w:rPr>
              <w:t>…..</w:t>
            </w:r>
            <w:proofErr w:type="gramEnd"/>
          </w:p>
        </w:tc>
        <w:tc>
          <w:tcPr>
            <w:tcW w:w="367" w:type="dxa"/>
            <w:shd w:val="clear" w:color="auto" w:fill="auto"/>
            <w:vAlign w:val="bottom"/>
          </w:tcPr>
          <w:p w14:paraId="1399F8D9" w14:textId="1A33F866" w:rsidR="00B77B2D" w:rsidRPr="00072C78" w:rsidRDefault="00365029" w:rsidP="00BD15A2">
            <w:pPr>
              <w:spacing w:before="240"/>
              <w:ind w:left="-111"/>
              <w:rPr>
                <w:rFonts w:asciiTheme="minorHAnsi" w:hAnsiTheme="minorHAnsi"/>
                <w:b/>
                <w:bCs/>
                <w:szCs w:val="22"/>
              </w:rPr>
            </w:pPr>
            <w:r>
              <w:rPr>
                <w:rFonts w:asciiTheme="minorHAnsi" w:hAnsiTheme="minorHAnsi"/>
                <w:b/>
                <w:bCs/>
                <w:szCs w:val="22"/>
              </w:rPr>
              <w:t>16</w:t>
            </w:r>
          </w:p>
        </w:tc>
      </w:tr>
      <w:tr w:rsidR="00E2061F" w:rsidRPr="00BE7A39" w14:paraId="66260639" w14:textId="77777777" w:rsidTr="004C6BDE">
        <w:trPr>
          <w:trHeight w:val="237"/>
        </w:trPr>
        <w:tc>
          <w:tcPr>
            <w:tcW w:w="8789" w:type="dxa"/>
            <w:vAlign w:val="bottom"/>
          </w:tcPr>
          <w:p w14:paraId="203EBAA3" w14:textId="378B631C" w:rsidR="00B77B2D" w:rsidRPr="00962218" w:rsidRDefault="00962218" w:rsidP="00966C08">
            <w:pPr>
              <w:spacing w:before="240"/>
              <w:rPr>
                <w:rFonts w:asciiTheme="minorHAnsi" w:hAnsiTheme="minorHAnsi"/>
                <w:b/>
                <w:bCs/>
                <w:szCs w:val="22"/>
              </w:rPr>
            </w:pPr>
            <w:r>
              <w:rPr>
                <w:rFonts w:asciiTheme="minorHAnsi" w:hAnsiTheme="minorHAnsi"/>
                <w:b/>
                <w:bCs/>
                <w:szCs w:val="22"/>
              </w:rPr>
              <w:t>Gender Pay Gap Summary Report</w:t>
            </w:r>
            <w:r w:rsidR="00F86959">
              <w:rPr>
                <w:rFonts w:asciiTheme="minorHAnsi" w:hAnsiTheme="minorHAnsi"/>
                <w:b/>
                <w:bCs/>
                <w:szCs w:val="22"/>
              </w:rPr>
              <w:t>…………………………………………………………………………</w:t>
            </w:r>
          </w:p>
        </w:tc>
        <w:tc>
          <w:tcPr>
            <w:tcW w:w="367" w:type="dxa"/>
            <w:shd w:val="clear" w:color="auto" w:fill="auto"/>
            <w:vAlign w:val="bottom"/>
          </w:tcPr>
          <w:p w14:paraId="218AD54F" w14:textId="1D41E604" w:rsidR="00B77B2D" w:rsidRPr="00072C78" w:rsidRDefault="00853DD9" w:rsidP="00BD15A2">
            <w:pPr>
              <w:spacing w:before="240"/>
              <w:ind w:left="-111"/>
              <w:rPr>
                <w:rFonts w:asciiTheme="minorHAnsi" w:hAnsiTheme="minorHAnsi"/>
                <w:b/>
                <w:bCs/>
                <w:szCs w:val="22"/>
              </w:rPr>
            </w:pPr>
            <w:r>
              <w:rPr>
                <w:rFonts w:asciiTheme="minorHAnsi" w:hAnsiTheme="minorHAnsi"/>
                <w:b/>
                <w:bCs/>
                <w:szCs w:val="22"/>
              </w:rPr>
              <w:t>19</w:t>
            </w:r>
          </w:p>
        </w:tc>
      </w:tr>
      <w:tr w:rsidR="00E2061F" w:rsidRPr="00BE7A39" w14:paraId="24F612E4" w14:textId="77777777" w:rsidTr="004C6BDE">
        <w:trPr>
          <w:trHeight w:val="237"/>
        </w:trPr>
        <w:tc>
          <w:tcPr>
            <w:tcW w:w="8789" w:type="dxa"/>
            <w:vAlign w:val="bottom"/>
          </w:tcPr>
          <w:p w14:paraId="0D5A14AE" w14:textId="01532CD4" w:rsidR="00B77B2D" w:rsidRPr="00962218" w:rsidRDefault="00962218" w:rsidP="00966C08">
            <w:pPr>
              <w:spacing w:before="240"/>
              <w:rPr>
                <w:rFonts w:asciiTheme="minorHAnsi" w:hAnsiTheme="minorHAnsi"/>
                <w:b/>
                <w:bCs/>
                <w:szCs w:val="22"/>
              </w:rPr>
            </w:pPr>
            <w:r>
              <w:rPr>
                <w:rFonts w:asciiTheme="minorHAnsi" w:hAnsiTheme="minorHAnsi"/>
                <w:b/>
                <w:bCs/>
                <w:szCs w:val="22"/>
              </w:rPr>
              <w:t>Appendices</w:t>
            </w:r>
            <w:r w:rsidR="00F86959">
              <w:rPr>
                <w:rFonts w:asciiTheme="minorHAnsi" w:hAnsiTheme="minorHAnsi"/>
                <w:b/>
                <w:bCs/>
                <w:szCs w:val="22"/>
              </w:rPr>
              <w:t>……………………………………………………………………………………………………….</w:t>
            </w:r>
          </w:p>
        </w:tc>
        <w:tc>
          <w:tcPr>
            <w:tcW w:w="367" w:type="dxa"/>
            <w:shd w:val="clear" w:color="auto" w:fill="auto"/>
            <w:vAlign w:val="bottom"/>
          </w:tcPr>
          <w:p w14:paraId="53D81DA5" w14:textId="241D5403" w:rsidR="00B77B2D" w:rsidRPr="00072C78" w:rsidRDefault="00853DD9" w:rsidP="00BD15A2">
            <w:pPr>
              <w:spacing w:before="240"/>
              <w:ind w:left="-111"/>
              <w:rPr>
                <w:rFonts w:asciiTheme="minorHAnsi" w:hAnsiTheme="minorHAnsi"/>
                <w:b/>
                <w:bCs/>
                <w:szCs w:val="22"/>
              </w:rPr>
            </w:pPr>
            <w:r>
              <w:rPr>
                <w:rFonts w:asciiTheme="minorHAnsi" w:hAnsiTheme="minorHAnsi"/>
                <w:b/>
                <w:bCs/>
                <w:szCs w:val="22"/>
              </w:rPr>
              <w:t>25</w:t>
            </w:r>
          </w:p>
        </w:tc>
      </w:tr>
      <w:tr w:rsidR="00E2061F" w:rsidRPr="00BE7A39" w14:paraId="558CFA82" w14:textId="77777777" w:rsidTr="004C6BDE">
        <w:trPr>
          <w:trHeight w:val="237"/>
        </w:trPr>
        <w:tc>
          <w:tcPr>
            <w:tcW w:w="8789" w:type="dxa"/>
            <w:vAlign w:val="bottom"/>
          </w:tcPr>
          <w:p w14:paraId="3AF6B0BE" w14:textId="446B1F56" w:rsidR="00B77B2D" w:rsidRPr="00962218" w:rsidRDefault="00962218" w:rsidP="00966C08">
            <w:pPr>
              <w:spacing w:before="240"/>
              <w:ind w:left="312"/>
              <w:rPr>
                <w:rFonts w:asciiTheme="minorHAnsi" w:hAnsiTheme="minorHAnsi"/>
                <w:szCs w:val="22"/>
              </w:rPr>
            </w:pPr>
            <w:r>
              <w:rPr>
                <w:rFonts w:asciiTheme="minorHAnsi" w:hAnsiTheme="minorHAnsi"/>
                <w:szCs w:val="22"/>
              </w:rPr>
              <w:t>Appendix 1: Key</w:t>
            </w:r>
            <w:r w:rsidR="00F86959">
              <w:rPr>
                <w:rFonts w:asciiTheme="minorHAnsi" w:hAnsiTheme="minorHAnsi"/>
                <w:szCs w:val="22"/>
              </w:rPr>
              <w:t>………………………………………………………………………………………………….</w:t>
            </w:r>
          </w:p>
        </w:tc>
        <w:tc>
          <w:tcPr>
            <w:tcW w:w="367" w:type="dxa"/>
            <w:shd w:val="clear" w:color="auto" w:fill="auto"/>
            <w:vAlign w:val="bottom"/>
          </w:tcPr>
          <w:p w14:paraId="24E73946" w14:textId="1241BB36" w:rsidR="00B77B2D" w:rsidRPr="00BE7A39" w:rsidRDefault="00853DD9" w:rsidP="00BD15A2">
            <w:pPr>
              <w:spacing w:before="240"/>
              <w:ind w:left="-111"/>
              <w:rPr>
                <w:rFonts w:asciiTheme="minorHAnsi" w:hAnsiTheme="minorHAnsi"/>
                <w:szCs w:val="22"/>
              </w:rPr>
            </w:pPr>
            <w:r>
              <w:rPr>
                <w:rFonts w:asciiTheme="minorHAnsi" w:hAnsiTheme="minorHAnsi"/>
                <w:szCs w:val="22"/>
              </w:rPr>
              <w:t>25</w:t>
            </w:r>
          </w:p>
        </w:tc>
      </w:tr>
      <w:tr w:rsidR="00E2061F" w:rsidRPr="00BE7A39" w14:paraId="7B2D0C34" w14:textId="77777777" w:rsidTr="004C6BDE">
        <w:trPr>
          <w:trHeight w:val="237"/>
        </w:trPr>
        <w:tc>
          <w:tcPr>
            <w:tcW w:w="8789" w:type="dxa"/>
            <w:vAlign w:val="bottom"/>
          </w:tcPr>
          <w:p w14:paraId="7EBD20E3" w14:textId="308E55FE" w:rsidR="00B77B2D" w:rsidRPr="00BE7A39" w:rsidRDefault="00962218" w:rsidP="00966C08">
            <w:pPr>
              <w:spacing w:before="240"/>
              <w:ind w:left="312"/>
              <w:rPr>
                <w:rFonts w:asciiTheme="minorHAnsi" w:hAnsiTheme="minorHAnsi"/>
                <w:szCs w:val="22"/>
              </w:rPr>
            </w:pPr>
            <w:r>
              <w:rPr>
                <w:rFonts w:asciiTheme="minorHAnsi" w:hAnsiTheme="minorHAnsi"/>
                <w:szCs w:val="22"/>
              </w:rPr>
              <w:t xml:space="preserve">Appendix 2: </w:t>
            </w:r>
            <w:r w:rsidR="005903B2">
              <w:rPr>
                <w:rFonts w:asciiTheme="minorHAnsi" w:hAnsiTheme="minorHAnsi"/>
                <w:szCs w:val="22"/>
              </w:rPr>
              <w:t>Workforce Data Tables</w:t>
            </w:r>
            <w:r w:rsidR="00F86959">
              <w:rPr>
                <w:rFonts w:asciiTheme="minorHAnsi" w:hAnsiTheme="minorHAnsi"/>
                <w:szCs w:val="22"/>
              </w:rPr>
              <w:t>…………………………</w:t>
            </w:r>
            <w:r w:rsidR="006B4327">
              <w:rPr>
                <w:rFonts w:asciiTheme="minorHAnsi" w:hAnsiTheme="minorHAnsi"/>
                <w:szCs w:val="22"/>
              </w:rPr>
              <w:t>…………………………………………….</w:t>
            </w:r>
          </w:p>
        </w:tc>
        <w:tc>
          <w:tcPr>
            <w:tcW w:w="367" w:type="dxa"/>
            <w:shd w:val="clear" w:color="auto" w:fill="auto"/>
            <w:vAlign w:val="bottom"/>
          </w:tcPr>
          <w:p w14:paraId="38A3B394" w14:textId="69EF3670" w:rsidR="00B77B2D" w:rsidRPr="00BE7A39" w:rsidRDefault="00853DD9" w:rsidP="00BD15A2">
            <w:pPr>
              <w:spacing w:before="240"/>
              <w:ind w:left="-111"/>
              <w:rPr>
                <w:rFonts w:asciiTheme="minorHAnsi" w:hAnsiTheme="minorHAnsi"/>
                <w:szCs w:val="22"/>
              </w:rPr>
            </w:pPr>
            <w:r>
              <w:rPr>
                <w:rFonts w:asciiTheme="minorHAnsi" w:hAnsiTheme="minorHAnsi"/>
                <w:szCs w:val="22"/>
              </w:rPr>
              <w:t>30</w:t>
            </w:r>
          </w:p>
        </w:tc>
      </w:tr>
    </w:tbl>
    <w:p w14:paraId="0F69D25D" w14:textId="77777777" w:rsidR="004419EB" w:rsidRPr="004419EB" w:rsidRDefault="004419EB">
      <w:pPr>
        <w:rPr>
          <w:rFonts w:asciiTheme="minorHAnsi" w:hAnsiTheme="minorHAnsi"/>
          <w:color w:val="0B769F" w:themeColor="accent4" w:themeShade="BF"/>
          <w:szCs w:val="22"/>
        </w:rPr>
      </w:pPr>
    </w:p>
    <w:p w14:paraId="0B5EC5DD" w14:textId="77777777" w:rsidR="00D5189D" w:rsidRDefault="00D5189D">
      <w:pPr>
        <w:rPr>
          <w:rFonts w:asciiTheme="majorHAnsi" w:hAnsiTheme="majorHAnsi"/>
          <w:color w:val="0B769F" w:themeColor="accent4" w:themeShade="BF"/>
          <w:sz w:val="36"/>
          <w:szCs w:val="40"/>
        </w:rPr>
      </w:pPr>
      <w:r>
        <w:rPr>
          <w:rFonts w:asciiTheme="majorHAnsi" w:hAnsiTheme="majorHAnsi"/>
          <w:color w:val="0B769F" w:themeColor="accent4" w:themeShade="BF"/>
          <w:sz w:val="36"/>
          <w:szCs w:val="40"/>
        </w:rPr>
        <w:br w:type="page"/>
      </w:r>
    </w:p>
    <w:p w14:paraId="16DA0C3F" w14:textId="71880CC5" w:rsidR="005606DF" w:rsidRPr="0028253A" w:rsidRDefault="005606DF">
      <w:pPr>
        <w:rPr>
          <w:rFonts w:asciiTheme="majorHAnsi" w:hAnsiTheme="majorHAnsi"/>
          <w:color w:val="0B769F" w:themeColor="accent4" w:themeShade="BF"/>
          <w:sz w:val="40"/>
          <w:szCs w:val="44"/>
        </w:rPr>
      </w:pPr>
      <w:r w:rsidRPr="0028253A">
        <w:rPr>
          <w:rFonts w:asciiTheme="majorHAnsi" w:hAnsiTheme="majorHAnsi"/>
          <w:color w:val="0B769F" w:themeColor="accent4" w:themeShade="BF"/>
          <w:sz w:val="40"/>
          <w:szCs w:val="44"/>
        </w:rPr>
        <w:lastRenderedPageBreak/>
        <w:t>Introduction</w:t>
      </w:r>
    </w:p>
    <w:p w14:paraId="48B1CB53" w14:textId="46E4C52F" w:rsidR="004C6BDE" w:rsidRPr="000F76F0" w:rsidRDefault="000F76F0" w:rsidP="004C6BDE">
      <w:pPr>
        <w:rPr>
          <w:rFonts w:asciiTheme="minorHAnsi" w:hAnsiTheme="minorHAnsi"/>
        </w:rPr>
      </w:pPr>
      <w:r w:rsidRPr="000F76F0">
        <w:rPr>
          <w:rFonts w:asciiTheme="minorHAnsi" w:hAnsiTheme="minorHAnsi"/>
        </w:rPr>
        <w:t>Equality, diversity and inclusion (EDI)</w:t>
      </w:r>
      <w:r w:rsidR="008D4789">
        <w:rPr>
          <w:rFonts w:asciiTheme="minorHAnsi" w:hAnsiTheme="minorHAnsi"/>
        </w:rPr>
        <w:t>*</w:t>
      </w:r>
      <w:r w:rsidRPr="000F76F0">
        <w:rPr>
          <w:rFonts w:asciiTheme="minorHAnsi" w:hAnsiTheme="minorHAnsi"/>
        </w:rPr>
        <w:t xml:space="preserve"> are at the heart of Newcastle University’s mission, shaping how we teach, research and work together. As we face complex challenges—both within the sector and globally—our commitment to EDI has never been more important. This report marks another step in our journey to create a community where everyone feels valued, respected and able to thrive. It highlights the progress we have made, the challenges ahead, and the actions we will take to build a more inclusive future.</w:t>
      </w:r>
    </w:p>
    <w:p w14:paraId="58B2774D" w14:textId="77777777" w:rsidR="000F76F0" w:rsidRPr="000F76F0" w:rsidRDefault="000F76F0" w:rsidP="004C6BDE">
      <w:pPr>
        <w:rPr>
          <w:rFonts w:asciiTheme="minorHAnsi" w:hAnsiTheme="minorHAnsi"/>
        </w:rPr>
      </w:pPr>
      <w:r w:rsidRPr="000F76F0">
        <w:rPr>
          <w:rFonts w:asciiTheme="minorHAnsi" w:hAnsiTheme="minorHAnsi"/>
        </w:rPr>
        <w:t>I began my role as the University’s first Dean for Culture and Inclusion in Summer 2025—a role designed to bring coherence and ambition to our work and to drive meaningful cultural change. Although I stepped into the role at a challenging time for the university and the wider sector, our commitment to EDI remains strong and forward-looking. This year, we set out new long-term plans through our Public Sector Equality Duty Equality Objectives and our Access and Participation Plan, which will guide our work for the next five years. And after years of collective effort, the University has been awarded an Athena Swan Gold Award for gender equality, supported by an ambitious five-year action plan. Although outside this reporting window, it is important to acknowledge this success and to thank the colleagues and students whose dedication made it possible and who continue to drive meaningful change.</w:t>
      </w:r>
    </w:p>
    <w:p w14:paraId="5197AEB2" w14:textId="77777777" w:rsidR="000F76F0" w:rsidRPr="000F76F0" w:rsidRDefault="000F76F0" w:rsidP="004C6BDE">
      <w:pPr>
        <w:rPr>
          <w:rFonts w:asciiTheme="minorHAnsi" w:hAnsiTheme="minorHAnsi"/>
        </w:rPr>
      </w:pPr>
      <w:r w:rsidRPr="000F76F0">
        <w:rPr>
          <w:rFonts w:asciiTheme="minorHAnsi" w:hAnsiTheme="minorHAnsi"/>
        </w:rPr>
        <w:t>As this report shows, our institutional EDI work extends far beyond gender equality. We work with colleagues and students to identify challenges and improve policy and practice. This includes surveys, listening exercises, webinars, workshops, toolkits, training, pilot initiatives, awareness campaigns and strengthening our data insights. While our EDI Team oversee much of this work, it is inspiring to see progress driven by individuals, teams and networks across the University—each committed to embedding EDI into everyday practice.</w:t>
      </w:r>
    </w:p>
    <w:p w14:paraId="4315C7D1" w14:textId="77777777" w:rsidR="000F76F0" w:rsidRPr="000F76F0" w:rsidRDefault="000F76F0" w:rsidP="004C6BDE">
      <w:pPr>
        <w:rPr>
          <w:rFonts w:asciiTheme="minorHAnsi" w:hAnsiTheme="minorHAnsi"/>
        </w:rPr>
      </w:pPr>
      <w:r w:rsidRPr="000F76F0">
        <w:rPr>
          <w:rFonts w:asciiTheme="minorHAnsi" w:hAnsiTheme="minorHAnsi"/>
        </w:rPr>
        <w:t>These activities are helping us make progress against our objectives, particularly increasing the representation and career progression of colleagues from underrepresented groups. Our workforce is now more diverse than five years ago, enriching our education and research. Over the last 12 months we have also seen gender and disability pay gaps narrow. Change may feel slow, but these are positive steps, and reducing pay gaps remains a priority.</w:t>
      </w:r>
    </w:p>
    <w:p w14:paraId="59AD158E" w14:textId="77777777" w:rsidR="000F76F0" w:rsidRDefault="000F76F0" w:rsidP="004C6BDE">
      <w:pPr>
        <w:rPr>
          <w:rFonts w:asciiTheme="minorHAnsi" w:hAnsiTheme="minorHAnsi"/>
        </w:rPr>
      </w:pPr>
      <w:r w:rsidRPr="000F76F0">
        <w:rPr>
          <w:rFonts w:asciiTheme="minorHAnsi" w:hAnsiTheme="minorHAnsi"/>
        </w:rPr>
        <w:t>Our ambition is clear: to create a university where fairness, respect and inclusion are everyday realities. Whether you are part of our community or simply share our commitment to equality, I invite you to engage with this report and reflect on our progress and plans. By working together with students, colleagues and partners, we can strengthen our university community and contribute to a more inclusive society.</w:t>
      </w:r>
    </w:p>
    <w:p w14:paraId="660307EB" w14:textId="77777777" w:rsidR="000F76F0" w:rsidRDefault="000F76F0" w:rsidP="000F76F0">
      <w:pPr>
        <w:spacing w:after="0"/>
        <w:rPr>
          <w:rFonts w:asciiTheme="minorHAnsi" w:hAnsiTheme="minorHAnsi"/>
        </w:rPr>
      </w:pPr>
    </w:p>
    <w:p w14:paraId="7E1D5F1E" w14:textId="6020D11C" w:rsidR="00946944" w:rsidRDefault="00E9233C" w:rsidP="000F76F0">
      <w:pPr>
        <w:spacing w:after="0"/>
        <w:rPr>
          <w:rFonts w:asciiTheme="minorHAnsi" w:hAnsiTheme="minorHAnsi"/>
          <w:b/>
          <w:bCs/>
        </w:rPr>
      </w:pPr>
      <w:r>
        <w:rPr>
          <w:rFonts w:asciiTheme="minorHAnsi" w:hAnsiTheme="minorHAnsi"/>
          <w:b/>
          <w:bCs/>
        </w:rPr>
        <w:t xml:space="preserve">Professor </w:t>
      </w:r>
      <w:r w:rsidR="00DF3983">
        <w:rPr>
          <w:rFonts w:asciiTheme="minorHAnsi" w:hAnsiTheme="minorHAnsi"/>
          <w:b/>
          <w:bCs/>
        </w:rPr>
        <w:t>Candy Rowe</w:t>
      </w:r>
    </w:p>
    <w:p w14:paraId="79D22870" w14:textId="77777777" w:rsidR="00222D6A" w:rsidRDefault="00DF3983" w:rsidP="000709F9">
      <w:pPr>
        <w:rPr>
          <w:rFonts w:asciiTheme="minorHAnsi" w:hAnsiTheme="minorHAnsi"/>
        </w:rPr>
      </w:pPr>
      <w:r w:rsidRPr="00946944">
        <w:rPr>
          <w:rFonts w:asciiTheme="minorHAnsi" w:hAnsiTheme="minorHAnsi"/>
        </w:rPr>
        <w:t>Dean of Culture &amp; Inclusion</w:t>
      </w:r>
    </w:p>
    <w:p w14:paraId="03574DE4" w14:textId="77777777" w:rsidR="00222D6A" w:rsidRDefault="00222D6A" w:rsidP="000709F9">
      <w:pPr>
        <w:rPr>
          <w:rFonts w:asciiTheme="minorHAnsi" w:hAnsiTheme="minorHAnsi"/>
        </w:rPr>
      </w:pPr>
    </w:p>
    <w:p w14:paraId="1A36A7A9" w14:textId="4D64E6CB" w:rsidR="000279A6" w:rsidRPr="00946944" w:rsidRDefault="00222D6A" w:rsidP="000709F9">
      <w:pPr>
        <w:rPr>
          <w:rFonts w:asciiTheme="majorHAnsi" w:hAnsiTheme="majorHAnsi"/>
          <w:color w:val="0B769F" w:themeColor="accent4" w:themeShade="BF"/>
          <w:sz w:val="36"/>
          <w:szCs w:val="40"/>
        </w:rPr>
      </w:pPr>
      <w:r>
        <w:rPr>
          <w:rFonts w:asciiTheme="minorHAnsi" w:hAnsiTheme="minorHAnsi"/>
        </w:rPr>
        <w:t>*</w:t>
      </w:r>
      <w:r w:rsidR="0072409B">
        <w:rPr>
          <w:rFonts w:asciiTheme="minorHAnsi" w:hAnsiTheme="minorHAnsi"/>
        </w:rPr>
        <w:t>See Appendix 1 for a full list of acronyms.</w:t>
      </w:r>
      <w:r w:rsidR="000279A6" w:rsidRPr="00946944">
        <w:rPr>
          <w:rFonts w:asciiTheme="majorHAnsi" w:hAnsiTheme="majorHAnsi"/>
          <w:color w:val="0B769F" w:themeColor="accent4" w:themeShade="BF"/>
          <w:sz w:val="36"/>
          <w:szCs w:val="40"/>
        </w:rPr>
        <w:br w:type="page"/>
      </w:r>
    </w:p>
    <w:p w14:paraId="6582C921" w14:textId="077EF779" w:rsidR="00214E6C" w:rsidRPr="0028253A" w:rsidRDefault="00B50593">
      <w:pPr>
        <w:rPr>
          <w:rFonts w:asciiTheme="majorHAnsi" w:hAnsiTheme="majorHAnsi"/>
          <w:color w:val="0B769F" w:themeColor="accent4" w:themeShade="BF"/>
          <w:sz w:val="40"/>
          <w:szCs w:val="44"/>
        </w:rPr>
      </w:pPr>
      <w:r w:rsidRPr="0028253A">
        <w:rPr>
          <w:rFonts w:asciiTheme="majorHAnsi" w:hAnsiTheme="majorHAnsi"/>
          <w:color w:val="0B769F" w:themeColor="accent4" w:themeShade="BF"/>
          <w:sz w:val="40"/>
          <w:szCs w:val="44"/>
        </w:rPr>
        <w:lastRenderedPageBreak/>
        <w:t xml:space="preserve">Key Areas of Progress </w:t>
      </w:r>
      <w:r w:rsidR="00E41B64">
        <w:rPr>
          <w:rFonts w:asciiTheme="majorHAnsi" w:hAnsiTheme="majorHAnsi"/>
          <w:color w:val="0B769F" w:themeColor="accent4" w:themeShade="BF"/>
          <w:sz w:val="40"/>
          <w:szCs w:val="44"/>
        </w:rPr>
        <w:t>2024/25</w:t>
      </w:r>
    </w:p>
    <w:p w14:paraId="7F8580E7" w14:textId="4850CB52" w:rsidR="00B50593" w:rsidRDefault="00B50593">
      <w:pPr>
        <w:rPr>
          <w:rFonts w:asciiTheme="minorHAnsi" w:hAnsiTheme="minorHAnsi"/>
          <w:szCs w:val="22"/>
        </w:rPr>
      </w:pPr>
      <w:r w:rsidRPr="00011DA7">
        <w:rPr>
          <w:rFonts w:asciiTheme="minorHAnsi" w:hAnsiTheme="minorHAnsi"/>
          <w:szCs w:val="22"/>
        </w:rPr>
        <w:t xml:space="preserve">Across Newcastle University, we are committed to enabling a positive, inclusive and supportive culture in which everyone can reach their full potential. We adopt a collaborative approach, ensuring that there is a platform for everyone to contribute and have a voice. Our EDI work is </w:t>
      </w:r>
      <w:r w:rsidR="007B4EF1" w:rsidRPr="00011DA7">
        <w:rPr>
          <w:rFonts w:asciiTheme="minorHAnsi" w:hAnsiTheme="minorHAnsi"/>
          <w:szCs w:val="22"/>
        </w:rPr>
        <w:t xml:space="preserve">enabled and </w:t>
      </w:r>
      <w:r w:rsidRPr="00011DA7">
        <w:rPr>
          <w:rFonts w:asciiTheme="minorHAnsi" w:hAnsiTheme="minorHAnsi"/>
          <w:szCs w:val="22"/>
        </w:rPr>
        <w:t>advanced by colleagues across our institution, through dedicated working groups</w:t>
      </w:r>
      <w:r w:rsidR="00D37CB0" w:rsidRPr="00011DA7">
        <w:rPr>
          <w:rFonts w:asciiTheme="minorHAnsi" w:hAnsiTheme="minorHAnsi"/>
          <w:szCs w:val="22"/>
        </w:rPr>
        <w:t xml:space="preserve"> and committees, </w:t>
      </w:r>
      <w:r w:rsidR="00D409B5" w:rsidRPr="00011DA7">
        <w:rPr>
          <w:rFonts w:asciiTheme="minorHAnsi" w:hAnsiTheme="minorHAnsi"/>
          <w:szCs w:val="22"/>
        </w:rPr>
        <w:t>colleague networks</w:t>
      </w:r>
      <w:r w:rsidR="00D37CB0" w:rsidRPr="00011DA7">
        <w:rPr>
          <w:rFonts w:asciiTheme="minorHAnsi" w:hAnsiTheme="minorHAnsi"/>
          <w:szCs w:val="22"/>
        </w:rPr>
        <w:t xml:space="preserve">, projects, events and initiatives. </w:t>
      </w:r>
      <w:r w:rsidR="00D409B5" w:rsidRPr="00011DA7">
        <w:rPr>
          <w:rFonts w:asciiTheme="minorHAnsi" w:hAnsiTheme="minorHAnsi"/>
          <w:szCs w:val="22"/>
        </w:rPr>
        <w:t xml:space="preserve">Our work is fully aligned to our </w:t>
      </w:r>
      <w:hyperlink r:id="rId8" w:history="1">
        <w:r w:rsidR="00D409B5" w:rsidRPr="00011DA7">
          <w:rPr>
            <w:rStyle w:val="Hyperlink"/>
            <w:rFonts w:asciiTheme="minorHAnsi" w:hAnsiTheme="minorHAnsi"/>
            <w:szCs w:val="22"/>
          </w:rPr>
          <w:t>EDI Strategy</w:t>
        </w:r>
      </w:hyperlink>
      <w:r w:rsidR="00D409B5" w:rsidRPr="00011DA7">
        <w:rPr>
          <w:rFonts w:asciiTheme="minorHAnsi" w:hAnsiTheme="minorHAnsi"/>
          <w:szCs w:val="22"/>
        </w:rPr>
        <w:t xml:space="preserve">, with the purpose of progressing our seven </w:t>
      </w:r>
      <w:hyperlink r:id="rId9" w:history="1">
        <w:r w:rsidR="00D409B5" w:rsidRPr="00011DA7">
          <w:rPr>
            <w:rStyle w:val="Hyperlink"/>
            <w:rFonts w:asciiTheme="minorHAnsi" w:hAnsiTheme="minorHAnsi"/>
            <w:szCs w:val="22"/>
          </w:rPr>
          <w:t>Public Sector Equality Duty (PSED) Equality Objectives 2025-2029</w:t>
        </w:r>
      </w:hyperlink>
      <w:r w:rsidR="00D409B5" w:rsidRPr="00011DA7">
        <w:rPr>
          <w:rFonts w:asciiTheme="minorHAnsi" w:hAnsiTheme="minorHAnsi"/>
          <w:szCs w:val="22"/>
        </w:rPr>
        <w:t>.</w:t>
      </w:r>
      <w:r w:rsidR="00D409B5">
        <w:rPr>
          <w:rFonts w:asciiTheme="minorHAnsi" w:hAnsiTheme="minorHAnsi"/>
          <w:szCs w:val="22"/>
        </w:rPr>
        <w:t xml:space="preserve"> </w:t>
      </w:r>
    </w:p>
    <w:p w14:paraId="659D6286" w14:textId="610A0534" w:rsidR="00D409B5" w:rsidRPr="00520121" w:rsidRDefault="00D409B5">
      <w:pPr>
        <w:rPr>
          <w:rFonts w:asciiTheme="minorHAnsi" w:hAnsiTheme="minorHAnsi"/>
          <w:szCs w:val="22"/>
        </w:rPr>
      </w:pPr>
      <w:r>
        <w:rPr>
          <w:rFonts w:asciiTheme="minorHAnsi" w:hAnsiTheme="minorHAnsi"/>
          <w:szCs w:val="22"/>
        </w:rPr>
        <w:t xml:space="preserve">In this section, we outline a selection of key activities undertaken in the 2024/25 academic year to deliver EDI progress against our PSED Equality Objectives. </w:t>
      </w:r>
    </w:p>
    <w:p w14:paraId="59108D93" w14:textId="08566667" w:rsidR="00493DDE" w:rsidRDefault="00493DDE" w:rsidP="00493DDE">
      <w:pPr>
        <w:rPr>
          <w:rFonts w:asciiTheme="minorHAnsi" w:eastAsiaTheme="minorEastAsia" w:hAnsiTheme="minorHAnsi"/>
        </w:rPr>
      </w:pPr>
      <w:r w:rsidRPr="00F00E45">
        <w:rPr>
          <w:rFonts w:asciiTheme="minorHAnsi" w:eastAsiaTheme="minorEastAsia" w:hAnsiTheme="minorHAnsi"/>
        </w:rPr>
        <w:t xml:space="preserve">Following the </w:t>
      </w:r>
      <w:r w:rsidR="00E55230">
        <w:rPr>
          <w:rFonts w:asciiTheme="minorHAnsi" w:eastAsiaTheme="minorEastAsia" w:hAnsiTheme="minorHAnsi"/>
        </w:rPr>
        <w:t>2024/25</w:t>
      </w:r>
      <w:r w:rsidRPr="00F00E45">
        <w:rPr>
          <w:rFonts w:asciiTheme="minorHAnsi" w:eastAsiaTheme="minorEastAsia" w:hAnsiTheme="minorHAnsi"/>
        </w:rPr>
        <w:t xml:space="preserve"> reporting period of this report, </w:t>
      </w:r>
      <w:r w:rsidR="001A59B2">
        <w:rPr>
          <w:rFonts w:asciiTheme="minorHAnsi" w:eastAsiaTheme="minorEastAsia" w:hAnsiTheme="minorHAnsi"/>
        </w:rPr>
        <w:t xml:space="preserve">we felt that it was important to note that </w:t>
      </w:r>
      <w:r w:rsidRPr="00F00E45">
        <w:rPr>
          <w:rFonts w:asciiTheme="minorHAnsi" w:eastAsiaTheme="minorEastAsia" w:hAnsiTheme="minorHAnsi"/>
        </w:rPr>
        <w:t>Newcastle University was awarded an</w:t>
      </w:r>
      <w:r w:rsidR="00D409B5">
        <w:rPr>
          <w:rFonts w:asciiTheme="minorHAnsi" w:eastAsiaTheme="minorEastAsia" w:hAnsiTheme="minorHAnsi"/>
        </w:rPr>
        <w:t xml:space="preserve"> institutional</w:t>
      </w:r>
      <w:r w:rsidRPr="00F00E45">
        <w:rPr>
          <w:rFonts w:asciiTheme="minorHAnsi" w:eastAsiaTheme="minorEastAsia" w:hAnsiTheme="minorHAnsi"/>
        </w:rPr>
        <w:t xml:space="preserve"> Athena Swan Gold </w:t>
      </w:r>
      <w:r w:rsidR="00D409B5">
        <w:rPr>
          <w:rFonts w:asciiTheme="minorHAnsi" w:eastAsiaTheme="minorEastAsia" w:hAnsiTheme="minorHAnsi"/>
        </w:rPr>
        <w:t>A</w:t>
      </w:r>
      <w:r w:rsidRPr="00F00E45">
        <w:rPr>
          <w:rFonts w:asciiTheme="minorHAnsi" w:eastAsiaTheme="minorEastAsia" w:hAnsiTheme="minorHAnsi"/>
        </w:rPr>
        <w:t xml:space="preserve">ward, becoming one of only four UK </w:t>
      </w:r>
      <w:r w:rsidR="00C7315A">
        <w:rPr>
          <w:rFonts w:asciiTheme="minorHAnsi" w:eastAsiaTheme="minorEastAsia" w:hAnsiTheme="minorHAnsi"/>
        </w:rPr>
        <w:t>Higher Education Institutions</w:t>
      </w:r>
      <w:r w:rsidRPr="00F00E45">
        <w:rPr>
          <w:rFonts w:asciiTheme="minorHAnsi" w:eastAsiaTheme="minorEastAsia" w:hAnsiTheme="minorHAnsi"/>
        </w:rPr>
        <w:t xml:space="preserve"> to hold this level of recognition. While the evidence supporting our submission includes data from this reporting period, a full account of the progress made, the actions taken to achieve this milestone, and our continued work to advance the Athena Swan principles will be presented in the </w:t>
      </w:r>
      <w:r w:rsidR="000262F8">
        <w:rPr>
          <w:rFonts w:asciiTheme="minorHAnsi" w:eastAsiaTheme="minorEastAsia" w:hAnsiTheme="minorHAnsi"/>
        </w:rPr>
        <w:t>2025/26</w:t>
      </w:r>
      <w:r w:rsidRPr="00F00E45">
        <w:rPr>
          <w:rFonts w:asciiTheme="minorHAnsi" w:eastAsiaTheme="minorEastAsia" w:hAnsiTheme="minorHAnsi"/>
        </w:rPr>
        <w:t xml:space="preserve"> report</w:t>
      </w:r>
      <w:r>
        <w:rPr>
          <w:rFonts w:asciiTheme="minorHAnsi" w:eastAsiaTheme="minorEastAsia" w:hAnsiTheme="minorHAnsi"/>
        </w:rPr>
        <w:t xml:space="preserve">. </w:t>
      </w:r>
    </w:p>
    <w:p w14:paraId="5903DAD4" w14:textId="77777777" w:rsidR="009818E2" w:rsidRPr="00574E4C" w:rsidRDefault="009818E2" w:rsidP="22D7EE0B">
      <w:pPr>
        <w:rPr>
          <w:rFonts w:asciiTheme="majorHAnsi" w:hAnsiTheme="majorHAnsi"/>
          <w:szCs w:val="22"/>
        </w:rPr>
      </w:pPr>
    </w:p>
    <w:p w14:paraId="7CA3BFBF" w14:textId="09AFCAF5" w:rsidR="009F1F47" w:rsidRPr="003A2A28" w:rsidRDefault="6D6CE58C" w:rsidP="22D7EE0B">
      <w:pPr>
        <w:rPr>
          <w:rFonts w:asciiTheme="majorHAnsi" w:hAnsiTheme="majorHAnsi"/>
          <w:color w:val="0B769F" w:themeColor="accent4" w:themeShade="BF"/>
          <w:sz w:val="28"/>
          <w:szCs w:val="28"/>
        </w:rPr>
      </w:pPr>
      <w:r w:rsidRPr="22D7EE0B">
        <w:rPr>
          <w:rFonts w:asciiTheme="majorHAnsi" w:hAnsiTheme="majorHAnsi"/>
          <w:color w:val="0B769F" w:themeColor="accent4" w:themeShade="BF"/>
          <w:sz w:val="28"/>
          <w:szCs w:val="28"/>
        </w:rPr>
        <w:t>EO1. Further develop an inclusive culture and one which does not tolerate hate crime, discrimination, victimisation or harassment.</w:t>
      </w:r>
    </w:p>
    <w:p w14:paraId="0F9ABABF" w14:textId="346D4A3A" w:rsidR="0098706F" w:rsidRPr="00520121" w:rsidRDefault="0098706F" w:rsidP="0098706F">
      <w:pPr>
        <w:rPr>
          <w:rFonts w:asciiTheme="minorHAnsi" w:hAnsiTheme="minorHAnsi"/>
          <w:szCs w:val="22"/>
        </w:rPr>
      </w:pPr>
      <w:r w:rsidRPr="00520121">
        <w:rPr>
          <w:rFonts w:asciiTheme="minorHAnsi" w:hAnsiTheme="minorHAnsi"/>
          <w:szCs w:val="22"/>
        </w:rPr>
        <w:t>Improving EDI knowledge and awareness continued to be a focus for Newcastle University over the past year. Unconscious bias training workshops were rolled out to colleagues involved in the University’s Research Excellence Framework 2029 Preparation Panels to address bias in submission decision-making</w:t>
      </w:r>
      <w:r w:rsidR="00123572">
        <w:rPr>
          <w:rFonts w:asciiTheme="minorHAnsi" w:hAnsiTheme="minorHAnsi"/>
          <w:szCs w:val="22"/>
        </w:rPr>
        <w:t xml:space="preserve">. </w:t>
      </w:r>
      <w:r w:rsidR="00D409B5">
        <w:rPr>
          <w:rFonts w:asciiTheme="minorHAnsi" w:hAnsiTheme="minorHAnsi"/>
          <w:szCs w:val="22"/>
        </w:rPr>
        <w:t>We continue to provide these workshops</w:t>
      </w:r>
      <w:r w:rsidR="00123572">
        <w:rPr>
          <w:rFonts w:asciiTheme="minorHAnsi" w:hAnsiTheme="minorHAnsi"/>
          <w:szCs w:val="22"/>
        </w:rPr>
        <w:t xml:space="preserve"> to ensure that all colleagues sitting on Preparation Panels </w:t>
      </w:r>
      <w:proofErr w:type="gramStart"/>
      <w:r w:rsidR="00123572">
        <w:rPr>
          <w:rFonts w:asciiTheme="minorHAnsi" w:hAnsiTheme="minorHAnsi"/>
          <w:szCs w:val="22"/>
        </w:rPr>
        <w:t>are able to</w:t>
      </w:r>
      <w:proofErr w:type="gramEnd"/>
      <w:r w:rsidR="00123572">
        <w:rPr>
          <w:rFonts w:asciiTheme="minorHAnsi" w:hAnsiTheme="minorHAnsi"/>
          <w:szCs w:val="22"/>
        </w:rPr>
        <w:t xml:space="preserve"> complete the training. </w:t>
      </w:r>
    </w:p>
    <w:p w14:paraId="69E6F492" w14:textId="4EB1BD7F" w:rsidR="00012708" w:rsidRDefault="002D1F12" w:rsidP="2640F2DD">
      <w:pPr>
        <w:rPr>
          <w:rFonts w:asciiTheme="minorHAnsi" w:hAnsiTheme="minorHAnsi"/>
        </w:rPr>
      </w:pPr>
      <w:r w:rsidRPr="2640F2DD">
        <w:rPr>
          <w:rFonts w:asciiTheme="minorHAnsi" w:hAnsiTheme="minorHAnsi"/>
        </w:rPr>
        <w:t xml:space="preserve">Following the 2024 </w:t>
      </w:r>
      <w:r w:rsidR="004E479D" w:rsidRPr="2640F2DD">
        <w:rPr>
          <w:rFonts w:asciiTheme="minorHAnsi" w:hAnsiTheme="minorHAnsi"/>
        </w:rPr>
        <w:t>creation</w:t>
      </w:r>
      <w:r w:rsidRPr="2640F2DD">
        <w:rPr>
          <w:rFonts w:asciiTheme="minorHAnsi" w:hAnsiTheme="minorHAnsi"/>
        </w:rPr>
        <w:t xml:space="preserve"> of </w:t>
      </w:r>
      <w:r w:rsidR="00311F00" w:rsidRPr="2640F2DD">
        <w:rPr>
          <w:rFonts w:asciiTheme="minorHAnsi" w:hAnsiTheme="minorHAnsi"/>
        </w:rPr>
        <w:t>Newcastle</w:t>
      </w:r>
      <w:r w:rsidRPr="2640F2DD">
        <w:rPr>
          <w:rFonts w:asciiTheme="minorHAnsi" w:hAnsiTheme="minorHAnsi"/>
        </w:rPr>
        <w:t xml:space="preserve"> University’s Behaviour Matters project, </w:t>
      </w:r>
      <w:r w:rsidR="00046C33" w:rsidRPr="2640F2DD">
        <w:rPr>
          <w:rFonts w:asciiTheme="minorHAnsi" w:hAnsiTheme="minorHAnsi"/>
        </w:rPr>
        <w:t xml:space="preserve">a sexual misconduct procedure </w:t>
      </w:r>
      <w:r w:rsidR="00877934" w:rsidRPr="2640F2DD">
        <w:rPr>
          <w:rFonts w:asciiTheme="minorHAnsi" w:hAnsiTheme="minorHAnsi"/>
        </w:rPr>
        <w:t>was</w:t>
      </w:r>
      <w:r w:rsidR="00046C33" w:rsidRPr="2640F2DD">
        <w:rPr>
          <w:rFonts w:asciiTheme="minorHAnsi" w:hAnsiTheme="minorHAnsi"/>
        </w:rPr>
        <w:t xml:space="preserve"> relaunched</w:t>
      </w:r>
      <w:r w:rsidR="0030073B" w:rsidRPr="2640F2DD">
        <w:rPr>
          <w:rFonts w:asciiTheme="minorHAnsi" w:hAnsiTheme="minorHAnsi"/>
        </w:rPr>
        <w:t xml:space="preserve"> </w:t>
      </w:r>
      <w:r w:rsidR="002E3ED1" w:rsidRPr="2640F2DD">
        <w:rPr>
          <w:rFonts w:asciiTheme="minorHAnsi" w:hAnsiTheme="minorHAnsi"/>
        </w:rPr>
        <w:t>with an accompanying video to support staff and students’ understanding</w:t>
      </w:r>
      <w:r w:rsidR="001075C1" w:rsidRPr="2640F2DD">
        <w:rPr>
          <w:rFonts w:asciiTheme="minorHAnsi" w:hAnsiTheme="minorHAnsi"/>
        </w:rPr>
        <w:t xml:space="preserve">. </w:t>
      </w:r>
      <w:r w:rsidR="008C6F46" w:rsidRPr="2640F2DD">
        <w:rPr>
          <w:rFonts w:asciiTheme="minorHAnsi" w:hAnsiTheme="minorHAnsi"/>
        </w:rPr>
        <w:t>Additionally, colleagues</w:t>
      </w:r>
      <w:r w:rsidR="001C224A" w:rsidRPr="2640F2DD">
        <w:rPr>
          <w:rFonts w:asciiTheme="minorHAnsi" w:hAnsiTheme="minorHAnsi"/>
        </w:rPr>
        <w:t xml:space="preserve"> </w:t>
      </w:r>
      <w:r w:rsidR="00CF5566" w:rsidRPr="2640F2DD">
        <w:rPr>
          <w:rFonts w:asciiTheme="minorHAnsi" w:hAnsiTheme="minorHAnsi"/>
        </w:rPr>
        <w:t>participated in a series of workshops to define ‘appropriate’ and ‘inappropriate</w:t>
      </w:r>
      <w:r w:rsidR="00B56381" w:rsidRPr="2640F2DD">
        <w:rPr>
          <w:rFonts w:asciiTheme="minorHAnsi" w:hAnsiTheme="minorHAnsi"/>
        </w:rPr>
        <w:t>’</w:t>
      </w:r>
      <w:r w:rsidR="00CF5566" w:rsidRPr="2640F2DD">
        <w:rPr>
          <w:rFonts w:asciiTheme="minorHAnsi" w:hAnsiTheme="minorHAnsi"/>
        </w:rPr>
        <w:t xml:space="preserve"> behaviours </w:t>
      </w:r>
      <w:r w:rsidR="00743A04" w:rsidRPr="2640F2DD">
        <w:rPr>
          <w:rFonts w:asciiTheme="minorHAnsi" w:hAnsiTheme="minorHAnsi"/>
        </w:rPr>
        <w:t xml:space="preserve">as part of an ongoing </w:t>
      </w:r>
      <w:r w:rsidR="00423931">
        <w:rPr>
          <w:rFonts w:asciiTheme="minorHAnsi" w:hAnsiTheme="minorHAnsi"/>
        </w:rPr>
        <w:t>project</w:t>
      </w:r>
      <w:r w:rsidR="00743A04" w:rsidRPr="2640F2DD">
        <w:rPr>
          <w:rFonts w:asciiTheme="minorHAnsi" w:hAnsiTheme="minorHAnsi"/>
        </w:rPr>
        <w:t xml:space="preserve"> to</w:t>
      </w:r>
      <w:r w:rsidR="00B56381" w:rsidRPr="2640F2DD">
        <w:rPr>
          <w:rFonts w:asciiTheme="minorHAnsi" w:hAnsiTheme="minorHAnsi"/>
        </w:rPr>
        <w:t xml:space="preserve"> </w:t>
      </w:r>
      <w:r w:rsidR="00743A04" w:rsidRPr="2640F2DD">
        <w:rPr>
          <w:rFonts w:asciiTheme="minorHAnsi" w:hAnsiTheme="minorHAnsi"/>
        </w:rPr>
        <w:t>develop</w:t>
      </w:r>
      <w:r w:rsidR="00B56381" w:rsidRPr="2640F2DD">
        <w:rPr>
          <w:rFonts w:asciiTheme="minorHAnsi" w:hAnsiTheme="minorHAnsi"/>
        </w:rPr>
        <w:t xml:space="preserve"> a </w:t>
      </w:r>
      <w:r w:rsidR="00975E4D">
        <w:rPr>
          <w:rFonts w:asciiTheme="minorHAnsi" w:hAnsiTheme="minorHAnsi"/>
        </w:rPr>
        <w:t>revised</w:t>
      </w:r>
      <w:r w:rsidR="00B56381" w:rsidRPr="2640F2DD">
        <w:rPr>
          <w:rFonts w:asciiTheme="minorHAnsi" w:hAnsiTheme="minorHAnsi"/>
        </w:rPr>
        <w:t xml:space="preserve"> institution-wide Behaviour Framework. </w:t>
      </w:r>
    </w:p>
    <w:p w14:paraId="177BEB3F" w14:textId="252EBD61" w:rsidR="00FC01FA" w:rsidRDefault="00FC01FA" w:rsidP="2640F2DD">
      <w:pPr>
        <w:rPr>
          <w:rFonts w:asciiTheme="minorHAnsi" w:hAnsiTheme="minorHAnsi"/>
        </w:rPr>
      </w:pPr>
      <w:r w:rsidRPr="00FC01FA">
        <w:rPr>
          <w:rFonts w:asciiTheme="minorHAnsi" w:hAnsiTheme="minorHAnsi"/>
        </w:rPr>
        <w:t xml:space="preserve">We also started a £1M project funded by the </w:t>
      </w:r>
      <w:proofErr w:type="spellStart"/>
      <w:r w:rsidRPr="00FC01FA">
        <w:rPr>
          <w:rFonts w:asciiTheme="minorHAnsi" w:hAnsiTheme="minorHAnsi"/>
        </w:rPr>
        <w:t>Wellcome</w:t>
      </w:r>
      <w:proofErr w:type="spellEnd"/>
      <w:r w:rsidRPr="00FC01FA">
        <w:rPr>
          <w:rFonts w:asciiTheme="minorHAnsi" w:hAnsiTheme="minorHAnsi"/>
        </w:rPr>
        <w:t xml:space="preserve"> Trust, Reimagining Leadership, aiming to create more inclusive environments where researchers and research can thrive. This ambitious project uniquely brings together colleagues from a range of different disciplines to work in partnership with our research community to improve, recognise and reward leadership practices that build psychological safety and inclusion. The project will deliver insights into leadership practice within the </w:t>
      </w:r>
      <w:r w:rsidR="00222AAA">
        <w:rPr>
          <w:rFonts w:asciiTheme="minorHAnsi" w:hAnsiTheme="minorHAnsi"/>
        </w:rPr>
        <w:t>U</w:t>
      </w:r>
      <w:r w:rsidRPr="00FC01FA">
        <w:rPr>
          <w:rFonts w:asciiTheme="minorHAnsi" w:hAnsiTheme="minorHAnsi"/>
        </w:rPr>
        <w:t>niversity, as well as a range of new activities, including leadership development opportunities and recommendations for improving our reward and promotion processes.</w:t>
      </w:r>
    </w:p>
    <w:p w14:paraId="638A5F7E" w14:textId="7BB6F0B8" w:rsidR="007C40D6" w:rsidRPr="00520121" w:rsidRDefault="00294D90" w:rsidP="001D1E7D">
      <w:pPr>
        <w:rPr>
          <w:rFonts w:asciiTheme="minorHAnsi" w:hAnsiTheme="minorHAnsi"/>
        </w:rPr>
      </w:pPr>
      <w:r>
        <w:rPr>
          <w:rFonts w:asciiTheme="minorHAnsi" w:hAnsiTheme="minorHAnsi"/>
        </w:rPr>
        <w:t xml:space="preserve">The Black History Month (BHM) Steering Group advanced a range of activities to support racial unity across the University, including a </w:t>
      </w:r>
      <w:hyperlink r:id="rId10" w:history="1">
        <w:r w:rsidRPr="00011DA7">
          <w:rPr>
            <w:rStyle w:val="Hyperlink"/>
            <w:rFonts w:asciiTheme="minorHAnsi" w:hAnsiTheme="minorHAnsi"/>
          </w:rPr>
          <w:t>report on our institutional history</w:t>
        </w:r>
      </w:hyperlink>
      <w:r w:rsidRPr="00011DA7">
        <w:rPr>
          <w:rFonts w:asciiTheme="minorHAnsi" w:hAnsiTheme="minorHAnsi"/>
        </w:rPr>
        <w:t xml:space="preserve"> in</w:t>
      </w:r>
      <w:r>
        <w:rPr>
          <w:rFonts w:asciiTheme="minorHAnsi" w:hAnsiTheme="minorHAnsi"/>
        </w:rPr>
        <w:t xml:space="preserve"> collaboration with </w:t>
      </w:r>
      <w:r>
        <w:rPr>
          <w:rFonts w:asciiTheme="minorHAnsi" w:hAnsiTheme="minorHAnsi"/>
        </w:rPr>
        <w:lastRenderedPageBreak/>
        <w:t xml:space="preserve">the Centre for Heritage, support a Newcastle University Student’s Union (NUSU) programme of arts and cultural activities, and sponsoring the annual </w:t>
      </w:r>
      <w:r w:rsidR="00794113">
        <w:rPr>
          <w:rFonts w:asciiTheme="minorHAnsi" w:hAnsiTheme="minorHAnsi"/>
        </w:rPr>
        <w:t>BHM</w:t>
      </w:r>
      <w:r>
        <w:rPr>
          <w:rFonts w:asciiTheme="minorHAnsi" w:hAnsiTheme="minorHAnsi"/>
        </w:rPr>
        <w:t xml:space="preserve"> INSIGHTS lecture. </w:t>
      </w:r>
      <w:r w:rsidR="00D259AF" w:rsidRPr="2E19DA30">
        <w:rPr>
          <w:rFonts w:asciiTheme="minorHAnsi" w:hAnsiTheme="minorHAnsi"/>
        </w:rPr>
        <w:t xml:space="preserve">Furthermore, the EDI </w:t>
      </w:r>
      <w:r w:rsidR="00A33BFE">
        <w:rPr>
          <w:rFonts w:asciiTheme="minorHAnsi" w:hAnsiTheme="minorHAnsi"/>
        </w:rPr>
        <w:t>Team</w:t>
      </w:r>
      <w:r w:rsidR="00D259AF" w:rsidRPr="2E19DA30">
        <w:rPr>
          <w:rFonts w:asciiTheme="minorHAnsi" w:hAnsiTheme="minorHAnsi"/>
        </w:rPr>
        <w:t xml:space="preserve"> partnered</w:t>
      </w:r>
      <w:r w:rsidR="00180B2F" w:rsidRPr="2E19DA30">
        <w:rPr>
          <w:rFonts w:asciiTheme="minorHAnsi" w:hAnsiTheme="minorHAnsi"/>
        </w:rPr>
        <w:t xml:space="preserve"> with</w:t>
      </w:r>
      <w:r w:rsidR="00240B27" w:rsidRPr="2E19DA30">
        <w:rPr>
          <w:rFonts w:asciiTheme="minorHAnsi" w:hAnsiTheme="minorHAnsi"/>
        </w:rPr>
        <w:t xml:space="preserve"> </w:t>
      </w:r>
      <w:r w:rsidR="00FD5470" w:rsidRPr="2E19DA30">
        <w:rPr>
          <w:rFonts w:asciiTheme="minorHAnsi" w:hAnsiTheme="minorHAnsi"/>
        </w:rPr>
        <w:t>Georgia State University, Georgia Tech Universit</w:t>
      </w:r>
      <w:r>
        <w:rPr>
          <w:rFonts w:asciiTheme="minorHAnsi" w:hAnsiTheme="minorHAnsi"/>
        </w:rPr>
        <w:t>y</w:t>
      </w:r>
      <w:r w:rsidR="00FD5470" w:rsidRPr="2E19DA30">
        <w:rPr>
          <w:rFonts w:asciiTheme="minorHAnsi" w:hAnsiTheme="minorHAnsi"/>
        </w:rPr>
        <w:t xml:space="preserve"> and Morehouse College </w:t>
      </w:r>
      <w:r w:rsidR="006426B2" w:rsidRPr="2E19DA30">
        <w:rPr>
          <w:rFonts w:asciiTheme="minorHAnsi" w:hAnsiTheme="minorHAnsi"/>
        </w:rPr>
        <w:t>to mark 2025’s Race Equality Week</w:t>
      </w:r>
      <w:r w:rsidR="001E228D" w:rsidRPr="2E19DA30">
        <w:rPr>
          <w:rFonts w:asciiTheme="minorHAnsi" w:hAnsiTheme="minorHAnsi"/>
        </w:rPr>
        <w:t xml:space="preserve"> with a joint webinar entitled ‘Making every Action Count: Race Equality Past, Present and Future’.</w:t>
      </w:r>
      <w:r w:rsidR="009A5BA7" w:rsidRPr="2E19DA30">
        <w:rPr>
          <w:rFonts w:asciiTheme="minorHAnsi" w:hAnsiTheme="minorHAnsi"/>
        </w:rPr>
        <w:t xml:space="preserve"> Attendees</w:t>
      </w:r>
      <w:r w:rsidR="00F921BE" w:rsidRPr="2E19DA30">
        <w:rPr>
          <w:rFonts w:asciiTheme="minorHAnsi" w:hAnsiTheme="minorHAnsi"/>
        </w:rPr>
        <w:t xml:space="preserve"> heard from speakers</w:t>
      </w:r>
      <w:r w:rsidR="009573C5" w:rsidRPr="2E19DA30">
        <w:rPr>
          <w:rFonts w:asciiTheme="minorHAnsi" w:hAnsiTheme="minorHAnsi"/>
        </w:rPr>
        <w:t xml:space="preserve"> </w:t>
      </w:r>
      <w:r>
        <w:rPr>
          <w:rFonts w:asciiTheme="minorHAnsi" w:hAnsiTheme="minorHAnsi"/>
        </w:rPr>
        <w:t>about</w:t>
      </w:r>
      <w:r w:rsidR="009573C5" w:rsidRPr="2E19DA30">
        <w:rPr>
          <w:rFonts w:asciiTheme="minorHAnsi" w:hAnsiTheme="minorHAnsi"/>
        </w:rPr>
        <w:t xml:space="preserve"> the legacy of Dr. Martin Luther King Jr.</w:t>
      </w:r>
      <w:r w:rsidR="000817AA" w:rsidRPr="2E19DA30">
        <w:rPr>
          <w:rFonts w:asciiTheme="minorHAnsi" w:hAnsiTheme="minorHAnsi"/>
        </w:rPr>
        <w:t xml:space="preserve">, </w:t>
      </w:r>
      <w:r w:rsidR="008F374E" w:rsidRPr="2E19DA30">
        <w:rPr>
          <w:rFonts w:asciiTheme="minorHAnsi" w:hAnsiTheme="minorHAnsi"/>
        </w:rPr>
        <w:t xml:space="preserve">progress on racial equity in both the UK and the </w:t>
      </w:r>
      <w:r w:rsidR="002D32EE" w:rsidRPr="2E19DA30">
        <w:rPr>
          <w:rFonts w:asciiTheme="minorHAnsi" w:hAnsiTheme="minorHAnsi"/>
        </w:rPr>
        <w:t>US and</w:t>
      </w:r>
      <w:r w:rsidR="00BC16FE" w:rsidRPr="2E19DA30">
        <w:rPr>
          <w:rFonts w:asciiTheme="minorHAnsi" w:hAnsiTheme="minorHAnsi"/>
        </w:rPr>
        <w:t xml:space="preserve"> participated in group discussions</w:t>
      </w:r>
      <w:r w:rsidR="00DA2336" w:rsidRPr="2E19DA30">
        <w:rPr>
          <w:rFonts w:asciiTheme="minorHAnsi" w:hAnsiTheme="minorHAnsi"/>
        </w:rPr>
        <w:t>.</w:t>
      </w:r>
    </w:p>
    <w:p w14:paraId="472F594F" w14:textId="6220F325" w:rsidR="001B4B22" w:rsidRDefault="001E2861" w:rsidP="00083823">
      <w:pPr>
        <w:rPr>
          <w:rFonts w:asciiTheme="minorHAnsi" w:hAnsiTheme="minorHAnsi"/>
        </w:rPr>
      </w:pPr>
      <w:r w:rsidRPr="43B28B41">
        <w:rPr>
          <w:rFonts w:asciiTheme="minorHAnsi" w:hAnsiTheme="minorHAnsi"/>
        </w:rPr>
        <w:t xml:space="preserve">The Colleague Health &amp; Wellbeing </w:t>
      </w:r>
      <w:r w:rsidR="00DA2336" w:rsidRPr="43B28B41">
        <w:rPr>
          <w:rFonts w:asciiTheme="minorHAnsi" w:hAnsiTheme="minorHAnsi"/>
        </w:rPr>
        <w:t xml:space="preserve">(CHW) </w:t>
      </w:r>
      <w:r w:rsidRPr="43B28B41">
        <w:rPr>
          <w:rFonts w:asciiTheme="minorHAnsi" w:hAnsiTheme="minorHAnsi"/>
        </w:rPr>
        <w:t>Team</w:t>
      </w:r>
      <w:r w:rsidR="00BF4BD9" w:rsidRPr="43B28B41">
        <w:rPr>
          <w:rFonts w:asciiTheme="minorHAnsi" w:hAnsiTheme="minorHAnsi"/>
        </w:rPr>
        <w:t xml:space="preserve"> continued to expand the network of Mental Health First Aiders across the University, ensuring</w:t>
      </w:r>
      <w:r w:rsidR="00383A03" w:rsidRPr="43B28B41">
        <w:rPr>
          <w:rFonts w:asciiTheme="minorHAnsi" w:hAnsiTheme="minorHAnsi"/>
        </w:rPr>
        <w:t xml:space="preserve"> adequate mental health support for all. </w:t>
      </w:r>
      <w:r w:rsidR="001C19A2" w:rsidRPr="43B28B41">
        <w:rPr>
          <w:rFonts w:asciiTheme="minorHAnsi" w:hAnsiTheme="minorHAnsi"/>
        </w:rPr>
        <w:t>We</w:t>
      </w:r>
      <w:r w:rsidR="009F7D3D" w:rsidRPr="43B28B41">
        <w:rPr>
          <w:rFonts w:asciiTheme="minorHAnsi" w:hAnsiTheme="minorHAnsi"/>
        </w:rPr>
        <w:t xml:space="preserve"> worked to increase </w:t>
      </w:r>
      <w:r w:rsidR="004872E2" w:rsidRPr="43B28B41">
        <w:rPr>
          <w:rFonts w:asciiTheme="minorHAnsi" w:hAnsiTheme="minorHAnsi"/>
        </w:rPr>
        <w:t>support</w:t>
      </w:r>
      <w:r w:rsidR="009F7D3D" w:rsidRPr="43B28B41">
        <w:rPr>
          <w:rFonts w:asciiTheme="minorHAnsi" w:hAnsiTheme="minorHAnsi"/>
        </w:rPr>
        <w:t xml:space="preserve"> </w:t>
      </w:r>
      <w:r w:rsidR="00A810AC" w:rsidRPr="43B28B41">
        <w:rPr>
          <w:rFonts w:asciiTheme="minorHAnsi" w:hAnsiTheme="minorHAnsi"/>
        </w:rPr>
        <w:t xml:space="preserve">for colleagues with disabilities, </w:t>
      </w:r>
      <w:r w:rsidR="009B5905" w:rsidRPr="43B28B41">
        <w:rPr>
          <w:rFonts w:asciiTheme="minorHAnsi" w:hAnsiTheme="minorHAnsi"/>
        </w:rPr>
        <w:t>promoting</w:t>
      </w:r>
      <w:r w:rsidR="009206C7" w:rsidRPr="43B28B41">
        <w:rPr>
          <w:rFonts w:asciiTheme="minorHAnsi" w:hAnsiTheme="minorHAnsi"/>
        </w:rPr>
        <w:t xml:space="preserve"> our membership to the Business Disability Forum</w:t>
      </w:r>
      <w:r w:rsidR="00706E2A" w:rsidRPr="43B28B41">
        <w:rPr>
          <w:rFonts w:asciiTheme="minorHAnsi" w:hAnsiTheme="minorHAnsi"/>
        </w:rPr>
        <w:t xml:space="preserve"> which includes an advice service for Line Managers and </w:t>
      </w:r>
      <w:r w:rsidR="4BEB8EF3" w:rsidRPr="43B28B41">
        <w:rPr>
          <w:rFonts w:asciiTheme="minorHAnsi" w:hAnsiTheme="minorHAnsi"/>
        </w:rPr>
        <w:t>People Services</w:t>
      </w:r>
      <w:r w:rsidR="375BF76E" w:rsidRPr="43B28B41">
        <w:rPr>
          <w:rFonts w:asciiTheme="minorHAnsi" w:hAnsiTheme="minorHAnsi"/>
        </w:rPr>
        <w:t>.</w:t>
      </w:r>
      <w:r w:rsidR="00706E2A" w:rsidRPr="43B28B41">
        <w:rPr>
          <w:rFonts w:asciiTheme="minorHAnsi" w:hAnsiTheme="minorHAnsi"/>
        </w:rPr>
        <w:t xml:space="preserve"> </w:t>
      </w:r>
      <w:r w:rsidR="00294D90">
        <w:rPr>
          <w:rFonts w:asciiTheme="minorHAnsi" w:hAnsiTheme="minorHAnsi"/>
        </w:rPr>
        <w:t>The team also created a Menstruation Factsheet</w:t>
      </w:r>
      <w:r w:rsidR="000D1098" w:rsidRPr="43B28B41">
        <w:rPr>
          <w:rFonts w:asciiTheme="minorHAnsi" w:hAnsiTheme="minorHAnsi"/>
        </w:rPr>
        <w:t xml:space="preserve"> </w:t>
      </w:r>
      <w:r w:rsidR="008034B7" w:rsidRPr="43B28B41">
        <w:rPr>
          <w:rFonts w:asciiTheme="minorHAnsi" w:hAnsiTheme="minorHAnsi"/>
        </w:rPr>
        <w:t xml:space="preserve">to highlight the support available for colleagues </w:t>
      </w:r>
      <w:r w:rsidR="003A4299" w:rsidRPr="43B28B41">
        <w:rPr>
          <w:rFonts w:asciiTheme="minorHAnsi" w:hAnsiTheme="minorHAnsi"/>
        </w:rPr>
        <w:t>during their period, including flexible working options</w:t>
      </w:r>
      <w:r w:rsidR="00923FC1" w:rsidRPr="43B28B41">
        <w:rPr>
          <w:rFonts w:asciiTheme="minorHAnsi" w:hAnsiTheme="minorHAnsi"/>
        </w:rPr>
        <w:t>.</w:t>
      </w:r>
    </w:p>
    <w:p w14:paraId="4DB6E2C6" w14:textId="1474B4C4" w:rsidR="00ED63CB" w:rsidRDefault="00ED63CB" w:rsidP="00083823">
      <w:pPr>
        <w:rPr>
          <w:rFonts w:asciiTheme="minorHAnsi" w:hAnsiTheme="minorHAnsi"/>
          <w:szCs w:val="22"/>
        </w:rPr>
      </w:pPr>
      <w:r w:rsidRPr="00ED63CB">
        <w:rPr>
          <w:rFonts w:asciiTheme="minorHAnsi" w:hAnsiTheme="minorHAnsi"/>
          <w:szCs w:val="22"/>
        </w:rPr>
        <w:t>In preparation for the Office for Students’ (</w:t>
      </w:r>
      <w:proofErr w:type="spellStart"/>
      <w:r w:rsidRPr="00ED63CB">
        <w:rPr>
          <w:rFonts w:asciiTheme="minorHAnsi" w:hAnsiTheme="minorHAnsi"/>
          <w:szCs w:val="22"/>
        </w:rPr>
        <w:t>OfS</w:t>
      </w:r>
      <w:proofErr w:type="spellEnd"/>
      <w:r w:rsidRPr="00ED63CB">
        <w:rPr>
          <w:rFonts w:asciiTheme="minorHAnsi" w:hAnsiTheme="minorHAnsi"/>
          <w:szCs w:val="22"/>
        </w:rPr>
        <w:t xml:space="preserve">) new ‘Condition E6’ duty requiring Higher Education providers to prevent harassment and sexual misconduct, </w:t>
      </w:r>
      <w:r w:rsidR="00294D90">
        <w:rPr>
          <w:rFonts w:asciiTheme="minorHAnsi" w:hAnsiTheme="minorHAnsi"/>
          <w:szCs w:val="22"/>
        </w:rPr>
        <w:t>members</w:t>
      </w:r>
      <w:r w:rsidRPr="00ED63CB">
        <w:rPr>
          <w:rFonts w:asciiTheme="minorHAnsi" w:hAnsiTheme="minorHAnsi"/>
          <w:szCs w:val="22"/>
        </w:rPr>
        <w:t xml:space="preserve"> of the Chan</w:t>
      </w:r>
      <w:r w:rsidR="00294D90">
        <w:rPr>
          <w:rFonts w:asciiTheme="minorHAnsi" w:hAnsiTheme="minorHAnsi"/>
          <w:szCs w:val="22"/>
        </w:rPr>
        <w:t>ging</w:t>
      </w:r>
      <w:r w:rsidRPr="00ED63CB">
        <w:rPr>
          <w:rFonts w:asciiTheme="minorHAnsi" w:hAnsiTheme="minorHAnsi"/>
          <w:szCs w:val="22"/>
        </w:rPr>
        <w:t xml:space="preserve"> the Culture </w:t>
      </w:r>
      <w:r w:rsidR="00294D90">
        <w:rPr>
          <w:rFonts w:asciiTheme="minorHAnsi" w:hAnsiTheme="minorHAnsi"/>
          <w:szCs w:val="22"/>
        </w:rPr>
        <w:t>G</w:t>
      </w:r>
      <w:r w:rsidRPr="00ED63CB">
        <w:rPr>
          <w:rFonts w:asciiTheme="minorHAnsi" w:hAnsiTheme="minorHAnsi"/>
          <w:szCs w:val="22"/>
        </w:rPr>
        <w:t>roup reviewed the University’s current position and developed an action plan for continuous improvement and alignment with sector best practice. While the University is compliant in all areas, key priorities included establishing a single source of information on harassment and sexual misconduct, adapting mandatory ‘Consent on Campus’ and ‘Bystander Awareness’ training for cultural and legal suitability at the Malaysia and Singapore campuses, and updating the Intimate Relationships at Work Policy to address potential conflicts of interest and abuse of power</w:t>
      </w:r>
      <w:r w:rsidR="00977F9E">
        <w:rPr>
          <w:rFonts w:asciiTheme="minorHAnsi" w:hAnsiTheme="minorHAnsi"/>
          <w:szCs w:val="22"/>
        </w:rPr>
        <w:t xml:space="preserve"> (</w:t>
      </w:r>
      <w:r w:rsidRPr="00ED63CB">
        <w:rPr>
          <w:rFonts w:asciiTheme="minorHAnsi" w:hAnsiTheme="minorHAnsi"/>
          <w:szCs w:val="22"/>
        </w:rPr>
        <w:t>as detailed under Equality Objective 6</w:t>
      </w:r>
      <w:r w:rsidR="00977F9E">
        <w:rPr>
          <w:rFonts w:asciiTheme="minorHAnsi" w:hAnsiTheme="minorHAnsi"/>
          <w:szCs w:val="22"/>
        </w:rPr>
        <w:t>)</w:t>
      </w:r>
      <w:r w:rsidRPr="00ED63CB">
        <w:rPr>
          <w:rFonts w:asciiTheme="minorHAnsi" w:hAnsiTheme="minorHAnsi"/>
          <w:szCs w:val="22"/>
        </w:rPr>
        <w:t>.</w:t>
      </w:r>
    </w:p>
    <w:p w14:paraId="5DF85A06" w14:textId="77777777" w:rsidR="00D25A3A" w:rsidRPr="00966C08" w:rsidRDefault="00D25A3A" w:rsidP="00083823">
      <w:pPr>
        <w:rPr>
          <w:rFonts w:asciiTheme="minorHAnsi" w:hAnsiTheme="minorHAnsi"/>
          <w:szCs w:val="22"/>
        </w:rPr>
      </w:pPr>
    </w:p>
    <w:p w14:paraId="62C96736" w14:textId="6B7D7646" w:rsidR="00083823" w:rsidRPr="003A2A28" w:rsidRDefault="00083823" w:rsidP="00083823">
      <w:pPr>
        <w:rPr>
          <w:rFonts w:asciiTheme="majorHAnsi" w:hAnsiTheme="majorHAnsi"/>
          <w:color w:val="0B769F" w:themeColor="accent4" w:themeShade="BF"/>
          <w:sz w:val="28"/>
          <w:szCs w:val="32"/>
        </w:rPr>
      </w:pPr>
      <w:r w:rsidRPr="003A2A28">
        <w:rPr>
          <w:rFonts w:asciiTheme="majorHAnsi" w:hAnsiTheme="majorHAnsi"/>
          <w:color w:val="0B769F" w:themeColor="accent4" w:themeShade="BF"/>
          <w:sz w:val="28"/>
          <w:szCs w:val="32"/>
        </w:rPr>
        <w:t>EO</w:t>
      </w:r>
      <w:r>
        <w:rPr>
          <w:rFonts w:asciiTheme="majorHAnsi" w:hAnsiTheme="majorHAnsi"/>
          <w:color w:val="0B769F" w:themeColor="accent4" w:themeShade="BF"/>
          <w:sz w:val="28"/>
          <w:szCs w:val="32"/>
        </w:rPr>
        <w:t xml:space="preserve">2. Increase representation of underrepresented protected characteristic groups among professional service and academic colleagues, governing boards, and decision-making committees. </w:t>
      </w:r>
    </w:p>
    <w:p w14:paraId="76E56E8B" w14:textId="1C64FD2D" w:rsidR="001417E8" w:rsidRDefault="00844603" w:rsidP="00294D90">
      <w:pPr>
        <w:rPr>
          <w:rFonts w:asciiTheme="minorHAnsi" w:hAnsiTheme="minorHAnsi"/>
          <w:szCs w:val="22"/>
        </w:rPr>
      </w:pPr>
      <w:r w:rsidRPr="00520121">
        <w:rPr>
          <w:rFonts w:asciiTheme="minorHAnsi" w:hAnsiTheme="minorHAnsi"/>
          <w:szCs w:val="22"/>
        </w:rPr>
        <w:t xml:space="preserve">Over the last year, the </w:t>
      </w:r>
      <w:r w:rsidR="00B91EDD" w:rsidRPr="00520121">
        <w:rPr>
          <w:rFonts w:asciiTheme="minorHAnsi" w:hAnsiTheme="minorHAnsi"/>
          <w:szCs w:val="22"/>
        </w:rPr>
        <w:t xml:space="preserve">University’s </w:t>
      </w:r>
      <w:r w:rsidRPr="00520121">
        <w:rPr>
          <w:rFonts w:asciiTheme="minorHAnsi" w:hAnsiTheme="minorHAnsi"/>
          <w:szCs w:val="22"/>
        </w:rPr>
        <w:t xml:space="preserve">Organisational Development </w:t>
      </w:r>
      <w:r w:rsidR="00A33BFE">
        <w:rPr>
          <w:rFonts w:asciiTheme="minorHAnsi" w:hAnsiTheme="minorHAnsi"/>
          <w:szCs w:val="22"/>
        </w:rPr>
        <w:t>Team</w:t>
      </w:r>
      <w:r w:rsidRPr="00520121">
        <w:rPr>
          <w:rFonts w:asciiTheme="minorHAnsi" w:hAnsiTheme="minorHAnsi"/>
          <w:szCs w:val="22"/>
        </w:rPr>
        <w:t xml:space="preserve"> prioritised management programmes, </w:t>
      </w:r>
      <w:r w:rsidR="00404E6F" w:rsidRPr="00520121">
        <w:rPr>
          <w:rFonts w:asciiTheme="minorHAnsi" w:hAnsiTheme="minorHAnsi"/>
          <w:szCs w:val="22"/>
        </w:rPr>
        <w:t>taking measures to ensure</w:t>
      </w:r>
      <w:r w:rsidRPr="00520121">
        <w:rPr>
          <w:rFonts w:asciiTheme="minorHAnsi" w:hAnsiTheme="minorHAnsi"/>
          <w:szCs w:val="22"/>
        </w:rPr>
        <w:t xml:space="preserve"> that they are inclusive and accessible to all colleagues </w:t>
      </w:r>
      <w:r w:rsidR="002D35F2">
        <w:rPr>
          <w:rFonts w:asciiTheme="minorHAnsi" w:hAnsiTheme="minorHAnsi"/>
          <w:szCs w:val="22"/>
        </w:rPr>
        <w:t xml:space="preserve">both </w:t>
      </w:r>
      <w:r w:rsidR="00294D90">
        <w:rPr>
          <w:rFonts w:asciiTheme="minorHAnsi" w:hAnsiTheme="minorHAnsi"/>
          <w:szCs w:val="22"/>
        </w:rPr>
        <w:t>stepping into</w:t>
      </w:r>
      <w:r w:rsidR="002D35F2">
        <w:rPr>
          <w:rFonts w:asciiTheme="minorHAnsi" w:hAnsiTheme="minorHAnsi"/>
          <w:szCs w:val="22"/>
        </w:rPr>
        <w:t xml:space="preserve"> and currently in</w:t>
      </w:r>
      <w:r w:rsidRPr="00520121">
        <w:rPr>
          <w:rFonts w:asciiTheme="minorHAnsi" w:hAnsiTheme="minorHAnsi"/>
          <w:szCs w:val="22"/>
        </w:rPr>
        <w:t xml:space="preserve"> leadership positions.</w:t>
      </w:r>
      <w:r w:rsidR="00E56C91">
        <w:rPr>
          <w:rFonts w:asciiTheme="minorHAnsi" w:hAnsiTheme="minorHAnsi"/>
          <w:szCs w:val="22"/>
        </w:rPr>
        <w:t xml:space="preserve"> The team focused on</w:t>
      </w:r>
      <w:r w:rsidR="001417E8">
        <w:rPr>
          <w:rFonts w:asciiTheme="minorHAnsi" w:hAnsiTheme="minorHAnsi"/>
          <w:szCs w:val="22"/>
        </w:rPr>
        <w:t xml:space="preserve"> </w:t>
      </w:r>
      <w:r w:rsidR="00294D90">
        <w:rPr>
          <w:rFonts w:asciiTheme="minorHAnsi" w:hAnsiTheme="minorHAnsi"/>
          <w:szCs w:val="22"/>
        </w:rPr>
        <w:t xml:space="preserve">ensuring that a broader range of colleagues are aware of leadership programmes, advertising them through a variety of methods, including university-wide communications, local newsletters, and via the colleague networks. </w:t>
      </w:r>
      <w:r w:rsidR="001F5FCA">
        <w:rPr>
          <w:rFonts w:asciiTheme="minorHAnsi" w:hAnsiTheme="minorHAnsi"/>
          <w:szCs w:val="22"/>
        </w:rPr>
        <w:t>A</w:t>
      </w:r>
      <w:r w:rsidR="001417E8">
        <w:rPr>
          <w:rFonts w:asciiTheme="minorHAnsi" w:hAnsiTheme="minorHAnsi"/>
          <w:szCs w:val="22"/>
        </w:rPr>
        <w:t xml:space="preserve"> s</w:t>
      </w:r>
      <w:r w:rsidR="00FE617B">
        <w:rPr>
          <w:rFonts w:asciiTheme="minorHAnsi" w:hAnsiTheme="minorHAnsi"/>
          <w:szCs w:val="22"/>
        </w:rPr>
        <w:t xml:space="preserve">uccessful pilot </w:t>
      </w:r>
      <w:r w:rsidR="001417E8">
        <w:rPr>
          <w:rFonts w:asciiTheme="minorHAnsi" w:hAnsiTheme="minorHAnsi"/>
          <w:szCs w:val="22"/>
        </w:rPr>
        <w:t>shifted</w:t>
      </w:r>
      <w:r w:rsidR="00502B88">
        <w:rPr>
          <w:rFonts w:asciiTheme="minorHAnsi" w:hAnsiTheme="minorHAnsi"/>
          <w:szCs w:val="22"/>
        </w:rPr>
        <w:t xml:space="preserve"> the </w:t>
      </w:r>
      <w:r w:rsidR="00980CBD">
        <w:rPr>
          <w:rFonts w:asciiTheme="minorHAnsi" w:hAnsiTheme="minorHAnsi"/>
          <w:szCs w:val="22"/>
        </w:rPr>
        <w:t>enrolment</w:t>
      </w:r>
      <w:r w:rsidR="00502B88">
        <w:rPr>
          <w:rFonts w:asciiTheme="minorHAnsi" w:hAnsiTheme="minorHAnsi"/>
          <w:szCs w:val="22"/>
        </w:rPr>
        <w:t xml:space="preserve"> process from nomination to self-application</w:t>
      </w:r>
      <w:r w:rsidR="00980CBD">
        <w:rPr>
          <w:rFonts w:asciiTheme="minorHAnsi" w:hAnsiTheme="minorHAnsi"/>
          <w:szCs w:val="22"/>
        </w:rPr>
        <w:t>, allowing colleagues</w:t>
      </w:r>
      <w:r w:rsidR="00812831">
        <w:rPr>
          <w:rFonts w:asciiTheme="minorHAnsi" w:hAnsiTheme="minorHAnsi"/>
          <w:szCs w:val="22"/>
        </w:rPr>
        <w:t xml:space="preserve"> to identify leadership pathways and learning opportunities that are both relevant and inspiring to them. </w:t>
      </w:r>
      <w:r w:rsidR="0060514F">
        <w:rPr>
          <w:rFonts w:asciiTheme="minorHAnsi" w:hAnsiTheme="minorHAnsi"/>
          <w:szCs w:val="22"/>
        </w:rPr>
        <w:t xml:space="preserve">The programmes </w:t>
      </w:r>
      <w:r w:rsidR="00FA78C5">
        <w:rPr>
          <w:rFonts w:asciiTheme="minorHAnsi" w:hAnsiTheme="minorHAnsi"/>
          <w:szCs w:val="22"/>
        </w:rPr>
        <w:t>were also</w:t>
      </w:r>
      <w:r w:rsidR="0060514F">
        <w:rPr>
          <w:rFonts w:asciiTheme="minorHAnsi" w:hAnsiTheme="minorHAnsi"/>
          <w:szCs w:val="22"/>
        </w:rPr>
        <w:t xml:space="preserve"> modified </w:t>
      </w:r>
      <w:r w:rsidR="004A2E04">
        <w:rPr>
          <w:rFonts w:asciiTheme="minorHAnsi" w:hAnsiTheme="minorHAnsi"/>
          <w:szCs w:val="22"/>
        </w:rPr>
        <w:t xml:space="preserve">to align </w:t>
      </w:r>
      <w:r w:rsidR="007A3130">
        <w:rPr>
          <w:rFonts w:asciiTheme="minorHAnsi" w:hAnsiTheme="minorHAnsi"/>
          <w:szCs w:val="22"/>
        </w:rPr>
        <w:t>to workload and scheduling commitments,</w:t>
      </w:r>
      <w:r w:rsidR="004A2E04">
        <w:rPr>
          <w:rFonts w:asciiTheme="minorHAnsi" w:hAnsiTheme="minorHAnsi"/>
          <w:szCs w:val="22"/>
        </w:rPr>
        <w:t xml:space="preserve"> ensuring that they are more accessible</w:t>
      </w:r>
      <w:r w:rsidR="007A3130">
        <w:rPr>
          <w:rFonts w:asciiTheme="minorHAnsi" w:hAnsiTheme="minorHAnsi"/>
          <w:szCs w:val="22"/>
        </w:rPr>
        <w:t xml:space="preserve"> </w:t>
      </w:r>
      <w:r w:rsidR="0013584E">
        <w:rPr>
          <w:rFonts w:asciiTheme="minorHAnsi" w:hAnsiTheme="minorHAnsi"/>
          <w:szCs w:val="22"/>
        </w:rPr>
        <w:t>for colleagues in both academic and Professional Services roles.</w:t>
      </w:r>
    </w:p>
    <w:p w14:paraId="13D80F23" w14:textId="056AF3BF" w:rsidR="00EA3794" w:rsidRPr="00520121" w:rsidRDefault="6FEB27DC" w:rsidP="4AE8652A">
      <w:pPr>
        <w:rPr>
          <w:rFonts w:asciiTheme="minorHAnsi" w:hAnsiTheme="minorHAnsi"/>
        </w:rPr>
      </w:pPr>
      <w:r w:rsidRPr="4AE8652A">
        <w:rPr>
          <w:rFonts w:asciiTheme="minorHAnsi" w:hAnsiTheme="minorHAnsi"/>
        </w:rPr>
        <w:t xml:space="preserve">The Recruitment </w:t>
      </w:r>
      <w:r w:rsidR="00A33BFE">
        <w:rPr>
          <w:rFonts w:asciiTheme="minorHAnsi" w:hAnsiTheme="minorHAnsi"/>
        </w:rPr>
        <w:t>Team</w:t>
      </w:r>
      <w:r w:rsidRPr="4AE8652A">
        <w:rPr>
          <w:rFonts w:asciiTheme="minorHAnsi" w:hAnsiTheme="minorHAnsi"/>
        </w:rPr>
        <w:t xml:space="preserve"> focused on fostering a more inclusive recruitment process </w:t>
      </w:r>
      <w:r w:rsidR="00F05F93">
        <w:rPr>
          <w:rFonts w:asciiTheme="minorHAnsi" w:hAnsiTheme="minorHAnsi"/>
        </w:rPr>
        <w:t>through</w:t>
      </w:r>
      <w:r w:rsidR="7F286A40" w:rsidRPr="4AE8652A">
        <w:rPr>
          <w:rFonts w:asciiTheme="minorHAnsi" w:hAnsiTheme="minorHAnsi"/>
        </w:rPr>
        <w:t xml:space="preserve"> a</w:t>
      </w:r>
      <w:r w:rsidR="63B45807" w:rsidRPr="4AE8652A">
        <w:rPr>
          <w:rFonts w:asciiTheme="minorHAnsi" w:hAnsiTheme="minorHAnsi"/>
        </w:rPr>
        <w:t xml:space="preserve"> review of the </w:t>
      </w:r>
      <w:r w:rsidR="00294D90">
        <w:rPr>
          <w:rFonts w:asciiTheme="minorHAnsi" w:hAnsiTheme="minorHAnsi"/>
        </w:rPr>
        <w:t>Recruitment Policy</w:t>
      </w:r>
      <w:r w:rsidR="00F05F93">
        <w:rPr>
          <w:rFonts w:asciiTheme="minorHAnsi" w:hAnsiTheme="minorHAnsi"/>
        </w:rPr>
        <w:t>, including</w:t>
      </w:r>
      <w:r w:rsidR="00FA78C5" w:rsidRPr="4AE8652A">
        <w:rPr>
          <w:rFonts w:asciiTheme="minorHAnsi" w:hAnsiTheme="minorHAnsi"/>
        </w:rPr>
        <w:t xml:space="preserve"> a full </w:t>
      </w:r>
      <w:r w:rsidR="00A33BFE">
        <w:rPr>
          <w:rFonts w:asciiTheme="minorHAnsi" w:hAnsiTheme="minorHAnsi"/>
        </w:rPr>
        <w:t>Equality Analysis</w:t>
      </w:r>
      <w:r w:rsidR="00FA78C5" w:rsidRPr="4AE8652A">
        <w:rPr>
          <w:rFonts w:asciiTheme="minorHAnsi" w:hAnsiTheme="minorHAnsi"/>
        </w:rPr>
        <w:t xml:space="preserve"> to identify and mitigate any aspects of the hiring process that wer</w:t>
      </w:r>
      <w:r w:rsidR="00311441" w:rsidRPr="4AE8652A">
        <w:rPr>
          <w:rFonts w:asciiTheme="minorHAnsi" w:hAnsiTheme="minorHAnsi"/>
        </w:rPr>
        <w:t>e causing a barrier to success for candidates from underrepresented groups</w:t>
      </w:r>
      <w:r w:rsidR="00672374" w:rsidRPr="4AE8652A">
        <w:rPr>
          <w:rFonts w:asciiTheme="minorHAnsi" w:hAnsiTheme="minorHAnsi"/>
        </w:rPr>
        <w:t>.</w:t>
      </w:r>
      <w:r w:rsidR="63B45807" w:rsidRPr="4AE8652A">
        <w:rPr>
          <w:rFonts w:asciiTheme="minorHAnsi" w:hAnsiTheme="minorHAnsi"/>
        </w:rPr>
        <w:t xml:space="preserve"> </w:t>
      </w:r>
      <w:r w:rsidR="49A1C103" w:rsidRPr="4AE8652A">
        <w:rPr>
          <w:rFonts w:asciiTheme="minorHAnsi" w:hAnsiTheme="minorHAnsi"/>
        </w:rPr>
        <w:t xml:space="preserve">The team </w:t>
      </w:r>
      <w:r w:rsidR="7F286A40" w:rsidRPr="4AE8652A">
        <w:rPr>
          <w:rFonts w:asciiTheme="minorHAnsi" w:hAnsiTheme="minorHAnsi"/>
        </w:rPr>
        <w:t xml:space="preserve">also </w:t>
      </w:r>
      <w:r w:rsidR="3044E7E9" w:rsidRPr="4AE8652A">
        <w:rPr>
          <w:rFonts w:asciiTheme="minorHAnsi" w:hAnsiTheme="minorHAnsi"/>
        </w:rPr>
        <w:t>facilitated</w:t>
      </w:r>
      <w:r w:rsidR="58F02EC6" w:rsidRPr="4AE8652A">
        <w:rPr>
          <w:rFonts w:asciiTheme="minorHAnsi" w:hAnsiTheme="minorHAnsi"/>
        </w:rPr>
        <w:t xml:space="preserve"> inclusive recruitment workshops, partnering with an external organisation to create an online version</w:t>
      </w:r>
      <w:r w:rsidR="15AF9750" w:rsidRPr="4AE8652A">
        <w:rPr>
          <w:rFonts w:asciiTheme="minorHAnsi" w:hAnsiTheme="minorHAnsi"/>
        </w:rPr>
        <w:t xml:space="preserve"> t</w:t>
      </w:r>
      <w:r w:rsidR="70F9253C" w:rsidRPr="4AE8652A">
        <w:rPr>
          <w:rFonts w:asciiTheme="minorHAnsi" w:hAnsiTheme="minorHAnsi"/>
        </w:rPr>
        <w:t xml:space="preserve">hat ensures </w:t>
      </w:r>
      <w:r w:rsidR="15AF9750" w:rsidRPr="4AE8652A">
        <w:rPr>
          <w:rFonts w:asciiTheme="minorHAnsi" w:hAnsiTheme="minorHAnsi"/>
        </w:rPr>
        <w:t xml:space="preserve">improved </w:t>
      </w:r>
      <w:r w:rsidR="15AF9750" w:rsidRPr="4AE8652A">
        <w:rPr>
          <w:rFonts w:asciiTheme="minorHAnsi" w:hAnsiTheme="minorHAnsi"/>
        </w:rPr>
        <w:lastRenderedPageBreak/>
        <w:t>accessibility for all involved in hiring.</w:t>
      </w:r>
      <w:r w:rsidR="00672374" w:rsidRPr="4AE8652A">
        <w:rPr>
          <w:rFonts w:asciiTheme="minorHAnsi" w:hAnsiTheme="minorHAnsi"/>
        </w:rPr>
        <w:t xml:space="preserve"> These workshops </w:t>
      </w:r>
      <w:r w:rsidR="00D47316" w:rsidRPr="4AE8652A">
        <w:rPr>
          <w:rFonts w:asciiTheme="minorHAnsi" w:hAnsiTheme="minorHAnsi"/>
        </w:rPr>
        <w:t>are</w:t>
      </w:r>
      <w:r w:rsidR="00672374" w:rsidRPr="4AE8652A">
        <w:rPr>
          <w:rFonts w:asciiTheme="minorHAnsi" w:hAnsiTheme="minorHAnsi"/>
        </w:rPr>
        <w:t xml:space="preserve"> aimed at all colleagues</w:t>
      </w:r>
      <w:r w:rsidR="00D47316" w:rsidRPr="4AE8652A">
        <w:rPr>
          <w:rFonts w:asciiTheme="minorHAnsi" w:hAnsiTheme="minorHAnsi"/>
        </w:rPr>
        <w:t xml:space="preserve"> involved in the recruitment process at any point to ensure that inclusive best practice is employed consistently, </w:t>
      </w:r>
      <w:r w:rsidR="0EEC2AA6" w:rsidRPr="4AE8652A">
        <w:rPr>
          <w:rFonts w:asciiTheme="minorHAnsi" w:hAnsiTheme="minorHAnsi"/>
        </w:rPr>
        <w:t>always</w:t>
      </w:r>
      <w:r w:rsidR="00D47316" w:rsidRPr="4AE8652A">
        <w:rPr>
          <w:rFonts w:asciiTheme="minorHAnsi" w:hAnsiTheme="minorHAnsi"/>
        </w:rPr>
        <w:t xml:space="preserve">, and for all candidates. </w:t>
      </w:r>
      <w:r w:rsidR="15AF9750" w:rsidRPr="4AE8652A">
        <w:rPr>
          <w:rFonts w:asciiTheme="minorHAnsi" w:hAnsiTheme="minorHAnsi"/>
        </w:rPr>
        <w:t xml:space="preserve"> </w:t>
      </w:r>
    </w:p>
    <w:p w14:paraId="66E7AE6E" w14:textId="77777777" w:rsidR="009818E2" w:rsidRPr="009818E2" w:rsidRDefault="009818E2" w:rsidP="00844603">
      <w:pPr>
        <w:rPr>
          <w:rFonts w:asciiTheme="minorHAnsi" w:hAnsiTheme="minorHAnsi"/>
        </w:rPr>
      </w:pPr>
    </w:p>
    <w:p w14:paraId="6A23AC29" w14:textId="69BB1244" w:rsidR="00674F45" w:rsidRPr="007C40D6" w:rsidRDefault="00844603" w:rsidP="00844603">
      <w:pPr>
        <w:rPr>
          <w:rFonts w:asciiTheme="majorHAnsi" w:hAnsiTheme="majorHAnsi"/>
        </w:rPr>
      </w:pPr>
      <w:r>
        <w:rPr>
          <w:rFonts w:asciiTheme="majorHAnsi" w:hAnsiTheme="majorHAnsi"/>
          <w:color w:val="0B769F" w:themeColor="accent4" w:themeShade="BF"/>
          <w:sz w:val="28"/>
          <w:szCs w:val="32"/>
        </w:rPr>
        <w:t>EO3. Improve the progression of academic and professional service colleagues from protected characteristic groups into senior positions where underrepresentation has been identified.</w:t>
      </w:r>
    </w:p>
    <w:p w14:paraId="759096D4" w14:textId="32DC6E4B" w:rsidR="00674F45" w:rsidRPr="00520121" w:rsidRDefault="00674F45" w:rsidP="00294D90">
      <w:pPr>
        <w:rPr>
          <w:rFonts w:asciiTheme="minorHAnsi" w:hAnsiTheme="minorHAnsi"/>
        </w:rPr>
      </w:pPr>
      <w:r w:rsidRPr="28C22CEF">
        <w:rPr>
          <w:rFonts w:asciiTheme="minorHAnsi" w:hAnsiTheme="minorHAnsi"/>
        </w:rPr>
        <w:t>We continued to support colleagues from Newcastle University and other Higher Education Institutions in their participation of Advance HE</w:t>
      </w:r>
      <w:r w:rsidR="00294D90">
        <w:rPr>
          <w:rFonts w:asciiTheme="minorHAnsi" w:hAnsiTheme="minorHAnsi"/>
        </w:rPr>
        <w:t xml:space="preserve">’s programmes, including </w:t>
      </w:r>
      <w:proofErr w:type="spellStart"/>
      <w:r w:rsidR="00294D90">
        <w:rPr>
          <w:rFonts w:asciiTheme="minorHAnsi" w:hAnsiTheme="minorHAnsi"/>
        </w:rPr>
        <w:t>Wellcome’s</w:t>
      </w:r>
      <w:proofErr w:type="spellEnd"/>
      <w:r w:rsidR="00294D90">
        <w:rPr>
          <w:rFonts w:asciiTheme="minorHAnsi" w:hAnsiTheme="minorHAnsi"/>
        </w:rPr>
        <w:t xml:space="preserve"> ‘Success on the Board’. This programme is aimed at colleagues in research from underrepresented protected characteristic groups who are interested in joining a Board</w:t>
      </w:r>
      <w:r w:rsidR="002D32EE">
        <w:rPr>
          <w:rFonts w:asciiTheme="minorHAnsi" w:hAnsiTheme="minorHAnsi"/>
        </w:rPr>
        <w:t xml:space="preserve"> and</w:t>
      </w:r>
      <w:r w:rsidRPr="28C22CEF">
        <w:rPr>
          <w:rFonts w:asciiTheme="minorHAnsi" w:hAnsiTheme="minorHAnsi"/>
        </w:rPr>
        <w:t xml:space="preserve"> informs our own EDI governance. </w:t>
      </w:r>
    </w:p>
    <w:p w14:paraId="51092609" w14:textId="02AF04ED" w:rsidR="008B04F6" w:rsidRDefault="7E15EBB6" w:rsidP="61B5EC73">
      <w:pPr>
        <w:rPr>
          <w:rFonts w:ascii="Aptos" w:eastAsia="Aptos" w:hAnsi="Aptos" w:cs="Aptos"/>
          <w:szCs w:val="22"/>
        </w:rPr>
      </w:pPr>
      <w:r w:rsidRPr="61B5EC73">
        <w:rPr>
          <w:rFonts w:asciiTheme="minorHAnsi" w:hAnsiTheme="minorHAnsi"/>
        </w:rPr>
        <w:t>The</w:t>
      </w:r>
      <w:r w:rsidR="18849553" w:rsidRPr="61B5EC73">
        <w:rPr>
          <w:rFonts w:asciiTheme="minorHAnsi" w:hAnsiTheme="minorHAnsi"/>
        </w:rPr>
        <w:t xml:space="preserve"> fourth</w:t>
      </w:r>
      <w:r w:rsidR="000218F6">
        <w:rPr>
          <w:rFonts w:asciiTheme="minorHAnsi" w:hAnsiTheme="minorHAnsi"/>
        </w:rPr>
        <w:t xml:space="preserve"> internal</w:t>
      </w:r>
      <w:r w:rsidR="18849553" w:rsidRPr="61B5EC73">
        <w:rPr>
          <w:rFonts w:asciiTheme="minorHAnsi" w:hAnsiTheme="minorHAnsi"/>
        </w:rPr>
        <w:t xml:space="preserve"> Inclusive Futures Leadership Development programme</w:t>
      </w:r>
      <w:r w:rsidRPr="61B5EC73">
        <w:rPr>
          <w:rFonts w:asciiTheme="minorHAnsi" w:hAnsiTheme="minorHAnsi"/>
        </w:rPr>
        <w:t xml:space="preserve"> was delivered</w:t>
      </w:r>
      <w:r w:rsidR="63991C98" w:rsidRPr="61B5EC73">
        <w:rPr>
          <w:rFonts w:asciiTheme="minorHAnsi" w:hAnsiTheme="minorHAnsi"/>
        </w:rPr>
        <w:t xml:space="preserve">, </w:t>
      </w:r>
      <w:r w:rsidRPr="61B5EC73">
        <w:rPr>
          <w:rFonts w:asciiTheme="minorHAnsi" w:hAnsiTheme="minorHAnsi"/>
        </w:rPr>
        <w:t>involving</w:t>
      </w:r>
      <w:r w:rsidR="63991C98" w:rsidRPr="61B5EC73">
        <w:rPr>
          <w:rFonts w:asciiTheme="minorHAnsi" w:hAnsiTheme="minorHAnsi"/>
        </w:rPr>
        <w:t xml:space="preserve"> colleagues with</w:t>
      </w:r>
      <w:r w:rsidR="716E54CF" w:rsidRPr="61B5EC73">
        <w:rPr>
          <w:rFonts w:asciiTheme="minorHAnsi" w:hAnsiTheme="minorHAnsi"/>
        </w:rPr>
        <w:t xml:space="preserve"> characteristics that are underrepresented in leadership. </w:t>
      </w:r>
      <w:r w:rsidR="25683F24" w:rsidRPr="61B5EC73">
        <w:rPr>
          <w:rFonts w:asciiTheme="minorHAnsi" w:hAnsiTheme="minorHAnsi"/>
        </w:rPr>
        <w:t>The programme offers a supportive peer-learning network</w:t>
      </w:r>
      <w:r w:rsidR="4D29103D" w:rsidRPr="61B5EC73">
        <w:rPr>
          <w:rFonts w:asciiTheme="minorHAnsi" w:hAnsiTheme="minorHAnsi"/>
        </w:rPr>
        <w:t xml:space="preserve"> and a series of leadership skills and knowledge workshops </w:t>
      </w:r>
      <w:r w:rsidR="00F33456">
        <w:rPr>
          <w:rFonts w:asciiTheme="minorHAnsi" w:hAnsiTheme="minorHAnsi"/>
        </w:rPr>
        <w:t xml:space="preserve">on topics </w:t>
      </w:r>
      <w:r w:rsidR="1E937112" w:rsidRPr="61B5EC73">
        <w:rPr>
          <w:rFonts w:asciiTheme="minorHAnsi" w:hAnsiTheme="minorHAnsi"/>
        </w:rPr>
        <w:t>including using your voice for influence, leadership styles and approaches, and leading participatory decision-making processes.</w:t>
      </w:r>
      <w:r w:rsidR="002E4B53" w:rsidRPr="008B04F6">
        <w:rPr>
          <w:rFonts w:ascii="Aptos" w:eastAsia="Aptos" w:hAnsi="Aptos" w:cs="Aptos"/>
          <w:szCs w:val="22"/>
        </w:rPr>
        <w:t xml:space="preserve"> </w:t>
      </w:r>
      <w:r w:rsidR="00916BE2" w:rsidRPr="00916BE2">
        <w:rPr>
          <w:rFonts w:ascii="Aptos" w:eastAsia="Aptos" w:hAnsi="Aptos" w:cs="Aptos"/>
          <w:szCs w:val="22"/>
        </w:rPr>
        <w:t>Programme participants heard from colleagues within the University about their journeys into leadership, providing positive leadership role models and learnings from lived experience.</w:t>
      </w:r>
    </w:p>
    <w:p w14:paraId="79FFBB6F" w14:textId="77777777" w:rsidR="009818E2" w:rsidRPr="009818E2" w:rsidRDefault="009818E2" w:rsidP="002749DE">
      <w:pPr>
        <w:rPr>
          <w:rFonts w:asciiTheme="minorHAnsi" w:hAnsiTheme="minorHAnsi"/>
        </w:rPr>
      </w:pPr>
    </w:p>
    <w:p w14:paraId="29FF2415" w14:textId="04D4308C" w:rsidR="002749DE" w:rsidRPr="007C40D6" w:rsidRDefault="762A5F29" w:rsidP="22D7EE0B">
      <w:pPr>
        <w:rPr>
          <w:rFonts w:asciiTheme="majorHAnsi" w:hAnsiTheme="majorHAnsi"/>
        </w:rPr>
      </w:pPr>
      <w:r w:rsidRPr="22D7EE0B">
        <w:rPr>
          <w:rFonts w:asciiTheme="majorHAnsi" w:hAnsiTheme="majorHAnsi"/>
          <w:color w:val="0B769F" w:themeColor="accent4" w:themeShade="BF"/>
          <w:sz w:val="28"/>
          <w:szCs w:val="28"/>
        </w:rPr>
        <w:t xml:space="preserve">EO4. Increase representation of underrepresented protected characteristic groups among </w:t>
      </w:r>
      <w:proofErr w:type="gramStart"/>
      <w:r w:rsidRPr="22D7EE0B">
        <w:rPr>
          <w:rFonts w:asciiTheme="majorHAnsi" w:hAnsiTheme="majorHAnsi"/>
          <w:color w:val="0B769F" w:themeColor="accent4" w:themeShade="BF"/>
          <w:sz w:val="28"/>
          <w:szCs w:val="28"/>
        </w:rPr>
        <w:t>students, and</w:t>
      </w:r>
      <w:proofErr w:type="gramEnd"/>
      <w:r w:rsidRPr="22D7EE0B">
        <w:rPr>
          <w:rFonts w:asciiTheme="majorHAnsi" w:hAnsiTheme="majorHAnsi"/>
          <w:color w:val="0B769F" w:themeColor="accent4" w:themeShade="BF"/>
          <w:sz w:val="28"/>
          <w:szCs w:val="28"/>
        </w:rPr>
        <w:t xml:space="preserve"> ensure equity in the student experience and graduate outcomes.</w:t>
      </w:r>
    </w:p>
    <w:p w14:paraId="458455BD" w14:textId="1C120B24" w:rsidR="00E641F0" w:rsidRPr="00E641F0" w:rsidRDefault="000218F6" w:rsidP="00E641F0">
      <w:pPr>
        <w:rPr>
          <w:rFonts w:asciiTheme="minorHAnsi" w:hAnsiTheme="minorHAnsi"/>
        </w:rPr>
      </w:pPr>
      <w:r>
        <w:rPr>
          <w:rFonts w:asciiTheme="minorHAnsi" w:hAnsiTheme="minorHAnsi"/>
        </w:rPr>
        <w:t>We finalised</w:t>
      </w:r>
      <w:r w:rsidR="00E641F0" w:rsidRPr="00E641F0">
        <w:rPr>
          <w:rFonts w:asciiTheme="minorHAnsi" w:hAnsiTheme="minorHAnsi"/>
        </w:rPr>
        <w:t xml:space="preserve"> plans for the implementation of our Access and Participation Plan (APP) 2025</w:t>
      </w:r>
      <w:r w:rsidR="00BB15BC">
        <w:rPr>
          <w:rFonts w:asciiTheme="minorHAnsi" w:hAnsiTheme="minorHAnsi"/>
        </w:rPr>
        <w:t>/</w:t>
      </w:r>
      <w:r w:rsidR="00E641F0" w:rsidRPr="00E641F0">
        <w:rPr>
          <w:rFonts w:asciiTheme="minorHAnsi" w:hAnsiTheme="minorHAnsi"/>
        </w:rPr>
        <w:t>26 to 2028</w:t>
      </w:r>
      <w:r w:rsidR="00BB15BC">
        <w:rPr>
          <w:rFonts w:asciiTheme="minorHAnsi" w:hAnsiTheme="minorHAnsi"/>
        </w:rPr>
        <w:t>/</w:t>
      </w:r>
      <w:r w:rsidR="00E641F0" w:rsidRPr="00E641F0">
        <w:rPr>
          <w:rFonts w:asciiTheme="minorHAnsi" w:hAnsiTheme="minorHAnsi"/>
        </w:rPr>
        <w:t xml:space="preserve">29, setting out meaningful and effective provisions to promote equality of opportunity for specific underrepresented groups of students who are evidenced to be at risk of lower outcomes at Newcastle University in comparison to their peers. </w:t>
      </w:r>
      <w:r>
        <w:rPr>
          <w:rFonts w:asciiTheme="minorHAnsi" w:hAnsiTheme="minorHAnsi"/>
        </w:rPr>
        <w:t>Building on our previous APP commitments, n</w:t>
      </w:r>
      <w:r w:rsidR="00E641F0" w:rsidRPr="00E641F0">
        <w:rPr>
          <w:rFonts w:asciiTheme="minorHAnsi" w:hAnsiTheme="minorHAnsi"/>
        </w:rPr>
        <w:t xml:space="preserve">ine key risk areas (which can be viewed </w:t>
      </w:r>
      <w:hyperlink r:id="rId11" w:history="1">
        <w:r w:rsidR="00E641F0" w:rsidRPr="00011DA7">
          <w:rPr>
            <w:rStyle w:val="Hyperlink"/>
            <w:rFonts w:asciiTheme="minorHAnsi" w:hAnsiTheme="minorHAnsi"/>
          </w:rPr>
          <w:t>here</w:t>
        </w:r>
      </w:hyperlink>
      <w:r w:rsidR="00E641F0" w:rsidRPr="00E641F0">
        <w:rPr>
          <w:rFonts w:asciiTheme="minorHAnsi" w:hAnsiTheme="minorHAnsi"/>
        </w:rPr>
        <w:t>) were identified</w:t>
      </w:r>
      <w:r>
        <w:rPr>
          <w:rFonts w:asciiTheme="minorHAnsi" w:hAnsiTheme="minorHAnsi"/>
        </w:rPr>
        <w:t xml:space="preserve">, and will inform intervention planning until 2029, and beyond. </w:t>
      </w:r>
    </w:p>
    <w:p w14:paraId="74166402" w14:textId="37385DDF" w:rsidR="00E641F0" w:rsidRDefault="00E641F0" w:rsidP="00E641F0">
      <w:pPr>
        <w:rPr>
          <w:rFonts w:asciiTheme="minorHAnsi" w:hAnsiTheme="minorHAnsi"/>
        </w:rPr>
      </w:pPr>
      <w:r w:rsidRPr="00E641F0">
        <w:rPr>
          <w:rFonts w:asciiTheme="minorHAnsi" w:hAnsiTheme="minorHAnsi"/>
        </w:rPr>
        <w:t xml:space="preserve">We entered a new phase of our Education for Life 2030+ Strategy, with a specific focus on developing and building the Leading Edge Curriculum </w:t>
      </w:r>
      <w:proofErr w:type="gramStart"/>
      <w:r w:rsidRPr="00E641F0">
        <w:rPr>
          <w:rFonts w:asciiTheme="minorHAnsi" w:hAnsiTheme="minorHAnsi"/>
        </w:rPr>
        <w:t>framework, and</w:t>
      </w:r>
      <w:proofErr w:type="gramEnd"/>
      <w:r w:rsidRPr="00E641F0">
        <w:rPr>
          <w:rFonts w:asciiTheme="minorHAnsi" w:hAnsiTheme="minorHAnsi"/>
        </w:rPr>
        <w:t xml:space="preserve"> engaging stakeholders ahead of an implementation pilot phase in the 2025/26 academic year. The </w:t>
      </w:r>
      <w:r w:rsidR="000218F6">
        <w:rPr>
          <w:rFonts w:asciiTheme="minorHAnsi" w:hAnsiTheme="minorHAnsi"/>
        </w:rPr>
        <w:t>s</w:t>
      </w:r>
      <w:r w:rsidRPr="00E641F0">
        <w:rPr>
          <w:rFonts w:asciiTheme="minorHAnsi" w:hAnsiTheme="minorHAnsi"/>
        </w:rPr>
        <w:t>trategy centres around our goal to be a global, future-facing provider of leading edge, inclusive and transformational higher education, with one of the three specific Strategy aims focusing on equity for all students, regardless of background, identity, nationality, location or mode of study.</w:t>
      </w:r>
    </w:p>
    <w:p w14:paraId="3D39C7B8" w14:textId="3A7CE1AD" w:rsidR="005C7307" w:rsidRPr="00520121" w:rsidRDefault="00AE3782" w:rsidP="002749DE">
      <w:pPr>
        <w:rPr>
          <w:rFonts w:asciiTheme="minorHAnsi" w:hAnsiTheme="minorHAnsi"/>
        </w:rPr>
      </w:pPr>
      <w:r w:rsidRPr="0D4AF363">
        <w:rPr>
          <w:rFonts w:asciiTheme="minorHAnsi" w:hAnsiTheme="minorHAnsi"/>
        </w:rPr>
        <w:t>In alignment with our commitment to ensure that everyone at Newcastle University has a voice, t</w:t>
      </w:r>
      <w:r w:rsidR="00556E6E" w:rsidRPr="0D4AF363">
        <w:rPr>
          <w:rFonts w:asciiTheme="minorHAnsi" w:hAnsiTheme="minorHAnsi"/>
        </w:rPr>
        <w:t xml:space="preserve">he </w:t>
      </w:r>
      <w:r w:rsidRPr="0D4AF363">
        <w:rPr>
          <w:rFonts w:asciiTheme="minorHAnsi" w:hAnsiTheme="minorHAnsi"/>
        </w:rPr>
        <w:t>d</w:t>
      </w:r>
      <w:r w:rsidR="00556E6E" w:rsidRPr="0D4AF363">
        <w:rPr>
          <w:rFonts w:asciiTheme="minorHAnsi" w:hAnsiTheme="minorHAnsi"/>
        </w:rPr>
        <w:t xml:space="preserve">evelopment of a new Student Insights Group </w:t>
      </w:r>
      <w:r w:rsidR="002C7A99" w:rsidRPr="0D4AF363">
        <w:rPr>
          <w:rFonts w:asciiTheme="minorHAnsi" w:hAnsiTheme="minorHAnsi"/>
        </w:rPr>
        <w:t>created</w:t>
      </w:r>
      <w:r w:rsidR="00556E6E" w:rsidRPr="0D4AF363">
        <w:rPr>
          <w:rFonts w:asciiTheme="minorHAnsi" w:hAnsiTheme="minorHAnsi"/>
        </w:rPr>
        <w:t xml:space="preserve"> a platform for students </w:t>
      </w:r>
      <w:r w:rsidR="00EC53AA" w:rsidRPr="0D4AF363">
        <w:rPr>
          <w:rFonts w:asciiTheme="minorHAnsi" w:hAnsiTheme="minorHAnsi"/>
        </w:rPr>
        <w:t xml:space="preserve">with underrepresented </w:t>
      </w:r>
      <w:r w:rsidR="00AD43FE">
        <w:rPr>
          <w:rFonts w:asciiTheme="minorHAnsi" w:hAnsiTheme="minorHAnsi"/>
        </w:rPr>
        <w:t>background</w:t>
      </w:r>
      <w:r w:rsidR="00EC53AA" w:rsidRPr="0D4AF363">
        <w:rPr>
          <w:rFonts w:asciiTheme="minorHAnsi" w:hAnsiTheme="minorHAnsi"/>
        </w:rPr>
        <w:t xml:space="preserve">s to provide feedback on </w:t>
      </w:r>
      <w:r w:rsidR="0080705F" w:rsidRPr="0D4AF363">
        <w:rPr>
          <w:rFonts w:asciiTheme="minorHAnsi" w:hAnsiTheme="minorHAnsi"/>
        </w:rPr>
        <w:t>themes such as</w:t>
      </w:r>
      <w:r w:rsidR="00DE30D0" w:rsidRPr="0D4AF363">
        <w:rPr>
          <w:rFonts w:asciiTheme="minorHAnsi" w:hAnsiTheme="minorHAnsi"/>
        </w:rPr>
        <w:t xml:space="preserve"> welcome </w:t>
      </w:r>
      <w:r w:rsidR="00DE30D0" w:rsidRPr="0D4AF363">
        <w:rPr>
          <w:rFonts w:asciiTheme="minorHAnsi" w:hAnsiTheme="minorHAnsi"/>
        </w:rPr>
        <w:lastRenderedPageBreak/>
        <w:t xml:space="preserve">communications, </w:t>
      </w:r>
      <w:r w:rsidR="00154A3A" w:rsidRPr="0D4AF363">
        <w:rPr>
          <w:rFonts w:asciiTheme="minorHAnsi" w:hAnsiTheme="minorHAnsi"/>
        </w:rPr>
        <w:t>learning</w:t>
      </w:r>
      <w:r w:rsidR="008F7D5D" w:rsidRPr="0D4AF363">
        <w:rPr>
          <w:rFonts w:asciiTheme="minorHAnsi" w:hAnsiTheme="minorHAnsi"/>
        </w:rPr>
        <w:t xml:space="preserve"> </w:t>
      </w:r>
      <w:r w:rsidR="00154A3A" w:rsidRPr="0D4AF363">
        <w:rPr>
          <w:rFonts w:asciiTheme="minorHAnsi" w:hAnsiTheme="minorHAnsi"/>
        </w:rPr>
        <w:t>and assessment</w:t>
      </w:r>
      <w:r w:rsidR="00F01475" w:rsidRPr="0D4AF363">
        <w:rPr>
          <w:rFonts w:asciiTheme="minorHAnsi" w:hAnsiTheme="minorHAnsi"/>
        </w:rPr>
        <w:t xml:space="preserve">, and the Mental Health Charter. </w:t>
      </w:r>
      <w:r w:rsidR="0025230D">
        <w:rPr>
          <w:rFonts w:asciiTheme="minorHAnsi" w:hAnsiTheme="minorHAnsi"/>
        </w:rPr>
        <w:t>This group</w:t>
      </w:r>
      <w:r w:rsidR="00163F80">
        <w:rPr>
          <w:rFonts w:asciiTheme="minorHAnsi" w:hAnsiTheme="minorHAnsi"/>
        </w:rPr>
        <w:t xml:space="preserve"> is also a crucial element of our new Education Strategy, contributing to the new Leading Edge Curriculum to ensure that equity remains at its heart. </w:t>
      </w:r>
    </w:p>
    <w:p w14:paraId="37726DEF" w14:textId="6E69B449" w:rsidR="000218F6" w:rsidRDefault="00260913" w:rsidP="00260913">
      <w:pPr>
        <w:rPr>
          <w:rFonts w:asciiTheme="minorHAnsi" w:hAnsiTheme="minorHAnsi"/>
        </w:rPr>
      </w:pPr>
      <w:r w:rsidRPr="28C22CEF">
        <w:rPr>
          <w:rFonts w:asciiTheme="minorHAnsi" w:hAnsiTheme="minorHAnsi"/>
        </w:rPr>
        <w:t>As part of our ongoing work to ensure greater equity in the student experience</w:t>
      </w:r>
      <w:r w:rsidR="00701277" w:rsidRPr="28C22CEF">
        <w:rPr>
          <w:rFonts w:asciiTheme="minorHAnsi" w:hAnsiTheme="minorHAnsi"/>
        </w:rPr>
        <w:t>,</w:t>
      </w:r>
      <w:r w:rsidR="00C17D08" w:rsidRPr="28C22CEF">
        <w:rPr>
          <w:rFonts w:asciiTheme="minorHAnsi" w:hAnsiTheme="minorHAnsi"/>
        </w:rPr>
        <w:t xml:space="preserve"> </w:t>
      </w:r>
      <w:proofErr w:type="gramStart"/>
      <w:r w:rsidR="00C17D08" w:rsidRPr="28C22CEF">
        <w:rPr>
          <w:rFonts w:asciiTheme="minorHAnsi" w:hAnsiTheme="minorHAnsi"/>
        </w:rPr>
        <w:t>a number of</w:t>
      </w:r>
      <w:proofErr w:type="gramEnd"/>
      <w:r w:rsidR="00C17D08" w:rsidRPr="28C22CEF">
        <w:rPr>
          <w:rFonts w:asciiTheme="minorHAnsi" w:hAnsiTheme="minorHAnsi"/>
        </w:rPr>
        <w:t xml:space="preserve"> initiatives </w:t>
      </w:r>
      <w:r w:rsidR="0080705F" w:rsidRPr="28C22CEF">
        <w:rPr>
          <w:rFonts w:asciiTheme="minorHAnsi" w:hAnsiTheme="minorHAnsi"/>
        </w:rPr>
        <w:t>were</w:t>
      </w:r>
      <w:r w:rsidR="00C17D08" w:rsidRPr="28C22CEF">
        <w:rPr>
          <w:rFonts w:asciiTheme="minorHAnsi" w:hAnsiTheme="minorHAnsi"/>
        </w:rPr>
        <w:t xml:space="preserve"> </w:t>
      </w:r>
      <w:r w:rsidR="009C1C2F">
        <w:rPr>
          <w:rFonts w:asciiTheme="minorHAnsi" w:hAnsiTheme="minorHAnsi"/>
        </w:rPr>
        <w:t>develop</w:t>
      </w:r>
      <w:r w:rsidR="00C17D08" w:rsidRPr="28C22CEF">
        <w:rPr>
          <w:rFonts w:asciiTheme="minorHAnsi" w:hAnsiTheme="minorHAnsi"/>
        </w:rPr>
        <w:t xml:space="preserve">ed </w:t>
      </w:r>
      <w:r w:rsidR="000218F6">
        <w:rPr>
          <w:rFonts w:asciiTheme="minorHAnsi" w:hAnsiTheme="minorHAnsi"/>
        </w:rPr>
        <w:t xml:space="preserve">to address student hardship by the Cost of Living Working Group, which included providing affordable meals to students funded through the Student Disbursement Fund. This fund also supported the Belonging in Engineering Network (BEN) for Black and Global Majority Students, which organised successful initiatives including the Association for Black &amp; Minority Ethnic Engineers (AFBE) Transition Event offering employability skills and interview preparation, and the Arup Career Insights Day to support students in shaping their career direction. </w:t>
      </w:r>
    </w:p>
    <w:p w14:paraId="47F57EF8" w14:textId="5CA18CEE" w:rsidR="00A25494" w:rsidRPr="00520121" w:rsidRDefault="00A25494" w:rsidP="00260913">
      <w:pPr>
        <w:rPr>
          <w:rFonts w:asciiTheme="minorHAnsi" w:hAnsiTheme="minorHAnsi"/>
        </w:rPr>
      </w:pPr>
      <w:r w:rsidRPr="00A25494">
        <w:rPr>
          <w:rFonts w:asciiTheme="minorHAnsi" w:hAnsiTheme="minorHAnsi"/>
        </w:rPr>
        <w:t>To better support students with Personal Extenuating Circumstances (PEC), a project was undertaken to streamline and standardise the process in the Student Portal system. This ensures that students receive quicker communication, clearer outcomes and adjustments, and signposting to appropriate support through consistent and standardised responses. We also introduced Self-Certification Extensions, which can be used twice per academic year, offering students with PEC greater flexibility and autonomy.</w:t>
      </w:r>
    </w:p>
    <w:p w14:paraId="3A0410D0" w14:textId="0C44AFC7" w:rsidR="00EE4EAB" w:rsidRPr="00520121" w:rsidRDefault="00EE4EAB" w:rsidP="00260913">
      <w:pPr>
        <w:rPr>
          <w:rFonts w:asciiTheme="minorHAnsi" w:hAnsiTheme="minorHAnsi"/>
          <w:szCs w:val="22"/>
        </w:rPr>
      </w:pPr>
      <w:r w:rsidRPr="00520121">
        <w:rPr>
          <w:rFonts w:asciiTheme="minorHAnsi" w:hAnsiTheme="minorHAnsi"/>
          <w:szCs w:val="22"/>
        </w:rPr>
        <w:t xml:space="preserve">The Student Services </w:t>
      </w:r>
      <w:r w:rsidR="00A33BFE">
        <w:rPr>
          <w:rFonts w:asciiTheme="minorHAnsi" w:hAnsiTheme="minorHAnsi"/>
          <w:szCs w:val="22"/>
        </w:rPr>
        <w:t>Team</w:t>
      </w:r>
      <w:r w:rsidRPr="00520121">
        <w:rPr>
          <w:rFonts w:asciiTheme="minorHAnsi" w:hAnsiTheme="minorHAnsi"/>
          <w:szCs w:val="22"/>
        </w:rPr>
        <w:t xml:space="preserve"> worked closely with </w:t>
      </w:r>
      <w:r w:rsidR="000218F6">
        <w:rPr>
          <w:rFonts w:asciiTheme="minorHAnsi" w:hAnsiTheme="minorHAnsi"/>
          <w:szCs w:val="22"/>
        </w:rPr>
        <w:t xml:space="preserve">academic </w:t>
      </w:r>
      <w:r w:rsidRPr="00520121">
        <w:rPr>
          <w:rFonts w:asciiTheme="minorHAnsi" w:hAnsiTheme="minorHAnsi"/>
          <w:szCs w:val="22"/>
        </w:rPr>
        <w:t xml:space="preserve">colleagues </w:t>
      </w:r>
      <w:r w:rsidR="000218F6">
        <w:rPr>
          <w:rFonts w:asciiTheme="minorHAnsi" w:hAnsiTheme="minorHAnsi"/>
          <w:szCs w:val="22"/>
        </w:rPr>
        <w:t xml:space="preserve">from across the University </w:t>
      </w:r>
      <w:r w:rsidRPr="00520121">
        <w:rPr>
          <w:rFonts w:asciiTheme="minorHAnsi" w:hAnsiTheme="minorHAnsi"/>
          <w:szCs w:val="22"/>
        </w:rPr>
        <w:t xml:space="preserve">to identify opportunities to embed employability within the curriculum. </w:t>
      </w:r>
      <w:r w:rsidR="00797FF2" w:rsidRPr="00520121">
        <w:rPr>
          <w:rFonts w:asciiTheme="minorHAnsi" w:hAnsiTheme="minorHAnsi"/>
          <w:szCs w:val="22"/>
        </w:rPr>
        <w:t>We</w:t>
      </w:r>
      <w:r w:rsidRPr="00520121">
        <w:rPr>
          <w:rFonts w:asciiTheme="minorHAnsi" w:hAnsiTheme="minorHAnsi"/>
          <w:szCs w:val="22"/>
        </w:rPr>
        <w:t xml:space="preserve"> also continued to develop</w:t>
      </w:r>
      <w:r w:rsidR="00965E8C" w:rsidRPr="00520121">
        <w:rPr>
          <w:rFonts w:asciiTheme="minorHAnsi" w:hAnsiTheme="minorHAnsi"/>
          <w:szCs w:val="22"/>
        </w:rPr>
        <w:t xml:space="preserve"> career development</w:t>
      </w:r>
      <w:r w:rsidRPr="00520121">
        <w:rPr>
          <w:rFonts w:asciiTheme="minorHAnsi" w:hAnsiTheme="minorHAnsi"/>
          <w:szCs w:val="22"/>
        </w:rPr>
        <w:t xml:space="preserve"> funding opportunities for students and financial support for students seeking placement opportunities.</w:t>
      </w:r>
    </w:p>
    <w:p w14:paraId="73A6327A" w14:textId="666B4A99" w:rsidR="001A50D3" w:rsidRPr="007150E2" w:rsidRDefault="006F4A9D" w:rsidP="004C259C">
      <w:pPr>
        <w:rPr>
          <w:rFonts w:asciiTheme="minorHAnsi" w:hAnsiTheme="minorHAnsi"/>
          <w:szCs w:val="22"/>
        </w:rPr>
      </w:pPr>
      <w:r w:rsidRPr="00520121">
        <w:rPr>
          <w:rFonts w:asciiTheme="minorHAnsi" w:hAnsiTheme="minorHAnsi"/>
          <w:szCs w:val="22"/>
        </w:rPr>
        <w:t xml:space="preserve">The Chaplaincy </w:t>
      </w:r>
      <w:r w:rsidR="00A33BFE">
        <w:rPr>
          <w:rFonts w:asciiTheme="minorHAnsi" w:hAnsiTheme="minorHAnsi"/>
          <w:szCs w:val="22"/>
        </w:rPr>
        <w:t>Team</w:t>
      </w:r>
      <w:r w:rsidRPr="00520121">
        <w:rPr>
          <w:rFonts w:asciiTheme="minorHAnsi" w:hAnsiTheme="minorHAnsi"/>
          <w:szCs w:val="22"/>
        </w:rPr>
        <w:t xml:space="preserve"> piloted a new Spiritual Wellbeing Toolkit, embedding inclusive wellbeing practices across student groups. The team convened a Religious Coexistence event, creating a safe space for multi-faith dialogue and understanding</w:t>
      </w:r>
      <w:r w:rsidR="00797416" w:rsidRPr="00520121">
        <w:rPr>
          <w:rFonts w:asciiTheme="minorHAnsi" w:hAnsiTheme="minorHAnsi"/>
          <w:szCs w:val="22"/>
        </w:rPr>
        <w:t xml:space="preserve">, alongside </w:t>
      </w:r>
      <w:r w:rsidR="00A66C61" w:rsidRPr="00520121">
        <w:rPr>
          <w:rFonts w:asciiTheme="minorHAnsi" w:hAnsiTheme="minorHAnsi"/>
          <w:szCs w:val="22"/>
        </w:rPr>
        <w:t>w</w:t>
      </w:r>
      <w:r w:rsidR="008F2575" w:rsidRPr="00520121">
        <w:rPr>
          <w:rFonts w:asciiTheme="minorHAnsi" w:hAnsiTheme="minorHAnsi"/>
          <w:szCs w:val="22"/>
        </w:rPr>
        <w:t>ork</w:t>
      </w:r>
      <w:r w:rsidRPr="00520121">
        <w:rPr>
          <w:rFonts w:asciiTheme="minorHAnsi" w:hAnsiTheme="minorHAnsi"/>
          <w:szCs w:val="22"/>
        </w:rPr>
        <w:t xml:space="preserve"> to promote intercultural belonging </w:t>
      </w:r>
      <w:r w:rsidR="00797416" w:rsidRPr="00520121">
        <w:rPr>
          <w:rFonts w:asciiTheme="minorHAnsi" w:hAnsiTheme="minorHAnsi"/>
          <w:szCs w:val="22"/>
        </w:rPr>
        <w:t xml:space="preserve">which </w:t>
      </w:r>
      <w:r w:rsidRPr="00520121">
        <w:rPr>
          <w:rFonts w:asciiTheme="minorHAnsi" w:hAnsiTheme="minorHAnsi"/>
          <w:szCs w:val="22"/>
        </w:rPr>
        <w:t>centred around welcome events, promoting student inclusion from</w:t>
      </w:r>
      <w:r w:rsidR="00EE4EAB" w:rsidRPr="00520121">
        <w:rPr>
          <w:rFonts w:asciiTheme="minorHAnsi" w:hAnsiTheme="minorHAnsi"/>
          <w:szCs w:val="22"/>
        </w:rPr>
        <w:t xml:space="preserve"> the point of</w:t>
      </w:r>
      <w:r w:rsidRPr="00520121">
        <w:rPr>
          <w:rFonts w:asciiTheme="minorHAnsi" w:hAnsiTheme="minorHAnsi"/>
          <w:szCs w:val="22"/>
        </w:rPr>
        <w:t xml:space="preserve"> arrival. </w:t>
      </w:r>
    </w:p>
    <w:p w14:paraId="747F542B" w14:textId="77777777" w:rsidR="009818E2" w:rsidRPr="009818E2" w:rsidRDefault="009818E2" w:rsidP="004C259C">
      <w:pPr>
        <w:rPr>
          <w:rFonts w:asciiTheme="minorHAnsi" w:hAnsiTheme="minorHAnsi"/>
        </w:rPr>
      </w:pPr>
    </w:p>
    <w:p w14:paraId="75730D00" w14:textId="372E5F2A" w:rsidR="004C259C" w:rsidRPr="007C40D6" w:rsidRDefault="004C259C" w:rsidP="004C259C">
      <w:pPr>
        <w:rPr>
          <w:rFonts w:asciiTheme="majorHAnsi" w:hAnsiTheme="majorHAnsi"/>
        </w:rPr>
      </w:pPr>
      <w:r>
        <w:rPr>
          <w:rFonts w:asciiTheme="majorHAnsi" w:hAnsiTheme="majorHAnsi"/>
          <w:color w:val="0B769F" w:themeColor="accent4" w:themeShade="BF"/>
          <w:sz w:val="28"/>
          <w:szCs w:val="32"/>
        </w:rPr>
        <w:t xml:space="preserve">EO5. Further enhance our position as a family-friendly organisation. </w:t>
      </w:r>
    </w:p>
    <w:p w14:paraId="6964471D" w14:textId="268A3446" w:rsidR="001A50D3" w:rsidRDefault="005210DC" w:rsidP="00FB0F7C">
      <w:pPr>
        <w:rPr>
          <w:rFonts w:asciiTheme="minorHAnsi" w:hAnsiTheme="minorHAnsi"/>
        </w:rPr>
      </w:pPr>
      <w:r w:rsidRPr="005210DC">
        <w:rPr>
          <w:rFonts w:asciiTheme="minorHAnsi" w:hAnsiTheme="minorHAnsi"/>
        </w:rPr>
        <w:t>Newcastle University continued to strengthen our position as a family-friendly organisation through the development of a new Family Leave Buddy System, a collaboration between the Faculty of Medical Sciences</w:t>
      </w:r>
      <w:r w:rsidR="00FB0F7C">
        <w:rPr>
          <w:rFonts w:asciiTheme="minorHAnsi" w:hAnsiTheme="minorHAnsi"/>
        </w:rPr>
        <w:t xml:space="preserve"> (FMS)</w:t>
      </w:r>
      <w:r w:rsidRPr="005210DC">
        <w:rPr>
          <w:rFonts w:asciiTheme="minorHAnsi" w:hAnsiTheme="minorHAnsi"/>
        </w:rPr>
        <w:t xml:space="preserve">, </w:t>
      </w:r>
      <w:r w:rsidR="00F370D9">
        <w:rPr>
          <w:rFonts w:asciiTheme="minorHAnsi" w:hAnsiTheme="minorHAnsi"/>
        </w:rPr>
        <w:t>CHW Team</w:t>
      </w:r>
      <w:r w:rsidRPr="005210DC">
        <w:rPr>
          <w:rFonts w:asciiTheme="minorHAnsi" w:hAnsiTheme="minorHAnsi"/>
        </w:rPr>
        <w:t xml:space="preserve"> and the NU Parents Network. </w:t>
      </w:r>
      <w:r w:rsidR="00B56630">
        <w:rPr>
          <w:rFonts w:asciiTheme="minorHAnsi" w:hAnsiTheme="minorHAnsi"/>
        </w:rPr>
        <w:t>The scheme is ready to launch with a pilot in FMS</w:t>
      </w:r>
      <w:r w:rsidR="00FB0F7C">
        <w:rPr>
          <w:rFonts w:asciiTheme="minorHAnsi" w:hAnsiTheme="minorHAnsi"/>
        </w:rPr>
        <w:t xml:space="preserve"> before wider implementation across the University.</w:t>
      </w:r>
      <w:r w:rsidRPr="005210DC">
        <w:rPr>
          <w:rFonts w:asciiTheme="minorHAnsi" w:hAnsiTheme="minorHAnsi"/>
        </w:rPr>
        <w:t xml:space="preserve"> The initiative is designed to support parents and carers before, during, and after family leave.</w:t>
      </w:r>
      <w:r w:rsidR="7FB93FB2" w:rsidRPr="61B5EC73">
        <w:rPr>
          <w:rFonts w:asciiTheme="minorHAnsi" w:hAnsiTheme="minorHAnsi"/>
        </w:rPr>
        <w:t xml:space="preserve"> </w:t>
      </w:r>
    </w:p>
    <w:p w14:paraId="477652B7" w14:textId="2E80F703" w:rsidR="000F638A" w:rsidRDefault="000F638A" w:rsidP="61B5EC73">
      <w:pPr>
        <w:rPr>
          <w:rFonts w:asciiTheme="minorHAnsi" w:hAnsiTheme="minorHAnsi"/>
        </w:rPr>
      </w:pPr>
      <w:r w:rsidRPr="000F638A">
        <w:rPr>
          <w:rFonts w:asciiTheme="minorHAnsi" w:hAnsiTheme="minorHAnsi"/>
        </w:rPr>
        <w:t xml:space="preserve">Our Returners Support Programme (RSP) continued to </w:t>
      </w:r>
      <w:proofErr w:type="gramStart"/>
      <w:r w:rsidRPr="000F638A">
        <w:rPr>
          <w:rFonts w:asciiTheme="minorHAnsi" w:hAnsiTheme="minorHAnsi"/>
        </w:rPr>
        <w:t>offer assistance to</w:t>
      </w:r>
      <w:proofErr w:type="gramEnd"/>
      <w:r w:rsidRPr="000F638A">
        <w:rPr>
          <w:rFonts w:asciiTheme="minorHAnsi" w:hAnsiTheme="minorHAnsi"/>
        </w:rPr>
        <w:t xml:space="preserve"> colleagues returning from extended periods of family leave. The programme launched in 2017 and </w:t>
      </w:r>
      <w:r w:rsidR="000218F6">
        <w:rPr>
          <w:rFonts w:asciiTheme="minorHAnsi" w:hAnsiTheme="minorHAnsi"/>
        </w:rPr>
        <w:t>supports</w:t>
      </w:r>
      <w:r w:rsidRPr="000F638A">
        <w:rPr>
          <w:rFonts w:asciiTheme="minorHAnsi" w:hAnsiTheme="minorHAnsi"/>
        </w:rPr>
        <w:t xml:space="preserve"> colleagues in regaining career momentum after maternity, adoption, shared parental and carers leave. The scheme works alongside other support initiatives, including return to work inductions</w:t>
      </w:r>
      <w:r w:rsidR="000218F6">
        <w:rPr>
          <w:rFonts w:asciiTheme="minorHAnsi" w:hAnsiTheme="minorHAnsi"/>
        </w:rPr>
        <w:t xml:space="preserve"> and </w:t>
      </w:r>
      <w:r w:rsidRPr="000F638A">
        <w:rPr>
          <w:rFonts w:asciiTheme="minorHAnsi" w:hAnsiTheme="minorHAnsi"/>
        </w:rPr>
        <w:t>Keeping in Touch (</w:t>
      </w:r>
      <w:proofErr w:type="spellStart"/>
      <w:r w:rsidRPr="000F638A">
        <w:rPr>
          <w:rFonts w:asciiTheme="minorHAnsi" w:hAnsiTheme="minorHAnsi"/>
        </w:rPr>
        <w:t>KiT</w:t>
      </w:r>
      <w:proofErr w:type="spellEnd"/>
      <w:r w:rsidRPr="000F638A">
        <w:rPr>
          <w:rFonts w:asciiTheme="minorHAnsi" w:hAnsiTheme="minorHAnsi"/>
        </w:rPr>
        <w:t xml:space="preserve">) days. In the past academic year, 23 colleagues </w:t>
      </w:r>
      <w:r w:rsidR="00975E4D">
        <w:rPr>
          <w:rFonts w:asciiTheme="minorHAnsi" w:hAnsiTheme="minorHAnsi"/>
        </w:rPr>
        <w:t xml:space="preserve">(11% of those eligible) </w:t>
      </w:r>
      <w:r w:rsidRPr="000F638A">
        <w:rPr>
          <w:rFonts w:asciiTheme="minorHAnsi" w:hAnsiTheme="minorHAnsi"/>
        </w:rPr>
        <w:t xml:space="preserve">have benefitted from the programme, with conference attendance, training courses and phased return to work agreements amongst the most common methods of support. The number of </w:t>
      </w:r>
      <w:r w:rsidRPr="000F638A">
        <w:rPr>
          <w:rFonts w:asciiTheme="minorHAnsi" w:hAnsiTheme="minorHAnsi"/>
        </w:rPr>
        <w:lastRenderedPageBreak/>
        <w:t xml:space="preserve">applicants to the </w:t>
      </w:r>
      <w:r w:rsidR="000218F6">
        <w:rPr>
          <w:rFonts w:asciiTheme="minorHAnsi" w:hAnsiTheme="minorHAnsi"/>
        </w:rPr>
        <w:t>programme</w:t>
      </w:r>
      <w:r w:rsidRPr="000F638A">
        <w:rPr>
          <w:rFonts w:asciiTheme="minorHAnsi" w:hAnsiTheme="minorHAnsi"/>
        </w:rPr>
        <w:t xml:space="preserve"> is in line with recent years, proving that </w:t>
      </w:r>
      <w:r w:rsidR="000218F6">
        <w:rPr>
          <w:rFonts w:asciiTheme="minorHAnsi" w:hAnsiTheme="minorHAnsi"/>
        </w:rPr>
        <w:t>it</w:t>
      </w:r>
      <w:r w:rsidRPr="000F638A">
        <w:rPr>
          <w:rFonts w:asciiTheme="minorHAnsi" w:hAnsiTheme="minorHAnsi"/>
        </w:rPr>
        <w:t xml:space="preserve"> is successfully embedded as a popular and beneficial colleague support opportunity.</w:t>
      </w:r>
    </w:p>
    <w:p w14:paraId="4E49E778" w14:textId="4C25E09C" w:rsidR="00FF4415" w:rsidRPr="007150E2" w:rsidRDefault="00FF4415" w:rsidP="61B5EC73">
      <w:pPr>
        <w:rPr>
          <w:rFonts w:asciiTheme="minorHAnsi" w:hAnsiTheme="minorHAnsi"/>
        </w:rPr>
      </w:pPr>
      <w:r>
        <w:rPr>
          <w:rFonts w:asciiTheme="minorHAnsi" w:hAnsiTheme="minorHAnsi"/>
        </w:rPr>
        <w:t>For the first time since 2017</w:t>
      </w:r>
      <w:r w:rsidR="00DD60CF">
        <w:rPr>
          <w:rFonts w:asciiTheme="minorHAnsi" w:hAnsiTheme="minorHAnsi"/>
        </w:rPr>
        <w:t xml:space="preserve">, </w:t>
      </w:r>
      <w:r w:rsidR="000218F6">
        <w:rPr>
          <w:rFonts w:asciiTheme="minorHAnsi" w:hAnsiTheme="minorHAnsi"/>
        </w:rPr>
        <w:t xml:space="preserve">we ran </w:t>
      </w:r>
      <w:r w:rsidR="00DD60CF">
        <w:rPr>
          <w:rFonts w:asciiTheme="minorHAnsi" w:hAnsiTheme="minorHAnsi"/>
        </w:rPr>
        <w:t xml:space="preserve">a Parents and Carers Survey </w:t>
      </w:r>
      <w:r w:rsidR="000218F6">
        <w:rPr>
          <w:rFonts w:asciiTheme="minorHAnsi" w:hAnsiTheme="minorHAnsi"/>
        </w:rPr>
        <w:t>which attracted</w:t>
      </w:r>
      <w:r w:rsidR="00DD60CF">
        <w:rPr>
          <w:rFonts w:asciiTheme="minorHAnsi" w:hAnsiTheme="minorHAnsi"/>
        </w:rPr>
        <w:t xml:space="preserve"> 422 </w:t>
      </w:r>
      <w:r w:rsidR="000218F6">
        <w:rPr>
          <w:rFonts w:asciiTheme="minorHAnsi" w:hAnsiTheme="minorHAnsi"/>
        </w:rPr>
        <w:t>responses</w:t>
      </w:r>
      <w:r w:rsidR="00DD60CF">
        <w:rPr>
          <w:rFonts w:asciiTheme="minorHAnsi" w:hAnsiTheme="minorHAnsi"/>
        </w:rPr>
        <w:t xml:space="preserve">. </w:t>
      </w:r>
      <w:r w:rsidR="000218F6">
        <w:rPr>
          <w:rFonts w:asciiTheme="minorHAnsi" w:hAnsiTheme="minorHAnsi"/>
        </w:rPr>
        <w:t>These</w:t>
      </w:r>
      <w:r w:rsidR="00591179">
        <w:rPr>
          <w:rFonts w:asciiTheme="minorHAnsi" w:hAnsiTheme="minorHAnsi"/>
        </w:rPr>
        <w:t xml:space="preserve"> informed </w:t>
      </w:r>
      <w:r w:rsidR="00A33BFE">
        <w:rPr>
          <w:rFonts w:asciiTheme="minorHAnsi" w:hAnsiTheme="minorHAnsi"/>
        </w:rPr>
        <w:t xml:space="preserve">new </w:t>
      </w:r>
      <w:r w:rsidR="00591179">
        <w:rPr>
          <w:rFonts w:asciiTheme="minorHAnsi" w:hAnsiTheme="minorHAnsi"/>
        </w:rPr>
        <w:t>action</w:t>
      </w:r>
      <w:r w:rsidR="00A33BFE">
        <w:rPr>
          <w:rFonts w:asciiTheme="minorHAnsi" w:hAnsiTheme="minorHAnsi"/>
        </w:rPr>
        <w:t>s</w:t>
      </w:r>
      <w:r w:rsidR="00591179">
        <w:rPr>
          <w:rFonts w:asciiTheme="minorHAnsi" w:hAnsiTheme="minorHAnsi"/>
        </w:rPr>
        <w:t xml:space="preserve"> </w:t>
      </w:r>
      <w:r w:rsidR="00A33BFE">
        <w:rPr>
          <w:rFonts w:asciiTheme="minorHAnsi" w:hAnsiTheme="minorHAnsi"/>
        </w:rPr>
        <w:t>in</w:t>
      </w:r>
      <w:r w:rsidR="00AA0327">
        <w:rPr>
          <w:rFonts w:asciiTheme="minorHAnsi" w:hAnsiTheme="minorHAnsi"/>
        </w:rPr>
        <w:t xml:space="preserve"> our Athena Swan </w:t>
      </w:r>
      <w:r w:rsidR="00A33BFE">
        <w:rPr>
          <w:rFonts w:asciiTheme="minorHAnsi" w:hAnsiTheme="minorHAnsi"/>
        </w:rPr>
        <w:t>Gold Award</w:t>
      </w:r>
      <w:r w:rsidR="00AA0327">
        <w:rPr>
          <w:rFonts w:asciiTheme="minorHAnsi" w:hAnsiTheme="minorHAnsi"/>
        </w:rPr>
        <w:t xml:space="preserve">, </w:t>
      </w:r>
      <w:r w:rsidR="00591179">
        <w:rPr>
          <w:rFonts w:asciiTheme="minorHAnsi" w:hAnsiTheme="minorHAnsi"/>
        </w:rPr>
        <w:t xml:space="preserve">including a commitment to review </w:t>
      </w:r>
      <w:r w:rsidR="00100E0B">
        <w:rPr>
          <w:rFonts w:asciiTheme="minorHAnsi" w:hAnsiTheme="minorHAnsi"/>
        </w:rPr>
        <w:t>the University’s</w:t>
      </w:r>
      <w:r w:rsidR="00591179">
        <w:rPr>
          <w:rFonts w:asciiTheme="minorHAnsi" w:hAnsiTheme="minorHAnsi"/>
        </w:rPr>
        <w:t xml:space="preserve"> family-friendly offering</w:t>
      </w:r>
      <w:r w:rsidR="00100E0B">
        <w:rPr>
          <w:rFonts w:asciiTheme="minorHAnsi" w:hAnsiTheme="minorHAnsi"/>
        </w:rPr>
        <w:t xml:space="preserve"> and </w:t>
      </w:r>
      <w:r w:rsidR="00B7746D">
        <w:rPr>
          <w:rFonts w:asciiTheme="minorHAnsi" w:hAnsiTheme="minorHAnsi"/>
        </w:rPr>
        <w:t>increase</w:t>
      </w:r>
      <w:r w:rsidR="00100E0B">
        <w:rPr>
          <w:rFonts w:asciiTheme="minorHAnsi" w:hAnsiTheme="minorHAnsi"/>
        </w:rPr>
        <w:t xml:space="preserve"> awareness of support for colleague parents and carers across the institution. </w:t>
      </w:r>
      <w:r w:rsidR="00632990">
        <w:rPr>
          <w:rFonts w:asciiTheme="minorHAnsi" w:hAnsiTheme="minorHAnsi"/>
        </w:rPr>
        <w:t xml:space="preserve">We are pleased to have seen </w:t>
      </w:r>
      <w:r w:rsidR="00B4606A">
        <w:rPr>
          <w:rFonts w:asciiTheme="minorHAnsi" w:hAnsiTheme="minorHAnsi"/>
        </w:rPr>
        <w:t xml:space="preserve">growth in </w:t>
      </w:r>
      <w:r w:rsidR="000A2552">
        <w:rPr>
          <w:rFonts w:asciiTheme="minorHAnsi" w:hAnsiTheme="minorHAnsi"/>
        </w:rPr>
        <w:t>staff participation across</w:t>
      </w:r>
      <w:r w:rsidR="00841CDF">
        <w:rPr>
          <w:rFonts w:asciiTheme="minorHAnsi" w:hAnsiTheme="minorHAnsi"/>
        </w:rPr>
        <w:t xml:space="preserve"> our Parents and Carers </w:t>
      </w:r>
      <w:r w:rsidR="002A20DD">
        <w:rPr>
          <w:rFonts w:asciiTheme="minorHAnsi" w:hAnsiTheme="minorHAnsi"/>
        </w:rPr>
        <w:t>communities, notably</w:t>
      </w:r>
      <w:r w:rsidR="00A33BFE">
        <w:rPr>
          <w:rFonts w:asciiTheme="minorHAnsi" w:hAnsiTheme="minorHAnsi"/>
        </w:rPr>
        <w:t xml:space="preserve"> through</w:t>
      </w:r>
      <w:r w:rsidR="002A20DD">
        <w:rPr>
          <w:rFonts w:asciiTheme="minorHAnsi" w:hAnsiTheme="minorHAnsi"/>
        </w:rPr>
        <w:t xml:space="preserve"> groups dedicated to supporting single parents</w:t>
      </w:r>
      <w:r w:rsidR="00193071">
        <w:rPr>
          <w:rFonts w:asciiTheme="minorHAnsi" w:hAnsiTheme="minorHAnsi"/>
        </w:rPr>
        <w:t xml:space="preserve">, </w:t>
      </w:r>
      <w:r w:rsidR="002A20DD">
        <w:rPr>
          <w:rFonts w:asciiTheme="minorHAnsi" w:hAnsiTheme="minorHAnsi"/>
        </w:rPr>
        <w:t>adoptive parents</w:t>
      </w:r>
      <w:r w:rsidR="00193071">
        <w:rPr>
          <w:rFonts w:asciiTheme="minorHAnsi" w:hAnsiTheme="minorHAnsi"/>
        </w:rPr>
        <w:t xml:space="preserve"> and parents of children with Special Educational Needs and Disabilities (SEND)</w:t>
      </w:r>
      <w:r w:rsidR="000E32EF">
        <w:rPr>
          <w:rFonts w:asciiTheme="minorHAnsi" w:hAnsiTheme="minorHAnsi"/>
        </w:rPr>
        <w:t>.</w:t>
      </w:r>
    </w:p>
    <w:p w14:paraId="797B0BE9" w14:textId="77777777" w:rsidR="009818E2" w:rsidRPr="009818E2" w:rsidRDefault="009818E2" w:rsidP="004C259C">
      <w:pPr>
        <w:rPr>
          <w:rFonts w:asciiTheme="minorHAnsi" w:hAnsiTheme="minorHAnsi"/>
        </w:rPr>
      </w:pPr>
    </w:p>
    <w:p w14:paraId="5E62FD23" w14:textId="5F345F54" w:rsidR="004C259C" w:rsidRPr="00250FBD" w:rsidRDefault="004C259C" w:rsidP="004C259C">
      <w:pPr>
        <w:rPr>
          <w:rFonts w:asciiTheme="minorHAnsi" w:hAnsiTheme="minorHAnsi"/>
          <w:i/>
          <w:iCs/>
          <w:color w:val="FF0000"/>
        </w:rPr>
      </w:pPr>
      <w:r>
        <w:rPr>
          <w:rFonts w:asciiTheme="majorHAnsi" w:hAnsiTheme="majorHAnsi"/>
          <w:color w:val="0B769F" w:themeColor="accent4" w:themeShade="BF"/>
          <w:sz w:val="28"/>
          <w:szCs w:val="32"/>
        </w:rPr>
        <w:t>EO6. Embed EDI in all our processes, policies, decision-making and governance.</w:t>
      </w:r>
    </w:p>
    <w:p w14:paraId="666F7EDE" w14:textId="153299CE" w:rsidR="004C259C" w:rsidRPr="00520121" w:rsidRDefault="00134DBA" w:rsidP="5FF5063C">
      <w:pPr>
        <w:rPr>
          <w:rFonts w:asciiTheme="minorHAnsi" w:hAnsiTheme="minorHAnsi"/>
        </w:rPr>
      </w:pPr>
      <w:r w:rsidRPr="5FF5063C">
        <w:rPr>
          <w:rFonts w:asciiTheme="minorHAnsi" w:hAnsiTheme="minorHAnsi"/>
        </w:rPr>
        <w:t xml:space="preserve">We continued to see an increase in </w:t>
      </w:r>
      <w:r w:rsidR="00A33BFE">
        <w:rPr>
          <w:rFonts w:asciiTheme="minorHAnsi" w:hAnsiTheme="minorHAnsi"/>
        </w:rPr>
        <w:t>engagement with our</w:t>
      </w:r>
      <w:r w:rsidRPr="5FF5063C">
        <w:rPr>
          <w:rFonts w:asciiTheme="minorHAnsi" w:hAnsiTheme="minorHAnsi"/>
        </w:rPr>
        <w:t xml:space="preserve"> Equality Analysis resources and training</w:t>
      </w:r>
      <w:r w:rsidR="00E63405" w:rsidRPr="5FF5063C">
        <w:rPr>
          <w:rFonts w:asciiTheme="minorHAnsi" w:hAnsiTheme="minorHAnsi"/>
        </w:rPr>
        <w:t xml:space="preserve">, ensuring that EDI considerations form part of all </w:t>
      </w:r>
      <w:r w:rsidR="00E46AE7" w:rsidRPr="5FF5063C">
        <w:rPr>
          <w:rFonts w:asciiTheme="minorHAnsi" w:hAnsiTheme="minorHAnsi"/>
        </w:rPr>
        <w:t xml:space="preserve">reviewed and </w:t>
      </w:r>
      <w:r w:rsidR="006D16F7" w:rsidRPr="5FF5063C">
        <w:rPr>
          <w:rFonts w:asciiTheme="minorHAnsi" w:hAnsiTheme="minorHAnsi"/>
        </w:rPr>
        <w:t>newly created</w:t>
      </w:r>
      <w:r w:rsidR="00E63405" w:rsidRPr="5FF5063C">
        <w:rPr>
          <w:rFonts w:asciiTheme="minorHAnsi" w:hAnsiTheme="minorHAnsi"/>
        </w:rPr>
        <w:t xml:space="preserve"> policies</w:t>
      </w:r>
      <w:r w:rsidR="006D16F7" w:rsidRPr="5FF5063C">
        <w:rPr>
          <w:rFonts w:asciiTheme="minorHAnsi" w:hAnsiTheme="minorHAnsi"/>
        </w:rPr>
        <w:t xml:space="preserve">. This </w:t>
      </w:r>
      <w:r w:rsidR="007076B6" w:rsidRPr="5FF5063C">
        <w:rPr>
          <w:rFonts w:asciiTheme="minorHAnsi" w:hAnsiTheme="minorHAnsi"/>
        </w:rPr>
        <w:t>was</w:t>
      </w:r>
      <w:r w:rsidR="006D16F7" w:rsidRPr="5FF5063C">
        <w:rPr>
          <w:rFonts w:asciiTheme="minorHAnsi" w:hAnsiTheme="minorHAnsi"/>
        </w:rPr>
        <w:t xml:space="preserve"> further </w:t>
      </w:r>
      <w:r w:rsidR="004A460F" w:rsidRPr="5FF5063C">
        <w:rPr>
          <w:rFonts w:asciiTheme="minorHAnsi" w:hAnsiTheme="minorHAnsi"/>
        </w:rPr>
        <w:t>reinforced</w:t>
      </w:r>
      <w:r w:rsidR="006D16F7" w:rsidRPr="5FF5063C">
        <w:rPr>
          <w:rFonts w:asciiTheme="minorHAnsi" w:hAnsiTheme="minorHAnsi"/>
        </w:rPr>
        <w:t xml:space="preserve"> by </w:t>
      </w:r>
      <w:r w:rsidR="00AC0047" w:rsidRPr="5FF5063C">
        <w:rPr>
          <w:rFonts w:asciiTheme="minorHAnsi" w:hAnsiTheme="minorHAnsi"/>
        </w:rPr>
        <w:t xml:space="preserve">the progression of </w:t>
      </w:r>
      <w:r w:rsidR="006D16F7" w:rsidRPr="5FF5063C">
        <w:rPr>
          <w:rFonts w:asciiTheme="minorHAnsi" w:hAnsiTheme="minorHAnsi"/>
        </w:rPr>
        <w:t xml:space="preserve">our Policy Review </w:t>
      </w:r>
      <w:r w:rsidR="00A33BFE">
        <w:rPr>
          <w:rFonts w:asciiTheme="minorHAnsi" w:hAnsiTheme="minorHAnsi"/>
        </w:rPr>
        <w:t>Microsoft</w:t>
      </w:r>
      <w:r w:rsidR="006D16F7" w:rsidRPr="5FF5063C">
        <w:rPr>
          <w:rFonts w:asciiTheme="minorHAnsi" w:hAnsiTheme="minorHAnsi"/>
        </w:rPr>
        <w:t xml:space="preserve"> Teams </w:t>
      </w:r>
      <w:r w:rsidR="00A33BFE">
        <w:rPr>
          <w:rFonts w:asciiTheme="minorHAnsi" w:hAnsiTheme="minorHAnsi"/>
        </w:rPr>
        <w:t>C</w:t>
      </w:r>
      <w:r w:rsidR="006D16F7" w:rsidRPr="5FF5063C">
        <w:rPr>
          <w:rFonts w:asciiTheme="minorHAnsi" w:hAnsiTheme="minorHAnsi"/>
        </w:rPr>
        <w:t>hannel</w:t>
      </w:r>
      <w:r w:rsidR="001F1F60" w:rsidRPr="5FF5063C">
        <w:rPr>
          <w:rFonts w:asciiTheme="minorHAnsi" w:hAnsiTheme="minorHAnsi"/>
        </w:rPr>
        <w:t>,</w:t>
      </w:r>
      <w:r w:rsidR="00C33416" w:rsidRPr="5FF5063C">
        <w:rPr>
          <w:rFonts w:asciiTheme="minorHAnsi" w:hAnsiTheme="minorHAnsi"/>
        </w:rPr>
        <w:t xml:space="preserve"> enhancing </w:t>
      </w:r>
      <w:r w:rsidR="007610F1" w:rsidRPr="5FF5063C">
        <w:rPr>
          <w:rFonts w:asciiTheme="minorHAnsi" w:hAnsiTheme="minorHAnsi"/>
        </w:rPr>
        <w:t>support, collaboration</w:t>
      </w:r>
      <w:r w:rsidR="00C33416" w:rsidRPr="5FF5063C">
        <w:rPr>
          <w:rFonts w:asciiTheme="minorHAnsi" w:hAnsiTheme="minorHAnsi"/>
        </w:rPr>
        <w:t xml:space="preserve"> and consultation opportunities with the </w:t>
      </w:r>
      <w:r w:rsidR="00A33BFE">
        <w:rPr>
          <w:rFonts w:asciiTheme="minorHAnsi" w:hAnsiTheme="minorHAnsi"/>
        </w:rPr>
        <w:t>colleague networks</w:t>
      </w:r>
      <w:r w:rsidR="007610F1" w:rsidRPr="5FF5063C">
        <w:rPr>
          <w:rFonts w:asciiTheme="minorHAnsi" w:hAnsiTheme="minorHAnsi"/>
        </w:rPr>
        <w:t xml:space="preserve">. </w:t>
      </w:r>
      <w:r w:rsidR="007076B6" w:rsidRPr="5FF5063C">
        <w:rPr>
          <w:rFonts w:asciiTheme="minorHAnsi" w:hAnsiTheme="minorHAnsi"/>
        </w:rPr>
        <w:t xml:space="preserve">The EDI Team has developed a strategic training plan and training workshop programme to expand the reach and impact of our colleague capacity building work within EDI. This programme includes regular Equality Analysis training workshops. These initiatives will be launched and rolled out in </w:t>
      </w:r>
      <w:r w:rsidR="00E41B64">
        <w:rPr>
          <w:rFonts w:asciiTheme="minorHAnsi" w:hAnsiTheme="minorHAnsi"/>
        </w:rPr>
        <w:t>2025/26</w:t>
      </w:r>
      <w:r w:rsidR="007076B6" w:rsidRPr="5FF5063C">
        <w:rPr>
          <w:rFonts w:asciiTheme="minorHAnsi" w:hAnsiTheme="minorHAnsi"/>
        </w:rPr>
        <w:t>.</w:t>
      </w:r>
    </w:p>
    <w:p w14:paraId="7FD5E558" w14:textId="07CFF3BA" w:rsidR="69AC645A" w:rsidRDefault="69AC645A" w:rsidP="5FF5063C">
      <w:pPr>
        <w:rPr>
          <w:rFonts w:ascii="Aptos" w:eastAsia="Aptos" w:hAnsi="Aptos" w:cs="Aptos"/>
        </w:rPr>
      </w:pPr>
      <w:r w:rsidRPr="501F57C3">
        <w:rPr>
          <w:rFonts w:ascii="Aptos" w:eastAsia="Aptos" w:hAnsi="Aptos" w:cs="Aptos"/>
        </w:rPr>
        <w:t xml:space="preserve">Equality </w:t>
      </w:r>
      <w:r w:rsidR="00764D2C">
        <w:rPr>
          <w:rFonts w:ascii="Aptos" w:eastAsia="Aptos" w:hAnsi="Aptos" w:cs="Aptos"/>
        </w:rPr>
        <w:t>A</w:t>
      </w:r>
      <w:r w:rsidRPr="501F57C3">
        <w:rPr>
          <w:rFonts w:ascii="Aptos" w:eastAsia="Aptos" w:hAnsi="Aptos" w:cs="Aptos"/>
        </w:rPr>
        <w:t>nalysis played an integral role in our decision-making processes, ensuring that fairness and inclusion remained central as we navigated local and sector-wide financial challenges</w:t>
      </w:r>
      <w:r w:rsidRPr="501F57C3">
        <w:rPr>
          <w:rFonts w:ascii="Aptos" w:eastAsia="Aptos" w:hAnsi="Aptos" w:cs="Aptos"/>
          <w:b/>
        </w:rPr>
        <w:t>.</w:t>
      </w:r>
      <w:r w:rsidRPr="501F57C3">
        <w:rPr>
          <w:rFonts w:ascii="Aptos" w:eastAsia="Aptos" w:hAnsi="Aptos" w:cs="Aptos"/>
        </w:rPr>
        <w:t xml:space="preserve"> By systematically assessing the potential impacts of our decisions on different groups, we were able to identify and mitigate unintended inequalities, prioritising actions that supported our most vulnerable stakeholders. This approach helped maintain transparency and accountability, while reinforcing our commitment to equitable outcomes even in the face of budgetary </w:t>
      </w:r>
      <w:r w:rsidR="57B9DAAA" w:rsidRPr="4A5694E9">
        <w:rPr>
          <w:rFonts w:ascii="Aptos" w:eastAsia="Aptos" w:hAnsi="Aptos" w:cs="Aptos"/>
        </w:rPr>
        <w:t>needs</w:t>
      </w:r>
      <w:r w:rsidRPr="501F57C3">
        <w:rPr>
          <w:rFonts w:ascii="Aptos" w:eastAsia="Aptos" w:hAnsi="Aptos" w:cs="Aptos"/>
        </w:rPr>
        <w:t>.</w:t>
      </w:r>
      <w:r w:rsidR="3968689A" w:rsidRPr="501F57C3">
        <w:rPr>
          <w:rFonts w:ascii="Aptos" w:eastAsia="Aptos" w:hAnsi="Aptos" w:cs="Aptos"/>
        </w:rPr>
        <w:t xml:space="preserve"> </w:t>
      </w:r>
    </w:p>
    <w:p w14:paraId="70F047A0" w14:textId="61E017DC" w:rsidR="00A92809" w:rsidRPr="007150E2" w:rsidRDefault="1BD9DC87" w:rsidP="22D7EE0B">
      <w:pPr>
        <w:rPr>
          <w:rFonts w:asciiTheme="minorHAnsi" w:hAnsiTheme="minorHAnsi"/>
        </w:rPr>
      </w:pPr>
      <w:r w:rsidRPr="22D7EE0B">
        <w:rPr>
          <w:rFonts w:asciiTheme="minorHAnsi" w:hAnsiTheme="minorHAnsi"/>
        </w:rPr>
        <w:t xml:space="preserve">Over the past academic year, </w:t>
      </w:r>
      <w:proofErr w:type="gramStart"/>
      <w:r w:rsidRPr="22D7EE0B">
        <w:rPr>
          <w:rFonts w:asciiTheme="minorHAnsi" w:hAnsiTheme="minorHAnsi"/>
        </w:rPr>
        <w:t>a number of</w:t>
      </w:r>
      <w:proofErr w:type="gramEnd"/>
      <w:r w:rsidRPr="22D7EE0B">
        <w:rPr>
          <w:rFonts w:asciiTheme="minorHAnsi" w:hAnsiTheme="minorHAnsi"/>
        </w:rPr>
        <w:t xml:space="preserve"> key institutional policies and procedural frameworks were subject to comprehensive review </w:t>
      </w:r>
      <w:r w:rsidR="3AFCB65D" w:rsidRPr="22D7EE0B">
        <w:rPr>
          <w:rFonts w:asciiTheme="minorHAnsi" w:hAnsiTheme="minorHAnsi"/>
        </w:rPr>
        <w:t>to</w:t>
      </w:r>
      <w:r w:rsidRPr="22D7EE0B">
        <w:rPr>
          <w:rFonts w:asciiTheme="minorHAnsi" w:hAnsiTheme="minorHAnsi"/>
        </w:rPr>
        <w:t xml:space="preserve"> align them more closely to our ongoing commitment to EDI. Among the most significant developments was work led by the People Relations Team to revise and enhance the Personal Relationships at Work Policy, which was undertaken as part of a broader effort to ensure the highest standards of professional conduct, integrity and safeguarding within </w:t>
      </w:r>
      <w:r w:rsidR="00A33BFE">
        <w:rPr>
          <w:rFonts w:asciiTheme="minorHAnsi" w:hAnsiTheme="minorHAnsi"/>
        </w:rPr>
        <w:t>our</w:t>
      </w:r>
      <w:r w:rsidRPr="22D7EE0B">
        <w:rPr>
          <w:rFonts w:asciiTheme="minorHAnsi" w:hAnsiTheme="minorHAnsi"/>
        </w:rPr>
        <w:t xml:space="preserve"> university community. </w:t>
      </w:r>
      <w:r w:rsidR="00A33BFE">
        <w:rPr>
          <w:rFonts w:asciiTheme="minorHAnsi" w:hAnsiTheme="minorHAnsi"/>
        </w:rPr>
        <w:t>We now formally prohibit</w:t>
      </w:r>
      <w:r w:rsidRPr="22D7EE0B">
        <w:rPr>
          <w:rFonts w:asciiTheme="minorHAnsi" w:hAnsiTheme="minorHAnsi"/>
        </w:rPr>
        <w:t xml:space="preserve"> personal relationships between staff and students, extending beyond those in direct supervisory or academic roles. The updated policy reinforces our institutional stance on professional boundaries, safeguarding student wellbeing, and mitigating potential power imbalances.</w:t>
      </w:r>
    </w:p>
    <w:p w14:paraId="04822D60" w14:textId="77777777" w:rsidR="009818E2" w:rsidRDefault="009818E2" w:rsidP="00014F83">
      <w:pPr>
        <w:rPr>
          <w:rFonts w:asciiTheme="minorHAnsi" w:hAnsiTheme="minorHAnsi"/>
        </w:rPr>
      </w:pPr>
    </w:p>
    <w:p w14:paraId="186E04DD" w14:textId="77777777" w:rsidR="00365029" w:rsidRDefault="00365029" w:rsidP="00014F83">
      <w:pPr>
        <w:rPr>
          <w:rFonts w:asciiTheme="minorHAnsi" w:hAnsiTheme="minorHAnsi"/>
        </w:rPr>
      </w:pPr>
    </w:p>
    <w:p w14:paraId="29FF28F7" w14:textId="77777777" w:rsidR="00365029" w:rsidRPr="009818E2" w:rsidRDefault="00365029" w:rsidP="00014F83">
      <w:pPr>
        <w:rPr>
          <w:rFonts w:asciiTheme="minorHAnsi" w:hAnsiTheme="minorHAnsi"/>
        </w:rPr>
      </w:pPr>
    </w:p>
    <w:p w14:paraId="14D49835" w14:textId="48D34E51" w:rsidR="00014F83" w:rsidRPr="007C40D6" w:rsidRDefault="00014F83" w:rsidP="00014F83">
      <w:pPr>
        <w:rPr>
          <w:rFonts w:asciiTheme="majorHAnsi" w:hAnsiTheme="majorHAnsi"/>
        </w:rPr>
      </w:pPr>
      <w:r w:rsidRPr="269C498D">
        <w:rPr>
          <w:rFonts w:asciiTheme="majorHAnsi" w:hAnsiTheme="majorHAnsi"/>
          <w:color w:val="0B769F" w:themeColor="accent4" w:themeShade="BF"/>
          <w:sz w:val="28"/>
          <w:szCs w:val="28"/>
        </w:rPr>
        <w:lastRenderedPageBreak/>
        <w:t>EO7. Progress developments in systems and processes relating to EDI data capture, analysis and reporting.</w:t>
      </w:r>
    </w:p>
    <w:p w14:paraId="53E2AB7C" w14:textId="0D59E52C" w:rsidR="007150E2" w:rsidRDefault="4308B017" w:rsidP="61B5EC73">
      <w:pPr>
        <w:rPr>
          <w:rFonts w:asciiTheme="minorHAnsi" w:hAnsiTheme="minorHAnsi"/>
        </w:rPr>
      </w:pPr>
      <w:r w:rsidRPr="61B5EC73">
        <w:rPr>
          <w:rFonts w:asciiTheme="minorHAnsi" w:hAnsiTheme="minorHAnsi"/>
        </w:rPr>
        <w:t>Last year, a</w:t>
      </w:r>
      <w:r w:rsidR="28CED89D" w:rsidRPr="61B5EC73">
        <w:rPr>
          <w:rFonts w:asciiTheme="minorHAnsi" w:hAnsiTheme="minorHAnsi"/>
        </w:rPr>
        <w:t xml:space="preserve"> project was launched to improve the use of available data to support leadership decision-making</w:t>
      </w:r>
      <w:r w:rsidR="00B41BAA" w:rsidRPr="61B5EC73">
        <w:rPr>
          <w:rFonts w:asciiTheme="minorHAnsi" w:hAnsiTheme="minorHAnsi"/>
        </w:rPr>
        <w:t>. A cohort of managers participated in a pilot session</w:t>
      </w:r>
      <w:r w:rsidR="077D740B" w:rsidRPr="61B5EC73">
        <w:rPr>
          <w:rFonts w:asciiTheme="minorHAnsi" w:hAnsiTheme="minorHAnsi"/>
        </w:rPr>
        <w:t>,</w:t>
      </w:r>
      <w:r w:rsidR="00B41BAA" w:rsidRPr="61B5EC73">
        <w:rPr>
          <w:rFonts w:asciiTheme="minorHAnsi" w:hAnsiTheme="minorHAnsi"/>
        </w:rPr>
        <w:t xml:space="preserve"> focusing on</w:t>
      </w:r>
      <w:r w:rsidR="0B777B26" w:rsidRPr="61B5EC73">
        <w:rPr>
          <w:rFonts w:asciiTheme="minorHAnsi" w:hAnsiTheme="minorHAnsi"/>
        </w:rPr>
        <w:t xml:space="preserve"> understanding and interpreting data, </w:t>
      </w:r>
      <w:r w:rsidR="2A63677D" w:rsidRPr="61B5EC73">
        <w:rPr>
          <w:rFonts w:asciiTheme="minorHAnsi" w:hAnsiTheme="minorHAnsi"/>
        </w:rPr>
        <w:t xml:space="preserve">maximising </w:t>
      </w:r>
      <w:r w:rsidR="0B777B26" w:rsidRPr="61B5EC73">
        <w:rPr>
          <w:rFonts w:asciiTheme="minorHAnsi" w:hAnsiTheme="minorHAnsi"/>
        </w:rPr>
        <w:t xml:space="preserve">use of institutional dashboards and </w:t>
      </w:r>
      <w:r w:rsidR="2A63677D" w:rsidRPr="61B5EC73">
        <w:rPr>
          <w:rFonts w:asciiTheme="minorHAnsi" w:hAnsiTheme="minorHAnsi"/>
        </w:rPr>
        <w:t>employing data</w:t>
      </w:r>
      <w:r w:rsidR="0B777B26" w:rsidRPr="61B5EC73">
        <w:rPr>
          <w:rFonts w:asciiTheme="minorHAnsi" w:hAnsiTheme="minorHAnsi"/>
        </w:rPr>
        <w:t xml:space="preserve"> insights to</w:t>
      </w:r>
      <w:r w:rsidR="077D740B" w:rsidRPr="61B5EC73">
        <w:rPr>
          <w:rFonts w:asciiTheme="minorHAnsi" w:hAnsiTheme="minorHAnsi"/>
        </w:rPr>
        <w:t xml:space="preserve"> make informed decisions. </w:t>
      </w:r>
      <w:r w:rsidR="3B135A9E" w:rsidRPr="61B5EC73">
        <w:rPr>
          <w:rFonts w:asciiTheme="minorHAnsi" w:hAnsiTheme="minorHAnsi"/>
        </w:rPr>
        <w:t xml:space="preserve">A review of the University’s Strategic Insights Portal </w:t>
      </w:r>
      <w:r w:rsidR="12BB6F3B" w:rsidRPr="61B5EC73">
        <w:rPr>
          <w:rFonts w:asciiTheme="minorHAnsi" w:hAnsiTheme="minorHAnsi"/>
        </w:rPr>
        <w:t>began</w:t>
      </w:r>
      <w:r w:rsidR="7AB915A8" w:rsidRPr="61B5EC73">
        <w:rPr>
          <w:rFonts w:asciiTheme="minorHAnsi" w:hAnsiTheme="minorHAnsi"/>
        </w:rPr>
        <w:t>, focusing initially on the Student Education Journey dashboard</w:t>
      </w:r>
      <w:r w:rsidR="15168DE2" w:rsidRPr="61B5EC73">
        <w:rPr>
          <w:rFonts w:asciiTheme="minorHAnsi" w:hAnsiTheme="minorHAnsi"/>
        </w:rPr>
        <w:t>.</w:t>
      </w:r>
      <w:r w:rsidR="71EA3FA4" w:rsidRPr="61B5EC73">
        <w:rPr>
          <w:rFonts w:asciiTheme="minorHAnsi" w:hAnsiTheme="minorHAnsi"/>
        </w:rPr>
        <w:t xml:space="preserve"> </w:t>
      </w:r>
      <w:r w:rsidR="001E14AC">
        <w:rPr>
          <w:rFonts w:asciiTheme="minorHAnsi" w:hAnsiTheme="minorHAnsi"/>
        </w:rPr>
        <w:t>The University also committed to undertake work</w:t>
      </w:r>
      <w:r w:rsidR="00740305">
        <w:rPr>
          <w:rFonts w:asciiTheme="minorHAnsi" w:hAnsiTheme="minorHAnsi"/>
        </w:rPr>
        <w:t xml:space="preserve"> on new data dashboards for recruitment and EDI, improving transparenc</w:t>
      </w:r>
      <w:r w:rsidR="00527151">
        <w:rPr>
          <w:rFonts w:asciiTheme="minorHAnsi" w:hAnsiTheme="minorHAnsi"/>
        </w:rPr>
        <w:t xml:space="preserve">y across the institution. </w:t>
      </w:r>
    </w:p>
    <w:p w14:paraId="58396A6E" w14:textId="494D4E29" w:rsidR="001E14AC" w:rsidRDefault="003502E2" w:rsidP="22D7EE0B">
      <w:pPr>
        <w:rPr>
          <w:rFonts w:asciiTheme="minorHAnsi" w:hAnsiTheme="minorHAnsi"/>
        </w:rPr>
      </w:pPr>
      <w:r w:rsidRPr="003502E2">
        <w:rPr>
          <w:rFonts w:asciiTheme="minorHAnsi" w:hAnsiTheme="minorHAnsi"/>
        </w:rPr>
        <w:t>Furthermore, the University has committed to expanding the scope of its diversity data collection practices to address the limitations of the current dataset. This includes broadening the categories used to capture demographic information, with the aim of ensuring that our data reflects the full range of identities and experiences within our workforce. By enhancing the inclusivity and accuracy of the data we collect, we seek to gain more meaningful insights that will support evidence-based decision-making and inform our ongoing efforts to foster an equitable and inclusive working environment</w:t>
      </w:r>
      <w:r w:rsidR="005A7B9A">
        <w:rPr>
          <w:rFonts w:asciiTheme="minorHAnsi" w:hAnsiTheme="minorHAnsi"/>
        </w:rPr>
        <w:t xml:space="preserve"> and culture for both colleagues and students</w:t>
      </w:r>
      <w:r w:rsidR="6FA5A2F5" w:rsidRPr="22D7EE0B">
        <w:rPr>
          <w:rFonts w:asciiTheme="minorHAnsi" w:hAnsiTheme="minorHAnsi"/>
        </w:rPr>
        <w:t xml:space="preserve">. </w:t>
      </w:r>
    </w:p>
    <w:p w14:paraId="32084857" w14:textId="77777777" w:rsidR="009818E2" w:rsidRPr="009818E2" w:rsidRDefault="009818E2" w:rsidP="00F963E9">
      <w:pPr>
        <w:rPr>
          <w:rFonts w:asciiTheme="minorHAnsi" w:hAnsiTheme="minorHAnsi"/>
        </w:rPr>
      </w:pPr>
    </w:p>
    <w:p w14:paraId="59F8F80B" w14:textId="14D800F2" w:rsidR="00F963E9" w:rsidRPr="007C40D6" w:rsidRDefault="003019AE" w:rsidP="00F963E9">
      <w:pPr>
        <w:rPr>
          <w:rFonts w:asciiTheme="majorHAnsi" w:hAnsiTheme="majorHAnsi"/>
        </w:rPr>
      </w:pPr>
      <w:r>
        <w:rPr>
          <w:rFonts w:asciiTheme="majorHAnsi" w:hAnsiTheme="majorHAnsi"/>
          <w:color w:val="0B769F" w:themeColor="accent4" w:themeShade="BF"/>
          <w:sz w:val="28"/>
          <w:szCs w:val="32"/>
        </w:rPr>
        <w:t>Our Commitment to Higher Education Charters</w:t>
      </w:r>
    </w:p>
    <w:p w14:paraId="003BBA35" w14:textId="2B500D55" w:rsidR="00F963E9" w:rsidRPr="00520121" w:rsidRDefault="0021446D" w:rsidP="00F963E9">
      <w:pPr>
        <w:rPr>
          <w:rFonts w:asciiTheme="minorHAnsi" w:hAnsiTheme="minorHAnsi"/>
          <w:szCs w:val="22"/>
        </w:rPr>
      </w:pPr>
      <w:r w:rsidRPr="00520121">
        <w:rPr>
          <w:rFonts w:asciiTheme="minorHAnsi" w:hAnsiTheme="minorHAnsi"/>
          <w:szCs w:val="22"/>
        </w:rPr>
        <w:t>Charters continue to play an important role in</w:t>
      </w:r>
      <w:r w:rsidR="00136EF2" w:rsidRPr="00520121">
        <w:rPr>
          <w:rFonts w:asciiTheme="minorHAnsi" w:hAnsiTheme="minorHAnsi"/>
          <w:szCs w:val="22"/>
        </w:rPr>
        <w:t xml:space="preserve"> </w:t>
      </w:r>
      <w:r w:rsidR="00A33BFE">
        <w:rPr>
          <w:rFonts w:asciiTheme="minorHAnsi" w:hAnsiTheme="minorHAnsi"/>
          <w:szCs w:val="22"/>
        </w:rPr>
        <w:t>delivering</w:t>
      </w:r>
      <w:r w:rsidR="00136EF2" w:rsidRPr="00520121">
        <w:rPr>
          <w:rFonts w:asciiTheme="minorHAnsi" w:hAnsiTheme="minorHAnsi"/>
          <w:szCs w:val="22"/>
        </w:rPr>
        <w:t xml:space="preserve"> our EDI Strategy and informing our decision-making as we work to ensure that Newcastle University i</w:t>
      </w:r>
      <w:r w:rsidR="007A65D7" w:rsidRPr="00520121">
        <w:rPr>
          <w:rFonts w:asciiTheme="minorHAnsi" w:hAnsiTheme="minorHAnsi"/>
          <w:szCs w:val="22"/>
        </w:rPr>
        <w:t xml:space="preserve">s a fully inclusive global community in which everyone has </w:t>
      </w:r>
      <w:r w:rsidR="00383687" w:rsidRPr="00520121">
        <w:rPr>
          <w:rFonts w:asciiTheme="minorHAnsi" w:hAnsiTheme="minorHAnsi"/>
          <w:szCs w:val="22"/>
        </w:rPr>
        <w:t xml:space="preserve">equal opportunity to thrive. </w:t>
      </w:r>
      <w:r w:rsidR="007A65D7" w:rsidRPr="00520121">
        <w:rPr>
          <w:rFonts w:asciiTheme="minorHAnsi" w:hAnsiTheme="minorHAnsi"/>
          <w:szCs w:val="22"/>
        </w:rPr>
        <w:t xml:space="preserve"> </w:t>
      </w:r>
      <w:r w:rsidR="00136EF2" w:rsidRPr="00520121">
        <w:rPr>
          <w:rFonts w:asciiTheme="minorHAnsi" w:hAnsiTheme="minorHAnsi"/>
          <w:szCs w:val="22"/>
        </w:rPr>
        <w:t xml:space="preserve"> </w:t>
      </w:r>
    </w:p>
    <w:p w14:paraId="1ADD1E94" w14:textId="2D8D6052" w:rsidR="00E502FE" w:rsidRPr="00520121" w:rsidRDefault="00667E31" w:rsidP="00F963E9">
      <w:pPr>
        <w:rPr>
          <w:rFonts w:asciiTheme="minorHAnsi" w:hAnsiTheme="minorHAnsi"/>
          <w:szCs w:val="22"/>
        </w:rPr>
      </w:pPr>
      <w:r w:rsidRPr="00520121">
        <w:rPr>
          <w:rFonts w:asciiTheme="minorHAnsi" w:hAnsiTheme="minorHAnsi"/>
          <w:szCs w:val="22"/>
        </w:rPr>
        <w:t>In anticipation of our 2025 institutional Athena Swan application, we conducted wide-ranging self-assessment</w:t>
      </w:r>
      <w:r w:rsidR="0087392D" w:rsidRPr="00520121">
        <w:rPr>
          <w:rFonts w:asciiTheme="minorHAnsi" w:hAnsiTheme="minorHAnsi"/>
          <w:szCs w:val="22"/>
        </w:rPr>
        <w:t xml:space="preserve"> including data analysis, culture surveys at both faculty and departmental level</w:t>
      </w:r>
      <w:r w:rsidR="002A7B4F" w:rsidRPr="00520121">
        <w:rPr>
          <w:rFonts w:asciiTheme="minorHAnsi" w:hAnsiTheme="minorHAnsi"/>
          <w:szCs w:val="22"/>
        </w:rPr>
        <w:t>, and extensive consultation with our</w:t>
      </w:r>
      <w:r w:rsidR="00A33BFE">
        <w:rPr>
          <w:rFonts w:asciiTheme="minorHAnsi" w:hAnsiTheme="minorHAnsi"/>
          <w:szCs w:val="22"/>
        </w:rPr>
        <w:t xml:space="preserve"> colleague networks and EDI committees</w:t>
      </w:r>
      <w:r w:rsidR="002A7B4F" w:rsidRPr="00520121">
        <w:rPr>
          <w:rFonts w:asciiTheme="minorHAnsi" w:hAnsiTheme="minorHAnsi"/>
          <w:szCs w:val="22"/>
        </w:rPr>
        <w:t xml:space="preserve">. </w:t>
      </w:r>
      <w:r w:rsidR="00051BD4" w:rsidRPr="00520121">
        <w:rPr>
          <w:rFonts w:asciiTheme="minorHAnsi" w:hAnsiTheme="minorHAnsi"/>
          <w:szCs w:val="22"/>
        </w:rPr>
        <w:t>These analyses informed the development of</w:t>
      </w:r>
      <w:r w:rsidR="00544073" w:rsidRPr="00520121">
        <w:rPr>
          <w:rFonts w:asciiTheme="minorHAnsi" w:hAnsiTheme="minorHAnsi"/>
          <w:szCs w:val="22"/>
        </w:rPr>
        <w:t xml:space="preserve"> the Action Plan for our Gold Award application</w:t>
      </w:r>
      <w:r w:rsidR="001D253A" w:rsidRPr="00520121">
        <w:rPr>
          <w:rFonts w:asciiTheme="minorHAnsi" w:hAnsiTheme="minorHAnsi"/>
          <w:szCs w:val="22"/>
        </w:rPr>
        <w:t>.</w:t>
      </w:r>
    </w:p>
    <w:p w14:paraId="34E2B111" w14:textId="51770B6D" w:rsidR="001D253A" w:rsidRPr="00520121" w:rsidRDefault="00707933" w:rsidP="00F963E9">
      <w:pPr>
        <w:rPr>
          <w:rFonts w:asciiTheme="minorHAnsi" w:hAnsiTheme="minorHAnsi"/>
          <w:szCs w:val="22"/>
        </w:rPr>
      </w:pPr>
      <w:r w:rsidRPr="00520121">
        <w:rPr>
          <w:rFonts w:asciiTheme="minorHAnsi" w:hAnsiTheme="minorHAnsi"/>
          <w:szCs w:val="22"/>
        </w:rPr>
        <w:t xml:space="preserve">We continued to </w:t>
      </w:r>
      <w:r w:rsidR="00177573" w:rsidRPr="00520121">
        <w:rPr>
          <w:rFonts w:asciiTheme="minorHAnsi" w:hAnsiTheme="minorHAnsi"/>
          <w:szCs w:val="22"/>
        </w:rPr>
        <w:t>progress</w:t>
      </w:r>
      <w:r w:rsidRPr="00520121">
        <w:rPr>
          <w:rFonts w:asciiTheme="minorHAnsi" w:hAnsiTheme="minorHAnsi"/>
          <w:szCs w:val="22"/>
        </w:rPr>
        <w:t xml:space="preserve"> the Action Plan for </w:t>
      </w:r>
      <w:r w:rsidR="00567F2D" w:rsidRPr="00520121">
        <w:rPr>
          <w:rFonts w:asciiTheme="minorHAnsi" w:hAnsiTheme="minorHAnsi"/>
          <w:szCs w:val="22"/>
        </w:rPr>
        <w:t>our 2022-2027</w:t>
      </w:r>
      <w:r w:rsidRPr="00520121">
        <w:rPr>
          <w:rFonts w:asciiTheme="minorHAnsi" w:hAnsiTheme="minorHAnsi"/>
          <w:szCs w:val="22"/>
        </w:rPr>
        <w:t xml:space="preserve"> Race Equality Charter</w:t>
      </w:r>
      <w:r w:rsidR="004A06BA" w:rsidRPr="00520121">
        <w:rPr>
          <w:rFonts w:asciiTheme="minorHAnsi" w:hAnsiTheme="minorHAnsi"/>
          <w:szCs w:val="22"/>
        </w:rPr>
        <w:t xml:space="preserve"> </w:t>
      </w:r>
      <w:r w:rsidR="005E0C86" w:rsidRPr="00520121">
        <w:rPr>
          <w:rFonts w:asciiTheme="minorHAnsi" w:hAnsiTheme="minorHAnsi"/>
          <w:szCs w:val="22"/>
        </w:rPr>
        <w:t xml:space="preserve">(REC) </w:t>
      </w:r>
      <w:r w:rsidR="004A06BA" w:rsidRPr="00520121">
        <w:rPr>
          <w:rFonts w:asciiTheme="minorHAnsi" w:hAnsiTheme="minorHAnsi"/>
          <w:szCs w:val="22"/>
        </w:rPr>
        <w:t>with delivery on target</w:t>
      </w:r>
      <w:r w:rsidR="003B485A" w:rsidRPr="00520121">
        <w:rPr>
          <w:rFonts w:asciiTheme="minorHAnsi" w:hAnsiTheme="minorHAnsi"/>
          <w:szCs w:val="22"/>
        </w:rPr>
        <w:t xml:space="preserve"> as we reach the halfway point</w:t>
      </w:r>
      <w:r w:rsidR="004A06BA" w:rsidRPr="00520121">
        <w:rPr>
          <w:rFonts w:asciiTheme="minorHAnsi" w:hAnsiTheme="minorHAnsi"/>
          <w:szCs w:val="22"/>
        </w:rPr>
        <w:t>.</w:t>
      </w:r>
      <w:r w:rsidR="005E0C86" w:rsidRPr="00520121">
        <w:rPr>
          <w:rFonts w:asciiTheme="minorHAnsi" w:hAnsiTheme="minorHAnsi"/>
          <w:szCs w:val="22"/>
        </w:rPr>
        <w:t xml:space="preserve"> As part of the REC, the Research Funding Development Team</w:t>
      </w:r>
      <w:r w:rsidR="00CB5E11" w:rsidRPr="00520121">
        <w:rPr>
          <w:rFonts w:asciiTheme="minorHAnsi" w:hAnsiTheme="minorHAnsi"/>
          <w:szCs w:val="22"/>
        </w:rPr>
        <w:t xml:space="preserve"> began working with an external consultant to create more equitable funding success. </w:t>
      </w:r>
    </w:p>
    <w:p w14:paraId="09F283C3" w14:textId="41548F0E" w:rsidR="008F287A" w:rsidRPr="00520121" w:rsidRDefault="00B938B9" w:rsidP="00F963E9">
      <w:pPr>
        <w:rPr>
          <w:rFonts w:asciiTheme="minorHAnsi" w:hAnsiTheme="minorHAnsi"/>
          <w:szCs w:val="22"/>
        </w:rPr>
      </w:pPr>
      <w:r w:rsidRPr="00B938B9">
        <w:rPr>
          <w:rFonts w:asciiTheme="minorHAnsi" w:hAnsiTheme="minorHAnsi"/>
          <w:szCs w:val="22"/>
        </w:rPr>
        <w:t>We continue to uphold our commitment to the Disability Confident scheme and progress the early stages of our Level 2 Employer status, focusing on the two priority areas of ‘getting the right people for your business’ and ‘keeping and developing your people’. As part of our ongoing commitment, we continu</w:t>
      </w:r>
      <w:r>
        <w:rPr>
          <w:rFonts w:asciiTheme="minorHAnsi" w:hAnsiTheme="minorHAnsi"/>
          <w:szCs w:val="22"/>
        </w:rPr>
        <w:t>e</w:t>
      </w:r>
      <w:r w:rsidRPr="00B938B9">
        <w:rPr>
          <w:rFonts w:asciiTheme="minorHAnsi" w:hAnsiTheme="minorHAnsi"/>
          <w:szCs w:val="22"/>
        </w:rPr>
        <w:t xml:space="preserve"> to offer the guaranteed interview scheme to applicants who hit essential criteria and identify a disability, we promote our Disability Confident status on all job adverts, and we encourage suppliers and partners to also join the Disability Confident scheme. Next year we will prepare for our 2027 resubmission, with plans to level up our commitment to Level 3: Disability Confident Leader.</w:t>
      </w:r>
      <w:r w:rsidR="00DD73D7">
        <w:rPr>
          <w:rFonts w:asciiTheme="minorHAnsi" w:hAnsiTheme="minorHAnsi"/>
          <w:szCs w:val="22"/>
        </w:rPr>
        <w:t xml:space="preserve"> </w:t>
      </w:r>
      <w:r w:rsidR="00DD73D7" w:rsidRPr="00DD73D7">
        <w:rPr>
          <w:rFonts w:asciiTheme="minorHAnsi" w:hAnsiTheme="minorHAnsi"/>
          <w:szCs w:val="22"/>
        </w:rPr>
        <w:t>This increases transparency of disability representation across the institution and enhances accountability through external assessment of our disability inclusion practices.</w:t>
      </w:r>
    </w:p>
    <w:p w14:paraId="5077A0C9" w14:textId="3112C51A" w:rsidR="0021480A" w:rsidRPr="00520121" w:rsidRDefault="005B51AE" w:rsidP="00F963E9">
      <w:pPr>
        <w:rPr>
          <w:rFonts w:asciiTheme="minorHAnsi" w:hAnsiTheme="minorHAnsi"/>
          <w:szCs w:val="22"/>
        </w:rPr>
      </w:pPr>
      <w:r w:rsidRPr="00520121">
        <w:rPr>
          <w:rFonts w:asciiTheme="minorHAnsi" w:hAnsiTheme="minorHAnsi"/>
          <w:szCs w:val="22"/>
        </w:rPr>
        <w:lastRenderedPageBreak/>
        <w:t>The</w:t>
      </w:r>
      <w:r w:rsidR="002A02AD" w:rsidRPr="00520121">
        <w:rPr>
          <w:rFonts w:asciiTheme="minorHAnsi" w:hAnsiTheme="minorHAnsi"/>
          <w:szCs w:val="22"/>
        </w:rPr>
        <w:t xml:space="preserve"> Shared Charters Space was launched to improve visibility</w:t>
      </w:r>
      <w:r w:rsidR="00691455" w:rsidRPr="00520121">
        <w:rPr>
          <w:rFonts w:asciiTheme="minorHAnsi" w:hAnsiTheme="minorHAnsi"/>
          <w:szCs w:val="22"/>
        </w:rPr>
        <w:t xml:space="preserve"> of </w:t>
      </w:r>
      <w:r w:rsidR="00892975" w:rsidRPr="00520121">
        <w:rPr>
          <w:rFonts w:asciiTheme="minorHAnsi" w:hAnsiTheme="minorHAnsi"/>
          <w:szCs w:val="22"/>
        </w:rPr>
        <w:t>c</w:t>
      </w:r>
      <w:r w:rsidR="00691455" w:rsidRPr="00520121">
        <w:rPr>
          <w:rFonts w:asciiTheme="minorHAnsi" w:hAnsiTheme="minorHAnsi"/>
          <w:szCs w:val="22"/>
        </w:rPr>
        <w:t xml:space="preserve">harter Action Plans at institution, Faculty and School level. The community </w:t>
      </w:r>
      <w:r w:rsidR="003D1868" w:rsidRPr="00520121">
        <w:rPr>
          <w:rFonts w:asciiTheme="minorHAnsi" w:hAnsiTheme="minorHAnsi"/>
          <w:szCs w:val="22"/>
        </w:rPr>
        <w:t xml:space="preserve">aims to build cohesion and alignment across over 100 stakeholder members. </w:t>
      </w:r>
    </w:p>
    <w:p w14:paraId="72B8FCA3" w14:textId="6FB69E24" w:rsidR="00C279D3" w:rsidRDefault="00E768CD" w:rsidP="005A27F5">
      <w:pPr>
        <w:rPr>
          <w:rFonts w:asciiTheme="minorHAnsi" w:hAnsiTheme="minorHAnsi"/>
        </w:rPr>
      </w:pPr>
      <w:r w:rsidRPr="18132708">
        <w:rPr>
          <w:rFonts w:asciiTheme="minorHAnsi" w:hAnsiTheme="minorHAnsi"/>
        </w:rPr>
        <w:t xml:space="preserve">In September 2024, </w:t>
      </w:r>
      <w:r w:rsidR="00615973" w:rsidRPr="18132708">
        <w:rPr>
          <w:rFonts w:asciiTheme="minorHAnsi" w:hAnsiTheme="minorHAnsi"/>
        </w:rPr>
        <w:t>Newcastle University successfully received re</w:t>
      </w:r>
      <w:r w:rsidR="007E0895" w:rsidRPr="18132708">
        <w:rPr>
          <w:rFonts w:asciiTheme="minorHAnsi" w:hAnsiTheme="minorHAnsi"/>
        </w:rPr>
        <w:t>-accreditation as a University of Sanctuary</w:t>
      </w:r>
      <w:r w:rsidR="004137EB" w:rsidRPr="18132708">
        <w:rPr>
          <w:rFonts w:asciiTheme="minorHAnsi" w:hAnsiTheme="minorHAnsi"/>
        </w:rPr>
        <w:t xml:space="preserve">. </w:t>
      </w:r>
      <w:r w:rsidR="00046F73" w:rsidRPr="18132708">
        <w:rPr>
          <w:rFonts w:asciiTheme="minorHAnsi" w:hAnsiTheme="minorHAnsi"/>
        </w:rPr>
        <w:t>Council for At-Risk Academics (</w:t>
      </w:r>
      <w:r w:rsidR="004137EB" w:rsidRPr="18132708">
        <w:rPr>
          <w:rFonts w:asciiTheme="minorHAnsi" w:hAnsiTheme="minorHAnsi"/>
        </w:rPr>
        <w:t>CARA</w:t>
      </w:r>
      <w:r w:rsidR="00046F73" w:rsidRPr="18132708">
        <w:rPr>
          <w:rFonts w:asciiTheme="minorHAnsi" w:hAnsiTheme="minorHAnsi"/>
        </w:rPr>
        <w:t>)</w:t>
      </w:r>
      <w:r w:rsidR="004137EB" w:rsidRPr="18132708">
        <w:rPr>
          <w:rFonts w:asciiTheme="minorHAnsi" w:hAnsiTheme="minorHAnsi"/>
        </w:rPr>
        <w:t xml:space="preserve"> Fellowships continue</w:t>
      </w:r>
      <w:r w:rsidR="005B51AE" w:rsidRPr="18132708">
        <w:rPr>
          <w:rFonts w:asciiTheme="minorHAnsi" w:hAnsiTheme="minorHAnsi"/>
        </w:rPr>
        <w:t>d</w:t>
      </w:r>
      <w:r w:rsidR="004137EB" w:rsidRPr="18132708">
        <w:rPr>
          <w:rFonts w:asciiTheme="minorHAnsi" w:hAnsiTheme="minorHAnsi"/>
        </w:rPr>
        <w:t xml:space="preserve"> to offer </w:t>
      </w:r>
      <w:r w:rsidR="008F36BC" w:rsidRPr="18132708">
        <w:rPr>
          <w:rFonts w:asciiTheme="minorHAnsi" w:hAnsiTheme="minorHAnsi"/>
        </w:rPr>
        <w:t>a secure</w:t>
      </w:r>
      <w:r w:rsidR="00C94FD3" w:rsidRPr="18132708">
        <w:rPr>
          <w:rFonts w:asciiTheme="minorHAnsi" w:hAnsiTheme="minorHAnsi"/>
        </w:rPr>
        <w:t xml:space="preserve"> environment and research career advancement opportunities </w:t>
      </w:r>
      <w:r w:rsidR="009E6D10" w:rsidRPr="18132708">
        <w:rPr>
          <w:rFonts w:asciiTheme="minorHAnsi" w:hAnsiTheme="minorHAnsi"/>
        </w:rPr>
        <w:t>for</w:t>
      </w:r>
      <w:r w:rsidR="00C94FD3" w:rsidRPr="18132708">
        <w:rPr>
          <w:rFonts w:asciiTheme="minorHAnsi" w:hAnsiTheme="minorHAnsi"/>
        </w:rPr>
        <w:t xml:space="preserve"> ‘scholars at risk’ who are </w:t>
      </w:r>
      <w:r w:rsidR="009E6D10" w:rsidRPr="18132708">
        <w:rPr>
          <w:rFonts w:asciiTheme="minorHAnsi" w:hAnsiTheme="minorHAnsi"/>
        </w:rPr>
        <w:t>fleeing</w:t>
      </w:r>
      <w:r w:rsidR="00C94FD3" w:rsidRPr="18132708">
        <w:rPr>
          <w:rFonts w:asciiTheme="minorHAnsi" w:hAnsiTheme="minorHAnsi"/>
        </w:rPr>
        <w:t xml:space="preserve"> conflict and persecution in their home countries. </w:t>
      </w:r>
      <w:r w:rsidR="001519A5" w:rsidRPr="18132708">
        <w:rPr>
          <w:rFonts w:asciiTheme="minorHAnsi" w:hAnsiTheme="minorHAnsi"/>
        </w:rPr>
        <w:t xml:space="preserve">We also partnered with </w:t>
      </w:r>
      <w:r w:rsidR="00802D16" w:rsidRPr="18132708">
        <w:rPr>
          <w:rFonts w:asciiTheme="minorHAnsi" w:hAnsiTheme="minorHAnsi"/>
        </w:rPr>
        <w:t xml:space="preserve">the National University of Water and Environmental Engineering (NUWEE) </w:t>
      </w:r>
      <w:r w:rsidR="009E6D10" w:rsidRPr="18132708">
        <w:rPr>
          <w:rFonts w:asciiTheme="minorHAnsi" w:hAnsiTheme="minorHAnsi"/>
        </w:rPr>
        <w:t>in</w:t>
      </w:r>
      <w:r w:rsidR="00802D16" w:rsidRPr="18132708">
        <w:rPr>
          <w:rFonts w:asciiTheme="minorHAnsi" w:hAnsiTheme="minorHAnsi"/>
        </w:rPr>
        <w:t xml:space="preserve"> Ukraine to develop a 5-year </w:t>
      </w:r>
      <w:r w:rsidR="00A33BFE">
        <w:rPr>
          <w:rFonts w:asciiTheme="minorHAnsi" w:hAnsiTheme="minorHAnsi"/>
        </w:rPr>
        <w:t>plan to support</w:t>
      </w:r>
      <w:r w:rsidR="00683C30" w:rsidRPr="18132708">
        <w:rPr>
          <w:rFonts w:asciiTheme="minorHAnsi" w:hAnsiTheme="minorHAnsi"/>
        </w:rPr>
        <w:t xml:space="preserve"> students and colleagues in water and environmental engineering. </w:t>
      </w:r>
    </w:p>
    <w:p w14:paraId="5C8C0F56" w14:textId="77777777" w:rsidR="00B45D5E" w:rsidRPr="009818E2" w:rsidRDefault="00B45D5E" w:rsidP="005A27F5">
      <w:pPr>
        <w:rPr>
          <w:rFonts w:asciiTheme="minorHAnsi" w:hAnsiTheme="minorHAnsi"/>
        </w:rPr>
      </w:pPr>
    </w:p>
    <w:p w14:paraId="6130A833" w14:textId="2A052DC3" w:rsidR="005A27F5" w:rsidRPr="007C40D6" w:rsidRDefault="005A27F5" w:rsidP="005A27F5">
      <w:pPr>
        <w:rPr>
          <w:rFonts w:asciiTheme="majorHAnsi" w:hAnsiTheme="majorHAnsi"/>
        </w:rPr>
      </w:pPr>
      <w:r>
        <w:rPr>
          <w:rFonts w:asciiTheme="majorHAnsi" w:hAnsiTheme="majorHAnsi"/>
          <w:color w:val="0B769F" w:themeColor="accent4" w:themeShade="BF"/>
          <w:sz w:val="28"/>
          <w:szCs w:val="32"/>
        </w:rPr>
        <w:t xml:space="preserve">EDI </w:t>
      </w:r>
      <w:r w:rsidR="00F72480">
        <w:rPr>
          <w:rFonts w:asciiTheme="majorHAnsi" w:hAnsiTheme="majorHAnsi"/>
          <w:color w:val="0B769F" w:themeColor="accent4" w:themeShade="BF"/>
          <w:sz w:val="28"/>
          <w:szCs w:val="32"/>
        </w:rPr>
        <w:t>activities across Newcastle University Faculties</w:t>
      </w:r>
    </w:p>
    <w:p w14:paraId="2AD24F15" w14:textId="3F1D35C8" w:rsidR="005A27F5" w:rsidRPr="00520121" w:rsidRDefault="00E0477E" w:rsidP="005A27F5">
      <w:pPr>
        <w:rPr>
          <w:rFonts w:asciiTheme="minorHAnsi" w:hAnsiTheme="minorHAnsi"/>
        </w:rPr>
      </w:pPr>
      <w:r w:rsidRPr="18132708">
        <w:rPr>
          <w:rFonts w:asciiTheme="minorHAnsi" w:hAnsiTheme="minorHAnsi"/>
        </w:rPr>
        <w:t xml:space="preserve">The University Faculties </w:t>
      </w:r>
      <w:r w:rsidR="0052406D" w:rsidRPr="18132708">
        <w:rPr>
          <w:rFonts w:asciiTheme="minorHAnsi" w:hAnsiTheme="minorHAnsi"/>
        </w:rPr>
        <w:t>progressed</w:t>
      </w:r>
      <w:r w:rsidRPr="18132708">
        <w:rPr>
          <w:rFonts w:asciiTheme="minorHAnsi" w:hAnsiTheme="minorHAnsi"/>
        </w:rPr>
        <w:t xml:space="preserve"> their </w:t>
      </w:r>
      <w:r w:rsidR="006E176F" w:rsidRPr="18132708">
        <w:rPr>
          <w:rFonts w:asciiTheme="minorHAnsi" w:hAnsiTheme="minorHAnsi"/>
        </w:rPr>
        <w:t>Faculty and School level Athena Swan Action Plan</w:t>
      </w:r>
      <w:r w:rsidR="006A189B" w:rsidRPr="18132708">
        <w:rPr>
          <w:rFonts w:asciiTheme="minorHAnsi" w:hAnsiTheme="minorHAnsi"/>
        </w:rPr>
        <w:t xml:space="preserve">s while contributing to the delivery of our institutional REC </w:t>
      </w:r>
      <w:proofErr w:type="gramStart"/>
      <w:r w:rsidR="006A189B" w:rsidRPr="18132708">
        <w:rPr>
          <w:rFonts w:asciiTheme="minorHAnsi" w:hAnsiTheme="minorHAnsi"/>
        </w:rPr>
        <w:t>commitment</w:t>
      </w:r>
      <w:r w:rsidR="00662328" w:rsidRPr="18132708">
        <w:rPr>
          <w:rFonts w:asciiTheme="minorHAnsi" w:hAnsiTheme="minorHAnsi"/>
        </w:rPr>
        <w:t>,</w:t>
      </w:r>
      <w:r w:rsidR="00256DED" w:rsidRPr="18132708">
        <w:rPr>
          <w:rFonts w:asciiTheme="minorHAnsi" w:hAnsiTheme="minorHAnsi"/>
        </w:rPr>
        <w:t xml:space="preserve"> and</w:t>
      </w:r>
      <w:proofErr w:type="gramEnd"/>
      <w:r w:rsidR="00256DED" w:rsidRPr="18132708">
        <w:rPr>
          <w:rFonts w:asciiTheme="minorHAnsi" w:hAnsiTheme="minorHAnsi"/>
        </w:rPr>
        <w:t xml:space="preserve"> advancing various EDI activities. </w:t>
      </w:r>
    </w:p>
    <w:p w14:paraId="156B207B" w14:textId="795A8939" w:rsidR="00733289" w:rsidRDefault="00A43F7D" w:rsidP="005A27F5">
      <w:pPr>
        <w:rPr>
          <w:rFonts w:asciiTheme="minorHAnsi" w:hAnsiTheme="minorHAnsi"/>
          <w:szCs w:val="22"/>
        </w:rPr>
      </w:pPr>
      <w:r w:rsidRPr="00520121">
        <w:rPr>
          <w:rFonts w:asciiTheme="minorHAnsi" w:hAnsiTheme="minorHAnsi"/>
          <w:szCs w:val="22"/>
        </w:rPr>
        <w:t>In</w:t>
      </w:r>
      <w:r w:rsidR="008409DC">
        <w:rPr>
          <w:rFonts w:asciiTheme="minorHAnsi" w:hAnsiTheme="minorHAnsi"/>
          <w:szCs w:val="22"/>
        </w:rPr>
        <w:t xml:space="preserve"> FMS</w:t>
      </w:r>
      <w:r w:rsidRPr="00520121">
        <w:rPr>
          <w:rFonts w:asciiTheme="minorHAnsi" w:hAnsiTheme="minorHAnsi"/>
          <w:szCs w:val="22"/>
        </w:rPr>
        <w:t>, a</w:t>
      </w:r>
      <w:r w:rsidR="002812E7" w:rsidRPr="00520121">
        <w:rPr>
          <w:rFonts w:asciiTheme="minorHAnsi" w:hAnsiTheme="minorHAnsi"/>
          <w:szCs w:val="22"/>
        </w:rPr>
        <w:t xml:space="preserve"> Men’s Network was launched to promote support</w:t>
      </w:r>
      <w:r w:rsidR="00ED2626" w:rsidRPr="00520121">
        <w:rPr>
          <w:rFonts w:asciiTheme="minorHAnsi" w:hAnsiTheme="minorHAnsi"/>
          <w:szCs w:val="22"/>
        </w:rPr>
        <w:t>, belonging and men’s health, and a six-week beginner British Sign Language (BSL) course was offered to students involved in clinical</w:t>
      </w:r>
      <w:r w:rsidR="0073249A" w:rsidRPr="00520121">
        <w:rPr>
          <w:rFonts w:asciiTheme="minorHAnsi" w:hAnsiTheme="minorHAnsi"/>
          <w:szCs w:val="22"/>
        </w:rPr>
        <w:t xml:space="preserve"> placements. </w:t>
      </w:r>
      <w:r w:rsidR="00C13CF1" w:rsidRPr="00520121">
        <w:rPr>
          <w:rFonts w:asciiTheme="minorHAnsi" w:hAnsiTheme="minorHAnsi"/>
          <w:szCs w:val="22"/>
        </w:rPr>
        <w:t xml:space="preserve">A new Faculty Student EDI Group was created to bring representatives from different Schools together to </w:t>
      </w:r>
      <w:r w:rsidR="003A3385" w:rsidRPr="00520121">
        <w:rPr>
          <w:rFonts w:asciiTheme="minorHAnsi" w:hAnsiTheme="minorHAnsi"/>
          <w:szCs w:val="22"/>
        </w:rPr>
        <w:t xml:space="preserve">shape collective action and tackle inequality across </w:t>
      </w:r>
      <w:r w:rsidR="00F331F4" w:rsidRPr="00520121">
        <w:rPr>
          <w:rFonts w:asciiTheme="minorHAnsi" w:hAnsiTheme="minorHAnsi"/>
          <w:szCs w:val="22"/>
        </w:rPr>
        <w:t>FMS</w:t>
      </w:r>
      <w:r w:rsidR="000F006F" w:rsidRPr="00520121">
        <w:rPr>
          <w:rFonts w:asciiTheme="minorHAnsi" w:hAnsiTheme="minorHAnsi"/>
          <w:szCs w:val="22"/>
        </w:rPr>
        <w:t xml:space="preserve"> in an </w:t>
      </w:r>
      <w:r w:rsidR="003A3385" w:rsidRPr="00520121">
        <w:rPr>
          <w:rFonts w:asciiTheme="minorHAnsi" w:hAnsiTheme="minorHAnsi"/>
          <w:szCs w:val="22"/>
        </w:rPr>
        <w:t>inclusive</w:t>
      </w:r>
      <w:r w:rsidR="000F006F" w:rsidRPr="00520121">
        <w:rPr>
          <w:rFonts w:asciiTheme="minorHAnsi" w:hAnsiTheme="minorHAnsi"/>
          <w:szCs w:val="22"/>
        </w:rPr>
        <w:t>, open and collaborative space.</w:t>
      </w:r>
      <w:r w:rsidR="00F331F4" w:rsidRPr="00520121">
        <w:rPr>
          <w:rFonts w:asciiTheme="minorHAnsi" w:hAnsiTheme="minorHAnsi"/>
          <w:szCs w:val="22"/>
        </w:rPr>
        <w:t xml:space="preserve"> </w:t>
      </w:r>
      <w:r w:rsidR="00DF094D" w:rsidRPr="00520121">
        <w:rPr>
          <w:rFonts w:asciiTheme="minorHAnsi" w:hAnsiTheme="minorHAnsi"/>
          <w:szCs w:val="22"/>
        </w:rPr>
        <w:t xml:space="preserve">A </w:t>
      </w:r>
      <w:r w:rsidR="003463A9" w:rsidRPr="00520121">
        <w:rPr>
          <w:rFonts w:asciiTheme="minorHAnsi" w:hAnsiTheme="minorHAnsi"/>
          <w:szCs w:val="22"/>
        </w:rPr>
        <w:t xml:space="preserve">flexible working infographic was </w:t>
      </w:r>
      <w:r w:rsidR="007F79F9" w:rsidRPr="00520121">
        <w:rPr>
          <w:rFonts w:asciiTheme="minorHAnsi" w:hAnsiTheme="minorHAnsi"/>
          <w:szCs w:val="22"/>
        </w:rPr>
        <w:t>published to raise awareness, particularly among colleagues with caring responsibilities</w:t>
      </w:r>
      <w:r w:rsidR="002F6C38" w:rsidRPr="00520121">
        <w:rPr>
          <w:rFonts w:asciiTheme="minorHAnsi" w:hAnsiTheme="minorHAnsi"/>
          <w:szCs w:val="22"/>
        </w:rPr>
        <w:t>, as part of a wider campaign to promote healthy work-life balance</w:t>
      </w:r>
      <w:r w:rsidR="007F79F9" w:rsidRPr="00520121">
        <w:rPr>
          <w:rFonts w:asciiTheme="minorHAnsi" w:hAnsiTheme="minorHAnsi"/>
          <w:szCs w:val="22"/>
        </w:rPr>
        <w:t xml:space="preserve">. </w:t>
      </w:r>
    </w:p>
    <w:p w14:paraId="5BD2440B" w14:textId="416AB2E6" w:rsidR="00C65E3A" w:rsidRDefault="00A33BFE" w:rsidP="00A33BFE">
      <w:pPr>
        <w:rPr>
          <w:rFonts w:asciiTheme="minorHAnsi" w:hAnsiTheme="minorHAnsi"/>
          <w:b/>
          <w:bCs/>
          <w:szCs w:val="22"/>
        </w:rPr>
      </w:pPr>
      <w:r>
        <w:rPr>
          <w:rFonts w:asciiTheme="minorHAnsi" w:hAnsiTheme="minorHAnsi"/>
          <w:szCs w:val="22"/>
        </w:rPr>
        <w:t>The Faculty of Humanities and Social Sciences (</w:t>
      </w:r>
      <w:proofErr w:type="spellStart"/>
      <w:r>
        <w:rPr>
          <w:rFonts w:asciiTheme="minorHAnsi" w:hAnsiTheme="minorHAnsi"/>
          <w:szCs w:val="22"/>
        </w:rPr>
        <w:t>HaSS</w:t>
      </w:r>
      <w:proofErr w:type="spellEnd"/>
      <w:r>
        <w:rPr>
          <w:rFonts w:asciiTheme="minorHAnsi" w:hAnsiTheme="minorHAnsi"/>
          <w:szCs w:val="22"/>
        </w:rPr>
        <w:t xml:space="preserve">) aligned its </w:t>
      </w:r>
      <w:proofErr w:type="spellStart"/>
      <w:r>
        <w:rPr>
          <w:rFonts w:asciiTheme="minorHAnsi" w:hAnsiTheme="minorHAnsi"/>
          <w:szCs w:val="22"/>
        </w:rPr>
        <w:t>HaSS</w:t>
      </w:r>
      <w:proofErr w:type="spellEnd"/>
      <w:r>
        <w:rPr>
          <w:rFonts w:asciiTheme="minorHAnsi" w:hAnsiTheme="minorHAnsi"/>
          <w:szCs w:val="22"/>
        </w:rPr>
        <w:t xml:space="preserve"> EDI Committee (HEDIC) and </w:t>
      </w:r>
      <w:proofErr w:type="spellStart"/>
      <w:r>
        <w:rPr>
          <w:rFonts w:asciiTheme="minorHAnsi" w:hAnsiTheme="minorHAnsi"/>
          <w:szCs w:val="22"/>
        </w:rPr>
        <w:t>HaSS</w:t>
      </w:r>
      <w:proofErr w:type="spellEnd"/>
      <w:r>
        <w:rPr>
          <w:rFonts w:asciiTheme="minorHAnsi" w:hAnsiTheme="minorHAnsi"/>
          <w:szCs w:val="22"/>
        </w:rPr>
        <w:t xml:space="preserve"> Athena Swan Implementation Group (HASIG) to foster stronger connections with other Faculties and the central EDI Team. </w:t>
      </w:r>
      <w:r w:rsidR="00AE7801" w:rsidRPr="00520121">
        <w:rPr>
          <w:rFonts w:asciiTheme="minorHAnsi" w:hAnsiTheme="minorHAnsi"/>
          <w:szCs w:val="22"/>
        </w:rPr>
        <w:t>Alongside this, a full review and renewal of Equality Analysis was undertaken</w:t>
      </w:r>
      <w:r w:rsidR="00B251C7" w:rsidRPr="00520121">
        <w:rPr>
          <w:rFonts w:asciiTheme="minorHAnsi" w:hAnsiTheme="minorHAnsi"/>
          <w:szCs w:val="22"/>
        </w:rPr>
        <w:t xml:space="preserve"> to </w:t>
      </w:r>
      <w:r w:rsidR="00134E52">
        <w:rPr>
          <w:rFonts w:asciiTheme="minorHAnsi" w:hAnsiTheme="minorHAnsi"/>
          <w:szCs w:val="22"/>
        </w:rPr>
        <w:t>embed</w:t>
      </w:r>
      <w:r w:rsidR="00B251C7" w:rsidRPr="00520121">
        <w:rPr>
          <w:rFonts w:asciiTheme="minorHAnsi" w:hAnsiTheme="minorHAnsi"/>
          <w:szCs w:val="22"/>
        </w:rPr>
        <w:t xml:space="preserve"> the process and improve application. </w:t>
      </w:r>
      <w:r w:rsidR="00BC5A6B" w:rsidRPr="00C64983">
        <w:rPr>
          <w:rFonts w:asciiTheme="minorHAnsi" w:hAnsiTheme="minorHAnsi"/>
          <w:szCs w:val="22"/>
        </w:rPr>
        <w:t xml:space="preserve">Internal analysis and reporting identified </w:t>
      </w:r>
      <w:r w:rsidR="00886248" w:rsidRPr="00C64983">
        <w:rPr>
          <w:rFonts w:asciiTheme="minorHAnsi" w:hAnsiTheme="minorHAnsi"/>
          <w:szCs w:val="22"/>
        </w:rPr>
        <w:t>the need for a Post</w:t>
      </w:r>
      <w:r w:rsidR="00567834" w:rsidRPr="00C64983">
        <w:rPr>
          <w:rFonts w:asciiTheme="minorHAnsi" w:hAnsiTheme="minorHAnsi"/>
          <w:szCs w:val="22"/>
        </w:rPr>
        <w:t>graduate</w:t>
      </w:r>
      <w:r w:rsidR="00886248" w:rsidRPr="00C64983">
        <w:rPr>
          <w:rFonts w:asciiTheme="minorHAnsi" w:hAnsiTheme="minorHAnsi"/>
          <w:szCs w:val="22"/>
        </w:rPr>
        <w:t xml:space="preserve"> Research (PGR) re</w:t>
      </w:r>
      <w:r w:rsidR="0043777E" w:rsidRPr="00C64983">
        <w:rPr>
          <w:rFonts w:asciiTheme="minorHAnsi" w:hAnsiTheme="minorHAnsi"/>
          <w:szCs w:val="22"/>
        </w:rPr>
        <w:t>p</w:t>
      </w:r>
      <w:r w:rsidR="00DC22D9" w:rsidRPr="00C64983">
        <w:rPr>
          <w:rFonts w:asciiTheme="minorHAnsi" w:hAnsiTheme="minorHAnsi"/>
          <w:szCs w:val="22"/>
        </w:rPr>
        <w:t>resentative</w:t>
      </w:r>
      <w:r w:rsidR="0043777E" w:rsidRPr="00C64983">
        <w:rPr>
          <w:rFonts w:asciiTheme="minorHAnsi" w:hAnsiTheme="minorHAnsi"/>
          <w:szCs w:val="22"/>
        </w:rPr>
        <w:t xml:space="preserve"> to be present at all HEDIC and HASIG meetings</w:t>
      </w:r>
      <w:r w:rsidR="00DD1135" w:rsidRPr="00C64983">
        <w:rPr>
          <w:rFonts w:asciiTheme="minorHAnsi" w:hAnsiTheme="minorHAnsi"/>
          <w:szCs w:val="22"/>
        </w:rPr>
        <w:t xml:space="preserve"> with </w:t>
      </w:r>
      <w:r w:rsidR="00DC22D9" w:rsidRPr="00C64983">
        <w:rPr>
          <w:rFonts w:asciiTheme="minorHAnsi" w:hAnsiTheme="minorHAnsi"/>
          <w:szCs w:val="22"/>
        </w:rPr>
        <w:t xml:space="preserve">an equivalent </w:t>
      </w:r>
      <w:r w:rsidR="00DD1135" w:rsidRPr="00C64983">
        <w:rPr>
          <w:rFonts w:asciiTheme="minorHAnsi" w:hAnsiTheme="minorHAnsi"/>
          <w:szCs w:val="22"/>
        </w:rPr>
        <w:t xml:space="preserve">appointment being made to </w:t>
      </w:r>
      <w:r w:rsidR="004D5178" w:rsidRPr="00C64983">
        <w:rPr>
          <w:rFonts w:asciiTheme="minorHAnsi" w:hAnsiTheme="minorHAnsi"/>
          <w:szCs w:val="22"/>
        </w:rPr>
        <w:t xml:space="preserve">improve consultation with Technical Managers in relation to </w:t>
      </w:r>
      <w:r w:rsidR="001D28C8" w:rsidRPr="00C64983">
        <w:rPr>
          <w:rFonts w:asciiTheme="minorHAnsi" w:hAnsiTheme="minorHAnsi"/>
          <w:szCs w:val="22"/>
        </w:rPr>
        <w:t>Professional, Technical and Operational colleagues.</w:t>
      </w:r>
      <w:r w:rsidR="001D28C8" w:rsidRPr="00C64983">
        <w:rPr>
          <w:rFonts w:asciiTheme="minorHAnsi" w:hAnsiTheme="minorHAnsi"/>
          <w:b/>
          <w:bCs/>
          <w:szCs w:val="22"/>
        </w:rPr>
        <w:t xml:space="preserve"> </w:t>
      </w:r>
    </w:p>
    <w:p w14:paraId="6D7D32F3" w14:textId="1CA0CE66" w:rsidR="00D15B19" w:rsidRDefault="09DCEC0F" w:rsidP="00101335">
      <w:pPr>
        <w:rPr>
          <w:rFonts w:asciiTheme="minorHAnsi" w:hAnsiTheme="minorHAnsi"/>
        </w:rPr>
      </w:pPr>
      <w:r w:rsidRPr="22D7EE0B">
        <w:rPr>
          <w:rFonts w:asciiTheme="minorHAnsi" w:hAnsiTheme="minorHAnsi"/>
        </w:rPr>
        <w:t>The Faculty of Science, Agriculture and Engineering (</w:t>
      </w:r>
      <w:proofErr w:type="spellStart"/>
      <w:r w:rsidRPr="22D7EE0B">
        <w:rPr>
          <w:rFonts w:asciiTheme="minorHAnsi" w:hAnsiTheme="minorHAnsi"/>
        </w:rPr>
        <w:t>SAgE</w:t>
      </w:r>
      <w:proofErr w:type="spellEnd"/>
      <w:r w:rsidRPr="22D7EE0B">
        <w:rPr>
          <w:rFonts w:asciiTheme="minorHAnsi" w:hAnsiTheme="minorHAnsi"/>
        </w:rPr>
        <w:t xml:space="preserve">) </w:t>
      </w:r>
      <w:r w:rsidR="00F97DBD">
        <w:rPr>
          <w:rFonts w:asciiTheme="minorHAnsi" w:hAnsiTheme="minorHAnsi"/>
        </w:rPr>
        <w:t xml:space="preserve">proudly achieved </w:t>
      </w:r>
      <w:r w:rsidR="00292687">
        <w:rPr>
          <w:rFonts w:asciiTheme="minorHAnsi" w:hAnsiTheme="minorHAnsi"/>
        </w:rPr>
        <w:t xml:space="preserve">new </w:t>
      </w:r>
      <w:r w:rsidR="00F97DBD">
        <w:rPr>
          <w:rFonts w:asciiTheme="minorHAnsi" w:hAnsiTheme="minorHAnsi"/>
        </w:rPr>
        <w:t>Silver Athena Swan Awards in the School</w:t>
      </w:r>
      <w:r w:rsidR="007B61B6">
        <w:rPr>
          <w:rFonts w:asciiTheme="minorHAnsi" w:hAnsiTheme="minorHAnsi"/>
        </w:rPr>
        <w:t xml:space="preserve"> </w:t>
      </w:r>
      <w:r w:rsidR="00F97DBD">
        <w:rPr>
          <w:rFonts w:asciiTheme="minorHAnsi" w:hAnsiTheme="minorHAnsi"/>
        </w:rPr>
        <w:t>of Mathematics, Stati</w:t>
      </w:r>
      <w:r w:rsidR="007B61B6">
        <w:rPr>
          <w:rFonts w:asciiTheme="minorHAnsi" w:hAnsiTheme="minorHAnsi"/>
        </w:rPr>
        <w:t>stics and Physics and the School of Computing.</w:t>
      </w:r>
      <w:r w:rsidR="00F43A53">
        <w:rPr>
          <w:rFonts w:asciiTheme="minorHAnsi" w:hAnsiTheme="minorHAnsi"/>
        </w:rPr>
        <w:t xml:space="preserve"> A </w:t>
      </w:r>
      <w:r w:rsidRPr="22D7EE0B">
        <w:rPr>
          <w:rFonts w:asciiTheme="minorHAnsi" w:hAnsiTheme="minorHAnsi"/>
        </w:rPr>
        <w:t>Director of Culture &amp; Inclusion</w:t>
      </w:r>
      <w:r w:rsidR="6EB75CE4" w:rsidRPr="22D7EE0B">
        <w:rPr>
          <w:rFonts w:asciiTheme="minorHAnsi" w:hAnsiTheme="minorHAnsi"/>
        </w:rPr>
        <w:t xml:space="preserve"> </w:t>
      </w:r>
      <w:r w:rsidR="00F43A53">
        <w:rPr>
          <w:rFonts w:asciiTheme="minorHAnsi" w:hAnsiTheme="minorHAnsi"/>
        </w:rPr>
        <w:t xml:space="preserve">was recruited </w:t>
      </w:r>
      <w:r w:rsidR="6EB75CE4" w:rsidRPr="22D7EE0B">
        <w:rPr>
          <w:rFonts w:asciiTheme="minorHAnsi" w:hAnsiTheme="minorHAnsi"/>
        </w:rPr>
        <w:t xml:space="preserve">to focus on embedding EDI activities </w:t>
      </w:r>
      <w:r w:rsidR="00F43A53">
        <w:rPr>
          <w:rFonts w:asciiTheme="minorHAnsi" w:hAnsiTheme="minorHAnsi"/>
        </w:rPr>
        <w:t>and</w:t>
      </w:r>
      <w:r w:rsidR="6EB75CE4" w:rsidRPr="22D7EE0B">
        <w:rPr>
          <w:rFonts w:asciiTheme="minorHAnsi" w:hAnsiTheme="minorHAnsi"/>
        </w:rPr>
        <w:t xml:space="preserve"> enhanc</w:t>
      </w:r>
      <w:r w:rsidR="00F43A53">
        <w:rPr>
          <w:rFonts w:asciiTheme="minorHAnsi" w:hAnsiTheme="minorHAnsi"/>
        </w:rPr>
        <w:t>ing</w:t>
      </w:r>
      <w:r w:rsidR="6EB75CE4" w:rsidRPr="22D7EE0B">
        <w:rPr>
          <w:rFonts w:asciiTheme="minorHAnsi" w:hAnsiTheme="minorHAnsi"/>
        </w:rPr>
        <w:t xml:space="preserve"> the colleague experience at work. Their work also centred around</w:t>
      </w:r>
      <w:r w:rsidR="7AE3DCD7" w:rsidRPr="22D7EE0B">
        <w:rPr>
          <w:rFonts w:asciiTheme="minorHAnsi" w:hAnsiTheme="minorHAnsi"/>
        </w:rPr>
        <w:t xml:space="preserve"> collaboration and transparency across the </w:t>
      </w:r>
      <w:proofErr w:type="gramStart"/>
      <w:r w:rsidR="7AE3DCD7" w:rsidRPr="22D7EE0B">
        <w:rPr>
          <w:rFonts w:asciiTheme="minorHAnsi" w:hAnsiTheme="minorHAnsi"/>
        </w:rPr>
        <w:t>Faculty</w:t>
      </w:r>
      <w:proofErr w:type="gramEnd"/>
      <w:r w:rsidR="530556AA" w:rsidRPr="22D7EE0B">
        <w:rPr>
          <w:rFonts w:asciiTheme="minorHAnsi" w:hAnsiTheme="minorHAnsi"/>
        </w:rPr>
        <w:t>. An EDI Strategy Day was held for colleagues across the different Schools</w:t>
      </w:r>
      <w:r w:rsidR="160EC85A" w:rsidRPr="22D7EE0B">
        <w:rPr>
          <w:rFonts w:asciiTheme="minorHAnsi" w:hAnsiTheme="minorHAnsi"/>
        </w:rPr>
        <w:t xml:space="preserve"> to come together and discuss key actions, share best practice and support one another on a range of EDI initiatives and activities. </w:t>
      </w:r>
      <w:r w:rsidR="0033259D">
        <w:rPr>
          <w:rFonts w:asciiTheme="minorHAnsi" w:hAnsiTheme="minorHAnsi"/>
        </w:rPr>
        <w:t xml:space="preserve">The </w:t>
      </w:r>
      <w:proofErr w:type="spellStart"/>
      <w:r w:rsidR="0033259D">
        <w:rPr>
          <w:rFonts w:asciiTheme="minorHAnsi" w:hAnsiTheme="minorHAnsi"/>
        </w:rPr>
        <w:t>SAgE</w:t>
      </w:r>
      <w:proofErr w:type="spellEnd"/>
      <w:r w:rsidR="0033259D">
        <w:rPr>
          <w:rFonts w:asciiTheme="minorHAnsi" w:hAnsiTheme="minorHAnsi"/>
        </w:rPr>
        <w:t xml:space="preserve"> Women’s Leadership Forum also held events</w:t>
      </w:r>
      <w:r w:rsidR="001A232F">
        <w:rPr>
          <w:rFonts w:asciiTheme="minorHAnsi" w:hAnsiTheme="minorHAnsi"/>
        </w:rPr>
        <w:t xml:space="preserve"> focusing on imposter syndrome and mentoring, with a view to establishing stronger support networks for</w:t>
      </w:r>
      <w:r w:rsidR="00D3085E">
        <w:rPr>
          <w:rFonts w:asciiTheme="minorHAnsi" w:hAnsiTheme="minorHAnsi"/>
        </w:rPr>
        <w:t xml:space="preserve"> women colleagues. </w:t>
      </w:r>
    </w:p>
    <w:p w14:paraId="2E14D538" w14:textId="77777777" w:rsidR="009818E2" w:rsidRPr="009818E2" w:rsidRDefault="009818E2" w:rsidP="00101335">
      <w:pPr>
        <w:rPr>
          <w:rFonts w:asciiTheme="minorHAnsi" w:hAnsiTheme="minorHAnsi"/>
        </w:rPr>
      </w:pPr>
    </w:p>
    <w:p w14:paraId="19694509" w14:textId="352D4312" w:rsidR="00101335" w:rsidRPr="007C40D6" w:rsidRDefault="00101335" w:rsidP="00101335">
      <w:pPr>
        <w:rPr>
          <w:rFonts w:asciiTheme="majorHAnsi" w:hAnsiTheme="majorHAnsi"/>
        </w:rPr>
      </w:pPr>
      <w:r w:rsidRPr="27B41CCA">
        <w:rPr>
          <w:rFonts w:asciiTheme="majorHAnsi" w:hAnsiTheme="majorHAnsi"/>
          <w:color w:val="0B769F" w:themeColor="accent4" w:themeShade="BF"/>
          <w:sz w:val="28"/>
          <w:szCs w:val="28"/>
        </w:rPr>
        <w:lastRenderedPageBreak/>
        <w:t xml:space="preserve">Newcastle University’s </w:t>
      </w:r>
      <w:r w:rsidR="00180D9E">
        <w:rPr>
          <w:rFonts w:asciiTheme="majorHAnsi" w:hAnsiTheme="majorHAnsi"/>
          <w:color w:val="0B769F" w:themeColor="accent4" w:themeShade="BF"/>
          <w:sz w:val="28"/>
          <w:szCs w:val="28"/>
        </w:rPr>
        <w:t xml:space="preserve">Colleague </w:t>
      </w:r>
      <w:r w:rsidRPr="27B41CCA">
        <w:rPr>
          <w:rFonts w:asciiTheme="majorHAnsi" w:hAnsiTheme="majorHAnsi"/>
          <w:color w:val="0B769F" w:themeColor="accent4" w:themeShade="BF"/>
          <w:sz w:val="28"/>
          <w:szCs w:val="28"/>
        </w:rPr>
        <w:t>Networks</w:t>
      </w:r>
    </w:p>
    <w:p w14:paraId="155FF935" w14:textId="6BD9E704" w:rsidR="0019522E" w:rsidRDefault="00E5163D" w:rsidP="00C9365F">
      <w:pPr>
        <w:rPr>
          <w:rFonts w:asciiTheme="minorHAnsi" w:hAnsiTheme="minorHAnsi"/>
          <w:szCs w:val="22"/>
        </w:rPr>
      </w:pPr>
      <w:r w:rsidRPr="00520121">
        <w:rPr>
          <w:rFonts w:asciiTheme="minorHAnsi" w:hAnsiTheme="minorHAnsi"/>
          <w:szCs w:val="22"/>
        </w:rPr>
        <w:t>The contribution</w:t>
      </w:r>
      <w:r w:rsidR="00AF49BF" w:rsidRPr="00520121">
        <w:rPr>
          <w:rFonts w:asciiTheme="minorHAnsi" w:hAnsiTheme="minorHAnsi"/>
          <w:szCs w:val="22"/>
        </w:rPr>
        <w:t>s</w:t>
      </w:r>
      <w:r w:rsidRPr="00520121">
        <w:rPr>
          <w:rFonts w:asciiTheme="minorHAnsi" w:hAnsiTheme="minorHAnsi"/>
          <w:szCs w:val="22"/>
        </w:rPr>
        <w:t xml:space="preserve"> </w:t>
      </w:r>
      <w:r w:rsidR="0019522E" w:rsidRPr="00520121">
        <w:rPr>
          <w:rFonts w:asciiTheme="minorHAnsi" w:hAnsiTheme="minorHAnsi"/>
          <w:szCs w:val="22"/>
        </w:rPr>
        <w:t>from</w:t>
      </w:r>
      <w:r w:rsidRPr="00520121">
        <w:rPr>
          <w:rFonts w:asciiTheme="minorHAnsi" w:hAnsiTheme="minorHAnsi"/>
          <w:szCs w:val="22"/>
        </w:rPr>
        <w:t xml:space="preserve"> our </w:t>
      </w:r>
      <w:r w:rsidR="000261C8">
        <w:rPr>
          <w:rFonts w:asciiTheme="minorHAnsi" w:hAnsiTheme="minorHAnsi"/>
          <w:szCs w:val="22"/>
        </w:rPr>
        <w:t>colleague networks</w:t>
      </w:r>
      <w:r w:rsidRPr="00520121">
        <w:rPr>
          <w:rFonts w:asciiTheme="minorHAnsi" w:hAnsiTheme="minorHAnsi"/>
          <w:szCs w:val="22"/>
        </w:rPr>
        <w:t xml:space="preserve"> </w:t>
      </w:r>
      <w:r w:rsidR="00AF49BF" w:rsidRPr="00520121">
        <w:rPr>
          <w:rFonts w:asciiTheme="minorHAnsi" w:hAnsiTheme="minorHAnsi"/>
          <w:szCs w:val="22"/>
        </w:rPr>
        <w:t>are</w:t>
      </w:r>
      <w:r w:rsidRPr="00520121">
        <w:rPr>
          <w:rFonts w:asciiTheme="minorHAnsi" w:hAnsiTheme="minorHAnsi"/>
          <w:szCs w:val="22"/>
        </w:rPr>
        <w:t xml:space="preserve"> invaluable to the progression of EDI action across the University</w:t>
      </w:r>
      <w:r w:rsidR="00AF49BF" w:rsidRPr="00520121">
        <w:rPr>
          <w:rFonts w:asciiTheme="minorHAnsi" w:hAnsiTheme="minorHAnsi"/>
          <w:szCs w:val="22"/>
        </w:rPr>
        <w:t xml:space="preserve">. A range of </w:t>
      </w:r>
      <w:r w:rsidR="00484F8B" w:rsidRPr="00520121">
        <w:rPr>
          <w:rFonts w:asciiTheme="minorHAnsi" w:hAnsiTheme="minorHAnsi"/>
          <w:szCs w:val="22"/>
        </w:rPr>
        <w:t xml:space="preserve">formal and informal </w:t>
      </w:r>
      <w:r w:rsidR="00AF49BF" w:rsidRPr="00520121">
        <w:rPr>
          <w:rFonts w:asciiTheme="minorHAnsi" w:hAnsiTheme="minorHAnsi"/>
          <w:szCs w:val="22"/>
        </w:rPr>
        <w:t xml:space="preserve">peer-led networks are open to all colleagues and </w:t>
      </w:r>
      <w:r w:rsidR="000261C8">
        <w:rPr>
          <w:rFonts w:asciiTheme="minorHAnsi" w:hAnsiTheme="minorHAnsi"/>
          <w:szCs w:val="22"/>
        </w:rPr>
        <w:t>p</w:t>
      </w:r>
      <w:r w:rsidR="00AF49BF" w:rsidRPr="00520121">
        <w:rPr>
          <w:rFonts w:asciiTheme="minorHAnsi" w:hAnsiTheme="minorHAnsi"/>
          <w:szCs w:val="22"/>
        </w:rPr>
        <w:t xml:space="preserve">ostgraduate </w:t>
      </w:r>
      <w:r w:rsidR="000261C8">
        <w:rPr>
          <w:rFonts w:asciiTheme="minorHAnsi" w:hAnsiTheme="minorHAnsi"/>
          <w:szCs w:val="22"/>
        </w:rPr>
        <w:t>r</w:t>
      </w:r>
      <w:r w:rsidR="00AF49BF" w:rsidRPr="00520121">
        <w:rPr>
          <w:rFonts w:asciiTheme="minorHAnsi" w:hAnsiTheme="minorHAnsi"/>
          <w:szCs w:val="22"/>
        </w:rPr>
        <w:t xml:space="preserve">esearch students. </w:t>
      </w:r>
    </w:p>
    <w:p w14:paraId="2BDFB9F0" w14:textId="1CE7E2DC" w:rsidR="00A85505" w:rsidRDefault="006522B8" w:rsidP="00C9365F">
      <w:pPr>
        <w:rPr>
          <w:rFonts w:asciiTheme="minorHAnsi" w:hAnsiTheme="minorHAnsi"/>
        </w:rPr>
      </w:pPr>
      <w:r w:rsidRPr="014FBE0B">
        <w:rPr>
          <w:rFonts w:asciiTheme="minorHAnsi" w:hAnsiTheme="minorHAnsi"/>
        </w:rPr>
        <w:t xml:space="preserve">This year marked the successful </w:t>
      </w:r>
      <w:r w:rsidR="00296A85" w:rsidRPr="014FBE0B">
        <w:rPr>
          <w:rFonts w:asciiTheme="minorHAnsi" w:hAnsiTheme="minorHAnsi"/>
        </w:rPr>
        <w:t>return</w:t>
      </w:r>
      <w:r w:rsidRPr="014FBE0B">
        <w:rPr>
          <w:rFonts w:asciiTheme="minorHAnsi" w:hAnsiTheme="minorHAnsi"/>
        </w:rPr>
        <w:t xml:space="preserve"> of our Staff Networks Day, bringing together all our </w:t>
      </w:r>
      <w:r w:rsidR="00843695" w:rsidRPr="014FBE0B">
        <w:rPr>
          <w:rFonts w:asciiTheme="minorHAnsi" w:hAnsiTheme="minorHAnsi"/>
        </w:rPr>
        <w:t>colleague</w:t>
      </w:r>
      <w:r w:rsidRPr="014FBE0B">
        <w:rPr>
          <w:rFonts w:asciiTheme="minorHAnsi" w:hAnsiTheme="minorHAnsi"/>
        </w:rPr>
        <w:t xml:space="preserve"> networks in a celebratory and collaborative event. The day provided a valuable platform for connection, visibility, and shared learning across the organisation. In parallel, we introduced our new Executive Sponsor Scheme, pairing each network with a member of the </w:t>
      </w:r>
      <w:r w:rsidR="000261C8">
        <w:rPr>
          <w:rFonts w:asciiTheme="minorHAnsi" w:hAnsiTheme="minorHAnsi"/>
        </w:rPr>
        <w:t xml:space="preserve">University </w:t>
      </w:r>
      <w:r w:rsidRPr="014FBE0B">
        <w:rPr>
          <w:rFonts w:asciiTheme="minorHAnsi" w:hAnsiTheme="minorHAnsi"/>
        </w:rPr>
        <w:t xml:space="preserve">Executive </w:t>
      </w:r>
      <w:r w:rsidR="000261C8">
        <w:rPr>
          <w:rFonts w:asciiTheme="minorHAnsi" w:hAnsiTheme="minorHAnsi"/>
        </w:rPr>
        <w:t>Board</w:t>
      </w:r>
      <w:r w:rsidRPr="014FBE0B">
        <w:rPr>
          <w:rFonts w:asciiTheme="minorHAnsi" w:hAnsiTheme="minorHAnsi"/>
        </w:rPr>
        <w:t>. This initiative aims to strengthen institutional support for our networks by ensuring senior leaders are actively engaged in listening, learning, and championing the voices of underrepresented groups within our workforce.</w:t>
      </w:r>
    </w:p>
    <w:p w14:paraId="45674459" w14:textId="77777777" w:rsidR="00405AA8" w:rsidRDefault="00C9365F" w:rsidP="00C9365F">
      <w:pPr>
        <w:rPr>
          <w:rFonts w:asciiTheme="minorHAnsi" w:hAnsiTheme="minorHAnsi"/>
          <w:szCs w:val="22"/>
        </w:rPr>
      </w:pPr>
      <w:r w:rsidRPr="00520121">
        <w:rPr>
          <w:rFonts w:asciiTheme="minorHAnsi" w:hAnsiTheme="minorHAnsi"/>
          <w:szCs w:val="22"/>
        </w:rPr>
        <w:t>NU Carers</w:t>
      </w:r>
      <w:r w:rsidR="00D57AFE" w:rsidRPr="00520121">
        <w:rPr>
          <w:rFonts w:asciiTheme="minorHAnsi" w:hAnsiTheme="minorHAnsi"/>
          <w:szCs w:val="22"/>
        </w:rPr>
        <w:t xml:space="preserve"> </w:t>
      </w:r>
      <w:r w:rsidR="008E6F46" w:rsidRPr="00520121">
        <w:rPr>
          <w:rFonts w:asciiTheme="minorHAnsi" w:hAnsiTheme="minorHAnsi"/>
          <w:szCs w:val="22"/>
        </w:rPr>
        <w:t xml:space="preserve">hosted monthly peer support lunch sessions for Carers across the University </w:t>
      </w:r>
      <w:r w:rsidR="00F549E5" w:rsidRPr="00520121">
        <w:rPr>
          <w:rFonts w:asciiTheme="minorHAnsi" w:hAnsiTheme="minorHAnsi"/>
          <w:szCs w:val="22"/>
        </w:rPr>
        <w:t>and conducted a range of</w:t>
      </w:r>
      <w:r w:rsidR="00FF64AF" w:rsidRPr="00520121">
        <w:rPr>
          <w:rFonts w:asciiTheme="minorHAnsi" w:hAnsiTheme="minorHAnsi"/>
          <w:szCs w:val="22"/>
        </w:rPr>
        <w:t xml:space="preserve"> awareness-raising initiatives. All staff were invited to attend an internal information </w:t>
      </w:r>
      <w:r w:rsidR="00C00508" w:rsidRPr="00520121">
        <w:rPr>
          <w:rFonts w:asciiTheme="minorHAnsi" w:hAnsiTheme="minorHAnsi"/>
          <w:szCs w:val="22"/>
        </w:rPr>
        <w:t>session</w:t>
      </w:r>
      <w:r w:rsidR="00490873" w:rsidRPr="00520121">
        <w:rPr>
          <w:rFonts w:asciiTheme="minorHAnsi" w:hAnsiTheme="minorHAnsi"/>
          <w:szCs w:val="22"/>
        </w:rPr>
        <w:t xml:space="preserve"> and the network partnered with external organisation Newcastle Carers</w:t>
      </w:r>
      <w:r w:rsidR="00DB0F17" w:rsidRPr="00520121">
        <w:rPr>
          <w:rFonts w:asciiTheme="minorHAnsi" w:hAnsiTheme="minorHAnsi"/>
          <w:szCs w:val="22"/>
        </w:rPr>
        <w:t xml:space="preserve"> to host a session focused on Carers’ rights</w:t>
      </w:r>
      <w:r w:rsidR="00045C6B" w:rsidRPr="00520121">
        <w:rPr>
          <w:rFonts w:asciiTheme="minorHAnsi" w:hAnsiTheme="minorHAnsi"/>
          <w:szCs w:val="22"/>
        </w:rPr>
        <w:t xml:space="preserve"> and accessible external support. </w:t>
      </w:r>
    </w:p>
    <w:p w14:paraId="07AE99A6" w14:textId="12028E47" w:rsidR="00484F8B" w:rsidRPr="00A85505" w:rsidRDefault="00405AA8" w:rsidP="00C9365F">
      <w:pPr>
        <w:rPr>
          <w:rFonts w:asciiTheme="minorHAnsi" w:hAnsiTheme="minorHAnsi"/>
        </w:rPr>
      </w:pPr>
      <w:r w:rsidRPr="00405AA8">
        <w:rPr>
          <w:rFonts w:asciiTheme="minorHAnsi" w:hAnsiTheme="minorHAnsi"/>
          <w:szCs w:val="22"/>
        </w:rPr>
        <w:t xml:space="preserve">NU </w:t>
      </w:r>
      <w:r w:rsidR="0028480E">
        <w:rPr>
          <w:rFonts w:asciiTheme="minorHAnsi" w:hAnsiTheme="minorHAnsi"/>
          <w:szCs w:val="22"/>
        </w:rPr>
        <w:t>Disability Interest Group (</w:t>
      </w:r>
      <w:r w:rsidRPr="00405AA8">
        <w:rPr>
          <w:rFonts w:asciiTheme="minorHAnsi" w:hAnsiTheme="minorHAnsi"/>
          <w:szCs w:val="22"/>
        </w:rPr>
        <w:t>DIG</w:t>
      </w:r>
      <w:r w:rsidR="0028480E">
        <w:rPr>
          <w:rFonts w:asciiTheme="minorHAnsi" w:hAnsiTheme="minorHAnsi"/>
          <w:szCs w:val="22"/>
        </w:rPr>
        <w:t>)</w:t>
      </w:r>
      <w:r w:rsidRPr="00405AA8">
        <w:rPr>
          <w:rFonts w:asciiTheme="minorHAnsi" w:hAnsiTheme="minorHAnsi"/>
          <w:szCs w:val="22"/>
        </w:rPr>
        <w:t xml:space="preserve"> continued to focus on promoting accessibility and inclusion across the university. </w:t>
      </w:r>
      <w:proofErr w:type="gramStart"/>
      <w:r w:rsidRPr="00405AA8">
        <w:rPr>
          <w:rFonts w:asciiTheme="minorHAnsi" w:hAnsiTheme="minorHAnsi"/>
          <w:szCs w:val="22"/>
        </w:rPr>
        <w:t>A number of</w:t>
      </w:r>
      <w:proofErr w:type="gramEnd"/>
      <w:r w:rsidRPr="00405AA8">
        <w:rPr>
          <w:rFonts w:asciiTheme="minorHAnsi" w:hAnsiTheme="minorHAnsi"/>
          <w:szCs w:val="22"/>
        </w:rPr>
        <w:t xml:space="preserve"> activities and initiatives supported their aim of promoting positive attitudes towards disability and providing a forum for members to share ideas, experiences and expertise. Recognition of Disability History Month 2024 centred on an interactive pop-up event prompting conversation and discussion around the term 'neurodiversity'. The network also facilitated an expert-led demo event on digital accessibility, raising awareness on common access needs and supporting colleagues to proactively make materials more accessible to students. </w:t>
      </w:r>
    </w:p>
    <w:p w14:paraId="7F493F5B" w14:textId="6D396B95" w:rsidR="00484F8B" w:rsidRPr="00520121" w:rsidRDefault="00C9365F" w:rsidP="00C9365F">
      <w:pPr>
        <w:rPr>
          <w:rFonts w:asciiTheme="minorHAnsi" w:hAnsiTheme="minorHAnsi"/>
          <w:szCs w:val="22"/>
        </w:rPr>
      </w:pPr>
      <w:r w:rsidRPr="00520121">
        <w:rPr>
          <w:rFonts w:asciiTheme="minorHAnsi" w:hAnsiTheme="minorHAnsi"/>
          <w:szCs w:val="22"/>
        </w:rPr>
        <w:t>NU Parents</w:t>
      </w:r>
      <w:r w:rsidR="00010EEE" w:rsidRPr="00520121">
        <w:rPr>
          <w:rFonts w:asciiTheme="minorHAnsi" w:hAnsiTheme="minorHAnsi"/>
          <w:szCs w:val="22"/>
        </w:rPr>
        <w:t xml:space="preserve"> </w:t>
      </w:r>
      <w:r w:rsidR="00C12E32" w:rsidRPr="00520121">
        <w:rPr>
          <w:rFonts w:asciiTheme="minorHAnsi" w:hAnsiTheme="minorHAnsi"/>
          <w:szCs w:val="22"/>
        </w:rPr>
        <w:t>built a range of supportive peer networks</w:t>
      </w:r>
      <w:r w:rsidR="004B682F" w:rsidRPr="00520121">
        <w:rPr>
          <w:rFonts w:asciiTheme="minorHAnsi" w:hAnsiTheme="minorHAnsi"/>
          <w:szCs w:val="22"/>
        </w:rPr>
        <w:t xml:space="preserve"> with tailored meetups for Single Parents, Adoptive Parents and Parents of Autistic Children, with the aim of fostering connection, wellbeing and belonging. </w:t>
      </w:r>
      <w:r w:rsidR="00667466" w:rsidRPr="00520121">
        <w:rPr>
          <w:rFonts w:asciiTheme="minorHAnsi" w:hAnsiTheme="minorHAnsi"/>
          <w:szCs w:val="22"/>
        </w:rPr>
        <w:t>A student parent support project was also led by NU Parents in collaboration with the Student Life Team</w:t>
      </w:r>
      <w:r w:rsidR="00A979FB" w:rsidRPr="00520121">
        <w:rPr>
          <w:rFonts w:asciiTheme="minorHAnsi" w:hAnsiTheme="minorHAnsi"/>
          <w:szCs w:val="22"/>
        </w:rPr>
        <w:t xml:space="preserve"> which resulted in student-led recommendations shaping university policy. </w:t>
      </w:r>
    </w:p>
    <w:p w14:paraId="5645897C" w14:textId="4410F465" w:rsidR="00484F8B" w:rsidRPr="00520121" w:rsidRDefault="00C9365F" w:rsidP="00C9365F">
      <w:pPr>
        <w:rPr>
          <w:rFonts w:asciiTheme="minorHAnsi" w:hAnsiTheme="minorHAnsi"/>
          <w:szCs w:val="22"/>
        </w:rPr>
      </w:pPr>
      <w:r w:rsidRPr="00520121">
        <w:rPr>
          <w:rFonts w:asciiTheme="minorHAnsi" w:hAnsiTheme="minorHAnsi"/>
          <w:szCs w:val="22"/>
        </w:rPr>
        <w:t>NU Race Equality Network (NU-REN)</w:t>
      </w:r>
      <w:r w:rsidR="001A2CE6" w:rsidRPr="00520121">
        <w:rPr>
          <w:rFonts w:asciiTheme="minorHAnsi" w:hAnsiTheme="minorHAnsi"/>
          <w:szCs w:val="22"/>
        </w:rPr>
        <w:t xml:space="preserve"> </w:t>
      </w:r>
      <w:r w:rsidR="00226894" w:rsidRPr="00520121">
        <w:rPr>
          <w:rFonts w:asciiTheme="minorHAnsi" w:hAnsiTheme="minorHAnsi"/>
          <w:szCs w:val="22"/>
        </w:rPr>
        <w:t>hosted</w:t>
      </w:r>
      <w:r w:rsidR="00167576" w:rsidRPr="00520121">
        <w:rPr>
          <w:rFonts w:asciiTheme="minorHAnsi" w:hAnsiTheme="minorHAnsi"/>
          <w:szCs w:val="22"/>
        </w:rPr>
        <w:t xml:space="preserve"> a series of Monthly Coffee Meets with sessions for both</w:t>
      </w:r>
      <w:r w:rsidR="004946AF" w:rsidRPr="00520121">
        <w:rPr>
          <w:rFonts w:asciiTheme="minorHAnsi" w:hAnsiTheme="minorHAnsi"/>
          <w:szCs w:val="22"/>
        </w:rPr>
        <w:t xml:space="preserve"> members who identify as ethnically minoritised and opportunities for allies. </w:t>
      </w:r>
      <w:r w:rsidR="00010EEE" w:rsidRPr="00520121">
        <w:rPr>
          <w:rFonts w:asciiTheme="minorHAnsi" w:hAnsiTheme="minorHAnsi"/>
          <w:szCs w:val="22"/>
        </w:rPr>
        <w:t xml:space="preserve">The </w:t>
      </w:r>
      <w:r w:rsidR="004029FD">
        <w:rPr>
          <w:rFonts w:asciiTheme="minorHAnsi" w:hAnsiTheme="minorHAnsi"/>
          <w:szCs w:val="22"/>
        </w:rPr>
        <w:t>n</w:t>
      </w:r>
      <w:r w:rsidR="00010EEE" w:rsidRPr="00520121">
        <w:rPr>
          <w:rFonts w:asciiTheme="minorHAnsi" w:hAnsiTheme="minorHAnsi"/>
          <w:szCs w:val="22"/>
        </w:rPr>
        <w:t xml:space="preserve">etwork </w:t>
      </w:r>
      <w:r w:rsidR="001A2CE6" w:rsidRPr="00520121">
        <w:rPr>
          <w:rFonts w:asciiTheme="minorHAnsi" w:hAnsiTheme="minorHAnsi"/>
          <w:szCs w:val="22"/>
        </w:rPr>
        <w:t xml:space="preserve">facilitated </w:t>
      </w:r>
      <w:r w:rsidR="00681D87" w:rsidRPr="00520121">
        <w:rPr>
          <w:rFonts w:asciiTheme="minorHAnsi" w:hAnsiTheme="minorHAnsi"/>
          <w:szCs w:val="22"/>
        </w:rPr>
        <w:t xml:space="preserve">GROW, </w:t>
      </w:r>
      <w:r w:rsidR="001A2CE6" w:rsidRPr="00520121">
        <w:rPr>
          <w:rFonts w:asciiTheme="minorHAnsi" w:hAnsiTheme="minorHAnsi"/>
          <w:szCs w:val="22"/>
        </w:rPr>
        <w:t>a</w:t>
      </w:r>
      <w:r w:rsidR="00256165" w:rsidRPr="00520121">
        <w:rPr>
          <w:rFonts w:asciiTheme="minorHAnsi" w:hAnsiTheme="minorHAnsi"/>
          <w:szCs w:val="22"/>
        </w:rPr>
        <w:t xml:space="preserve"> 6-part</w:t>
      </w:r>
      <w:r w:rsidR="001A2CE6" w:rsidRPr="00520121">
        <w:rPr>
          <w:rFonts w:asciiTheme="minorHAnsi" w:hAnsiTheme="minorHAnsi"/>
          <w:szCs w:val="22"/>
        </w:rPr>
        <w:t xml:space="preserve"> </w:t>
      </w:r>
      <w:r w:rsidR="00967F4A" w:rsidRPr="00520121">
        <w:rPr>
          <w:rFonts w:asciiTheme="minorHAnsi" w:hAnsiTheme="minorHAnsi"/>
          <w:szCs w:val="22"/>
        </w:rPr>
        <w:t>Continuing Professional Development (</w:t>
      </w:r>
      <w:r w:rsidR="0027681C" w:rsidRPr="00520121">
        <w:rPr>
          <w:rFonts w:asciiTheme="minorHAnsi" w:hAnsiTheme="minorHAnsi"/>
          <w:szCs w:val="22"/>
        </w:rPr>
        <w:t>CPD</w:t>
      </w:r>
      <w:r w:rsidR="00967F4A" w:rsidRPr="00520121">
        <w:rPr>
          <w:rFonts w:asciiTheme="minorHAnsi" w:hAnsiTheme="minorHAnsi"/>
          <w:szCs w:val="22"/>
        </w:rPr>
        <w:t>)</w:t>
      </w:r>
      <w:r w:rsidR="00681D87" w:rsidRPr="00520121">
        <w:rPr>
          <w:rFonts w:asciiTheme="minorHAnsi" w:hAnsiTheme="minorHAnsi"/>
          <w:szCs w:val="22"/>
        </w:rPr>
        <w:t xml:space="preserve"> course for </w:t>
      </w:r>
      <w:r w:rsidR="00A6128A" w:rsidRPr="00520121">
        <w:rPr>
          <w:rFonts w:asciiTheme="minorHAnsi" w:hAnsiTheme="minorHAnsi"/>
          <w:szCs w:val="22"/>
        </w:rPr>
        <w:t>Professional Services colleagues who identify as ethnically minoritised</w:t>
      </w:r>
      <w:r w:rsidR="004946AF" w:rsidRPr="00520121">
        <w:rPr>
          <w:rFonts w:asciiTheme="minorHAnsi" w:hAnsiTheme="minorHAnsi"/>
          <w:szCs w:val="22"/>
        </w:rPr>
        <w:t xml:space="preserve"> and </w:t>
      </w:r>
      <w:r w:rsidR="00C553B8" w:rsidRPr="00520121">
        <w:rPr>
          <w:rFonts w:asciiTheme="minorHAnsi" w:hAnsiTheme="minorHAnsi"/>
          <w:szCs w:val="22"/>
        </w:rPr>
        <w:t>co-hosted a workshop with Mission Diverse to</w:t>
      </w:r>
      <w:r w:rsidR="001077B7" w:rsidRPr="00520121">
        <w:rPr>
          <w:rFonts w:asciiTheme="minorHAnsi" w:hAnsiTheme="minorHAnsi"/>
          <w:szCs w:val="22"/>
        </w:rPr>
        <w:t xml:space="preserve"> inform</w:t>
      </w:r>
      <w:r w:rsidR="008E1AF8" w:rsidRPr="00520121">
        <w:rPr>
          <w:rFonts w:asciiTheme="minorHAnsi" w:hAnsiTheme="minorHAnsi"/>
          <w:szCs w:val="22"/>
        </w:rPr>
        <w:t xml:space="preserve"> and educate attendees on micro-aggressions.</w:t>
      </w:r>
    </w:p>
    <w:p w14:paraId="4BAF742D" w14:textId="4AFD8FEB" w:rsidR="00484F8B" w:rsidRDefault="00C9365F" w:rsidP="00C9365F">
      <w:pPr>
        <w:rPr>
          <w:rFonts w:asciiTheme="minorHAnsi" w:hAnsiTheme="minorHAnsi"/>
          <w:szCs w:val="22"/>
        </w:rPr>
      </w:pPr>
      <w:r w:rsidRPr="00520121">
        <w:rPr>
          <w:rFonts w:asciiTheme="minorHAnsi" w:hAnsiTheme="minorHAnsi"/>
          <w:szCs w:val="22"/>
        </w:rPr>
        <w:t>NU TechNet</w:t>
      </w:r>
      <w:r w:rsidR="006328E1" w:rsidRPr="00520121">
        <w:rPr>
          <w:rFonts w:asciiTheme="minorHAnsi" w:hAnsiTheme="minorHAnsi"/>
          <w:szCs w:val="22"/>
        </w:rPr>
        <w:t xml:space="preserve"> hosted a networking event</w:t>
      </w:r>
      <w:r w:rsidR="00F07E37" w:rsidRPr="00520121">
        <w:rPr>
          <w:rFonts w:asciiTheme="minorHAnsi" w:hAnsiTheme="minorHAnsi"/>
          <w:szCs w:val="22"/>
        </w:rPr>
        <w:t xml:space="preserve"> to explore</w:t>
      </w:r>
      <w:r w:rsidR="002D2DBB" w:rsidRPr="00520121">
        <w:rPr>
          <w:rFonts w:asciiTheme="minorHAnsi" w:hAnsiTheme="minorHAnsi"/>
          <w:szCs w:val="22"/>
        </w:rPr>
        <w:t xml:space="preserve"> intersectionality, inclusive career pathways and recognition for technical staff</w:t>
      </w:r>
      <w:r w:rsidR="00673621" w:rsidRPr="00520121">
        <w:rPr>
          <w:rFonts w:asciiTheme="minorHAnsi" w:hAnsiTheme="minorHAnsi"/>
          <w:szCs w:val="22"/>
        </w:rPr>
        <w:t xml:space="preserve"> with </w:t>
      </w:r>
      <w:r w:rsidR="00541E6F" w:rsidRPr="00520121">
        <w:rPr>
          <w:rFonts w:asciiTheme="minorHAnsi" w:hAnsiTheme="minorHAnsi"/>
          <w:szCs w:val="22"/>
        </w:rPr>
        <w:t>insights into identity-based disadvantage</w:t>
      </w:r>
      <w:r w:rsidR="005A22AB" w:rsidRPr="00520121">
        <w:rPr>
          <w:rFonts w:asciiTheme="minorHAnsi" w:hAnsiTheme="minorHAnsi"/>
          <w:szCs w:val="22"/>
        </w:rPr>
        <w:t xml:space="preserve"> and its impact on technical career progression. </w:t>
      </w:r>
    </w:p>
    <w:p w14:paraId="29DEE26E" w14:textId="3D323F3C" w:rsidR="007F4FAD" w:rsidRDefault="007F4FAD" w:rsidP="00C9365F">
      <w:pPr>
        <w:rPr>
          <w:rFonts w:asciiTheme="minorHAnsi" w:hAnsiTheme="minorHAnsi"/>
          <w:szCs w:val="22"/>
        </w:rPr>
      </w:pPr>
      <w:r w:rsidRPr="007F4FAD">
        <w:rPr>
          <w:rFonts w:asciiTheme="minorHAnsi" w:hAnsiTheme="minorHAnsi"/>
          <w:szCs w:val="22"/>
        </w:rPr>
        <w:t>The past academic year was a transitionary period for NU Women who worked to realign priorities and progress towards appointing a new Chairperson. Members continued to actively participate in cross-network events and knowledge-sharing, with a view to reigniting proactive and independent network activity in the coming academic year. </w:t>
      </w:r>
    </w:p>
    <w:p w14:paraId="1AEC575C" w14:textId="44F42DF7" w:rsidR="00284EE6" w:rsidRDefault="214E0C0A" w:rsidP="00756E02">
      <w:pPr>
        <w:rPr>
          <w:rFonts w:asciiTheme="minorHAnsi" w:eastAsiaTheme="minorEastAsia" w:hAnsiTheme="minorHAnsi"/>
        </w:rPr>
      </w:pPr>
      <w:proofErr w:type="spellStart"/>
      <w:r w:rsidRPr="22D7EE0B">
        <w:rPr>
          <w:rFonts w:asciiTheme="minorHAnsi" w:eastAsiaTheme="minorEastAsia" w:hAnsiTheme="minorHAnsi"/>
        </w:rPr>
        <w:lastRenderedPageBreak/>
        <w:t>Rainbow@NCL</w:t>
      </w:r>
      <w:proofErr w:type="spellEnd"/>
      <w:r w:rsidRPr="22D7EE0B">
        <w:rPr>
          <w:rFonts w:asciiTheme="minorHAnsi" w:eastAsiaTheme="minorEastAsia" w:hAnsiTheme="minorHAnsi"/>
        </w:rPr>
        <w:t xml:space="preserve"> celebrated Pride Month with a breakfast event open to members, allies and friends followed by attendance at the Newcastle Pride march. The network marked Trans Awareness Week with a</w:t>
      </w:r>
      <w:r w:rsidR="00417119">
        <w:rPr>
          <w:rFonts w:asciiTheme="minorHAnsi" w:eastAsiaTheme="minorEastAsia" w:hAnsiTheme="minorHAnsi"/>
        </w:rPr>
        <w:t xml:space="preserve"> </w:t>
      </w:r>
      <w:r w:rsidRPr="22D7EE0B">
        <w:rPr>
          <w:rFonts w:asciiTheme="minorHAnsi" w:eastAsiaTheme="minorEastAsia" w:hAnsiTheme="minorHAnsi"/>
        </w:rPr>
        <w:t xml:space="preserve">Trans Clothing Drive in an event combined with inclusive pay-as-you-can haircuts and mindfulness activities. </w:t>
      </w:r>
      <w:r w:rsidR="67100179" w:rsidRPr="22D7EE0B">
        <w:rPr>
          <w:rFonts w:asciiTheme="minorHAnsi" w:eastAsiaTheme="minorEastAsia" w:hAnsiTheme="minorHAnsi"/>
        </w:rPr>
        <w:t>Following</w:t>
      </w:r>
      <w:r w:rsidRPr="22D7EE0B">
        <w:rPr>
          <w:rFonts w:asciiTheme="minorHAnsi" w:eastAsiaTheme="minorEastAsia" w:hAnsiTheme="minorHAnsi"/>
        </w:rPr>
        <w:t xml:space="preserve"> updated guidance from the Equality and Human Rights Commission (EHRC) regarding sex and gender identity, Rainbow hosted a series of listening groups, leading to the creation of a report on observations and recommendations regarding support for trans, non-binary and intersex colleagues. </w:t>
      </w:r>
    </w:p>
    <w:p w14:paraId="13CFBF9F" w14:textId="0AE13512" w:rsidR="00756E02" w:rsidRPr="00D15B19" w:rsidRDefault="00284EE6" w:rsidP="00756E02">
      <w:pPr>
        <w:rPr>
          <w:rFonts w:asciiTheme="majorHAnsi" w:hAnsiTheme="majorHAnsi"/>
          <w:color w:val="0B769F" w:themeColor="accent4" w:themeShade="BF"/>
          <w:sz w:val="40"/>
          <w:szCs w:val="44"/>
        </w:rPr>
      </w:pPr>
      <w:r w:rsidRPr="00D15B19">
        <w:rPr>
          <w:rFonts w:asciiTheme="majorHAnsi" w:hAnsiTheme="majorHAnsi"/>
          <w:color w:val="0B769F" w:themeColor="accent4" w:themeShade="BF"/>
          <w:sz w:val="40"/>
          <w:szCs w:val="44"/>
        </w:rPr>
        <w:br w:type="page"/>
      </w:r>
      <w:r w:rsidR="00322D7E" w:rsidRPr="00D15B19">
        <w:rPr>
          <w:rFonts w:asciiTheme="majorHAnsi" w:hAnsiTheme="majorHAnsi"/>
          <w:color w:val="0B769F" w:themeColor="accent4" w:themeShade="BF"/>
          <w:sz w:val="40"/>
          <w:szCs w:val="44"/>
        </w:rPr>
        <w:lastRenderedPageBreak/>
        <w:t xml:space="preserve">Key Priorities for </w:t>
      </w:r>
      <w:r w:rsidR="00E41B64">
        <w:rPr>
          <w:rFonts w:asciiTheme="majorHAnsi" w:hAnsiTheme="majorHAnsi"/>
          <w:color w:val="0B769F" w:themeColor="accent4" w:themeShade="BF"/>
          <w:sz w:val="40"/>
          <w:szCs w:val="44"/>
        </w:rPr>
        <w:t>2025/26</w:t>
      </w:r>
    </w:p>
    <w:p w14:paraId="48436F84" w14:textId="77777777" w:rsidR="007F79ED" w:rsidRPr="00520121" w:rsidRDefault="007F79ED" w:rsidP="007F79ED">
      <w:pPr>
        <w:rPr>
          <w:rFonts w:asciiTheme="minorHAnsi" w:hAnsiTheme="minorHAnsi"/>
          <w:szCs w:val="22"/>
        </w:rPr>
      </w:pPr>
      <w:r w:rsidRPr="00520121">
        <w:rPr>
          <w:rFonts w:asciiTheme="minorHAnsi" w:hAnsiTheme="minorHAnsi"/>
          <w:szCs w:val="22"/>
        </w:rPr>
        <w:t>In the 2025/26 academic year, we will continue to align EDI activity against our seven PSED Equality Objectives 2025-2029.</w:t>
      </w:r>
    </w:p>
    <w:p w14:paraId="5E19E5F4" w14:textId="4747C76F" w:rsidR="007F79ED" w:rsidRPr="00520121" w:rsidRDefault="007F79ED" w:rsidP="007F79ED">
      <w:pPr>
        <w:rPr>
          <w:rFonts w:asciiTheme="minorHAnsi" w:hAnsiTheme="minorHAnsi"/>
          <w:szCs w:val="22"/>
        </w:rPr>
      </w:pPr>
      <w:r w:rsidRPr="00520121">
        <w:rPr>
          <w:rFonts w:asciiTheme="minorHAnsi" w:hAnsiTheme="minorHAnsi"/>
          <w:szCs w:val="22"/>
        </w:rPr>
        <w:t xml:space="preserve">The launch of a new EDI Knowledge Hub will encourage </w:t>
      </w:r>
      <w:r w:rsidR="00296A85" w:rsidRPr="00296A85">
        <w:rPr>
          <w:rFonts w:asciiTheme="minorHAnsi" w:hAnsiTheme="minorHAnsi"/>
          <w:szCs w:val="22"/>
        </w:rPr>
        <w:t>increased engagement and awareness of EDI across the institution</w:t>
      </w:r>
      <w:r w:rsidRPr="00520121">
        <w:rPr>
          <w:rFonts w:asciiTheme="minorHAnsi" w:hAnsiTheme="minorHAnsi"/>
          <w:szCs w:val="22"/>
        </w:rPr>
        <w:t xml:space="preserve"> and work will continue to contribute towards a</w:t>
      </w:r>
      <w:r w:rsidR="00634730">
        <w:rPr>
          <w:rFonts w:asciiTheme="minorHAnsi" w:hAnsiTheme="minorHAnsi"/>
          <w:szCs w:val="22"/>
        </w:rPr>
        <w:t xml:space="preserve">n updated </w:t>
      </w:r>
      <w:r w:rsidR="000261C8">
        <w:rPr>
          <w:rFonts w:asciiTheme="minorHAnsi" w:hAnsiTheme="minorHAnsi"/>
          <w:szCs w:val="22"/>
        </w:rPr>
        <w:t xml:space="preserve">values-based behavioural framework for the institution. </w:t>
      </w:r>
    </w:p>
    <w:p w14:paraId="2297BB07" w14:textId="4D539B3A" w:rsidR="007F79ED" w:rsidRDefault="007F79ED" w:rsidP="007F79ED">
      <w:pPr>
        <w:rPr>
          <w:rFonts w:asciiTheme="minorHAnsi" w:hAnsiTheme="minorHAnsi"/>
          <w:szCs w:val="22"/>
        </w:rPr>
      </w:pPr>
      <w:r w:rsidRPr="00520121">
        <w:rPr>
          <w:rFonts w:asciiTheme="minorHAnsi" w:hAnsiTheme="minorHAnsi"/>
          <w:szCs w:val="22"/>
        </w:rPr>
        <w:t xml:space="preserve">The University will seek to enhance inclusive recruitment with the aim of attracting a wider and more diverse audience to </w:t>
      </w:r>
      <w:r w:rsidR="00E74B40" w:rsidRPr="00520121">
        <w:rPr>
          <w:rFonts w:asciiTheme="minorHAnsi" w:hAnsiTheme="minorHAnsi"/>
          <w:szCs w:val="22"/>
        </w:rPr>
        <w:t>our</w:t>
      </w:r>
      <w:r w:rsidRPr="00520121">
        <w:rPr>
          <w:rFonts w:asciiTheme="minorHAnsi" w:hAnsiTheme="minorHAnsi"/>
          <w:szCs w:val="22"/>
        </w:rPr>
        <w:t xml:space="preserve"> opportunities</w:t>
      </w:r>
      <w:r w:rsidR="00874D37">
        <w:rPr>
          <w:rFonts w:asciiTheme="minorHAnsi" w:hAnsiTheme="minorHAnsi"/>
          <w:szCs w:val="22"/>
        </w:rPr>
        <w:t>, with a particular emphasis on intergenerational diversity</w:t>
      </w:r>
      <w:r w:rsidRPr="00520121">
        <w:rPr>
          <w:rFonts w:asciiTheme="minorHAnsi" w:hAnsiTheme="minorHAnsi"/>
          <w:szCs w:val="22"/>
        </w:rPr>
        <w:t>. Additional policy reviews will also be undertaken to improve our existing processes and align to legislative updates. To further enhance our position as a family-friendly organisation, th</w:t>
      </w:r>
      <w:r w:rsidR="00304CA5">
        <w:rPr>
          <w:rFonts w:asciiTheme="minorHAnsi" w:hAnsiTheme="minorHAnsi"/>
          <w:szCs w:val="22"/>
        </w:rPr>
        <w:t>e</w:t>
      </w:r>
      <w:r w:rsidRPr="00520121">
        <w:rPr>
          <w:rFonts w:asciiTheme="minorHAnsi" w:hAnsiTheme="minorHAnsi"/>
          <w:szCs w:val="22"/>
        </w:rPr>
        <w:t xml:space="preserve"> Parental Leave Buddy System will be launched institution-wide. </w:t>
      </w:r>
    </w:p>
    <w:p w14:paraId="31EEB8E9" w14:textId="4977E198" w:rsidR="007F79ED" w:rsidRPr="00520121" w:rsidRDefault="007F79ED" w:rsidP="007F79ED">
      <w:pPr>
        <w:rPr>
          <w:rFonts w:asciiTheme="minorHAnsi" w:hAnsiTheme="minorHAnsi"/>
          <w:szCs w:val="22"/>
        </w:rPr>
      </w:pPr>
      <w:r w:rsidRPr="00520121">
        <w:rPr>
          <w:rFonts w:asciiTheme="minorHAnsi" w:hAnsiTheme="minorHAnsi"/>
          <w:szCs w:val="22"/>
        </w:rPr>
        <w:t xml:space="preserve">Our </w:t>
      </w:r>
      <w:r w:rsidR="002A4D7F">
        <w:rPr>
          <w:rFonts w:asciiTheme="minorHAnsi" w:hAnsiTheme="minorHAnsi"/>
          <w:szCs w:val="22"/>
        </w:rPr>
        <w:t>Colleague</w:t>
      </w:r>
      <w:r w:rsidRPr="00520121">
        <w:rPr>
          <w:rFonts w:asciiTheme="minorHAnsi" w:hAnsiTheme="minorHAnsi"/>
          <w:szCs w:val="22"/>
        </w:rPr>
        <w:t xml:space="preserve"> Networks will continue to work alongside and </w:t>
      </w:r>
      <w:r w:rsidR="00AF076F">
        <w:rPr>
          <w:rFonts w:asciiTheme="minorHAnsi" w:hAnsiTheme="minorHAnsi"/>
          <w:szCs w:val="22"/>
        </w:rPr>
        <w:t>in collaboration</w:t>
      </w:r>
      <w:r w:rsidRPr="00520121">
        <w:rPr>
          <w:rFonts w:asciiTheme="minorHAnsi" w:hAnsiTheme="minorHAnsi"/>
          <w:szCs w:val="22"/>
        </w:rPr>
        <w:t xml:space="preserve"> with the central EDI Team to address intersectional inequalities and challenges across the University. Engagement opportunities will continue to foster community growth, awareness and togetherness.</w:t>
      </w:r>
    </w:p>
    <w:p w14:paraId="4EEBD47C" w14:textId="608507CC" w:rsidR="007F79ED" w:rsidRPr="00520121" w:rsidRDefault="22032790" w:rsidP="61B5EC73">
      <w:pPr>
        <w:rPr>
          <w:rFonts w:asciiTheme="minorHAnsi" w:hAnsiTheme="minorHAnsi"/>
        </w:rPr>
      </w:pPr>
      <w:r w:rsidRPr="61B5EC73">
        <w:rPr>
          <w:rFonts w:asciiTheme="minorHAnsi" w:hAnsiTheme="minorHAnsi"/>
        </w:rPr>
        <w:t xml:space="preserve">We will enter a delivery phase of the </w:t>
      </w:r>
      <w:r w:rsidR="000261C8">
        <w:rPr>
          <w:rFonts w:asciiTheme="minorHAnsi" w:hAnsiTheme="minorHAnsi"/>
        </w:rPr>
        <w:t xml:space="preserve">new </w:t>
      </w:r>
      <w:r w:rsidRPr="61B5EC73">
        <w:rPr>
          <w:rFonts w:asciiTheme="minorHAnsi" w:hAnsiTheme="minorHAnsi"/>
        </w:rPr>
        <w:t xml:space="preserve">institutional Athena Swan Action Plan while continuing to advance the Faculty and School-level plans. As we progress into the second half of our REC Action Plan, we will begin preparations for </w:t>
      </w:r>
      <w:r w:rsidR="000261C8">
        <w:rPr>
          <w:rFonts w:asciiTheme="minorHAnsi" w:hAnsiTheme="minorHAnsi"/>
        </w:rPr>
        <w:t>renewal</w:t>
      </w:r>
      <w:r w:rsidRPr="61B5EC73">
        <w:rPr>
          <w:rFonts w:asciiTheme="minorHAnsi" w:hAnsiTheme="minorHAnsi"/>
        </w:rPr>
        <w:t xml:space="preserve"> in 2027</w:t>
      </w:r>
      <w:r w:rsidR="009C01E0">
        <w:rPr>
          <w:rFonts w:asciiTheme="minorHAnsi" w:hAnsiTheme="minorHAnsi"/>
        </w:rPr>
        <w:t>, with our mid-term review currently underway</w:t>
      </w:r>
      <w:r w:rsidRPr="61B5EC73">
        <w:rPr>
          <w:rFonts w:asciiTheme="minorHAnsi" w:hAnsiTheme="minorHAnsi"/>
        </w:rPr>
        <w:t>.</w:t>
      </w:r>
      <w:r w:rsidR="6FAFC371" w:rsidRPr="61B5EC73">
        <w:rPr>
          <w:rFonts w:asciiTheme="minorHAnsi" w:hAnsiTheme="minorHAnsi"/>
        </w:rPr>
        <w:t xml:space="preserve"> We will continue to advance our commitments as a University of Sanctuary</w:t>
      </w:r>
      <w:r w:rsidR="1FC8EAA1" w:rsidRPr="61B5EC73">
        <w:rPr>
          <w:rFonts w:asciiTheme="minorHAnsi" w:hAnsiTheme="minorHAnsi"/>
        </w:rPr>
        <w:t xml:space="preserve">, </w:t>
      </w:r>
      <w:r w:rsidR="66752166" w:rsidRPr="61B5EC73">
        <w:rPr>
          <w:rFonts w:asciiTheme="minorHAnsi" w:hAnsiTheme="minorHAnsi"/>
        </w:rPr>
        <w:t xml:space="preserve">aiming </w:t>
      </w:r>
      <w:r w:rsidR="5A10B8FD" w:rsidRPr="61B5EC73">
        <w:rPr>
          <w:rFonts w:asciiTheme="minorHAnsi" w:hAnsiTheme="minorHAnsi"/>
        </w:rPr>
        <w:t xml:space="preserve">for progressive expansion </w:t>
      </w:r>
      <w:r w:rsidR="1FC8EAA1" w:rsidRPr="61B5EC73">
        <w:rPr>
          <w:rFonts w:asciiTheme="minorHAnsi" w:hAnsiTheme="minorHAnsi"/>
        </w:rPr>
        <w:t>delivering support</w:t>
      </w:r>
      <w:r w:rsidR="5A10B8FD" w:rsidRPr="61B5EC73">
        <w:rPr>
          <w:rFonts w:asciiTheme="minorHAnsi" w:hAnsiTheme="minorHAnsi"/>
        </w:rPr>
        <w:t xml:space="preserve"> to </w:t>
      </w:r>
      <w:r w:rsidR="3B2473B3" w:rsidRPr="61B5EC73">
        <w:rPr>
          <w:rFonts w:asciiTheme="minorHAnsi" w:hAnsiTheme="minorHAnsi"/>
        </w:rPr>
        <w:t xml:space="preserve">a wider group of sanctuary-seeking </w:t>
      </w:r>
      <w:r w:rsidR="1FC8EAA1" w:rsidRPr="61B5EC73">
        <w:rPr>
          <w:rFonts w:asciiTheme="minorHAnsi" w:hAnsiTheme="minorHAnsi"/>
        </w:rPr>
        <w:t xml:space="preserve">students. </w:t>
      </w:r>
    </w:p>
    <w:p w14:paraId="1B12914B" w14:textId="01ECD43B" w:rsidR="007F79ED" w:rsidRPr="00520121" w:rsidRDefault="401D8A4C" w:rsidP="61B5EC73">
      <w:pPr>
        <w:rPr>
          <w:rFonts w:asciiTheme="minorHAnsi" w:hAnsiTheme="minorHAnsi"/>
        </w:rPr>
      </w:pPr>
      <w:r w:rsidRPr="61B5EC73">
        <w:rPr>
          <w:rFonts w:asciiTheme="minorHAnsi" w:hAnsiTheme="minorHAnsi"/>
        </w:rPr>
        <w:t xml:space="preserve">The </w:t>
      </w:r>
      <w:r w:rsidR="39121718" w:rsidRPr="61B5EC73">
        <w:rPr>
          <w:rFonts w:asciiTheme="minorHAnsi" w:hAnsiTheme="minorHAnsi"/>
        </w:rPr>
        <w:t>faculties</w:t>
      </w:r>
      <w:r w:rsidRPr="61B5EC73">
        <w:rPr>
          <w:rFonts w:asciiTheme="minorHAnsi" w:hAnsiTheme="minorHAnsi"/>
        </w:rPr>
        <w:t xml:space="preserve"> will continue to enhance inclusion </w:t>
      </w:r>
      <w:r w:rsidR="7B323522" w:rsidRPr="61B5EC73">
        <w:rPr>
          <w:rFonts w:asciiTheme="minorHAnsi" w:hAnsiTheme="minorHAnsi"/>
        </w:rPr>
        <w:t xml:space="preserve">with measures planned </w:t>
      </w:r>
      <w:r w:rsidR="753AB752" w:rsidRPr="61B5EC73">
        <w:rPr>
          <w:rFonts w:asciiTheme="minorHAnsi" w:hAnsiTheme="minorHAnsi"/>
        </w:rPr>
        <w:t>to address underrepresentation within</w:t>
      </w:r>
      <w:r w:rsidR="7B323522" w:rsidRPr="61B5EC73">
        <w:rPr>
          <w:rFonts w:asciiTheme="minorHAnsi" w:hAnsiTheme="minorHAnsi"/>
        </w:rPr>
        <w:t xml:space="preserve"> the EDI conversation</w:t>
      </w:r>
      <w:r w:rsidR="44757F90" w:rsidRPr="61B5EC73">
        <w:rPr>
          <w:rFonts w:asciiTheme="minorHAnsi" w:hAnsiTheme="minorHAnsi"/>
        </w:rPr>
        <w:t xml:space="preserve"> and consider </w:t>
      </w:r>
      <w:r w:rsidR="00634730">
        <w:rPr>
          <w:rFonts w:asciiTheme="minorHAnsi" w:hAnsiTheme="minorHAnsi"/>
        </w:rPr>
        <w:t>the impact of intersectional diversity on</w:t>
      </w:r>
      <w:r w:rsidR="44757F90" w:rsidRPr="61B5EC73">
        <w:rPr>
          <w:rFonts w:asciiTheme="minorHAnsi" w:hAnsiTheme="minorHAnsi"/>
        </w:rPr>
        <w:t xml:space="preserve"> career pathways. </w:t>
      </w:r>
      <w:r w:rsidR="00B823A1">
        <w:rPr>
          <w:rFonts w:asciiTheme="minorHAnsi" w:hAnsiTheme="minorHAnsi"/>
        </w:rPr>
        <w:t xml:space="preserve">Work will also be undertaken to </w:t>
      </w:r>
      <w:r w:rsidR="00F72B19">
        <w:rPr>
          <w:rFonts w:asciiTheme="minorHAnsi" w:hAnsiTheme="minorHAnsi"/>
        </w:rPr>
        <w:t xml:space="preserve">streamline </w:t>
      </w:r>
      <w:r w:rsidR="00CC726B">
        <w:rPr>
          <w:rFonts w:asciiTheme="minorHAnsi" w:hAnsiTheme="minorHAnsi"/>
        </w:rPr>
        <w:t xml:space="preserve">Faculty </w:t>
      </w:r>
      <w:r w:rsidR="00F72B19">
        <w:rPr>
          <w:rFonts w:asciiTheme="minorHAnsi" w:hAnsiTheme="minorHAnsi"/>
        </w:rPr>
        <w:t xml:space="preserve">EDI action, making it more efficient, avoiding duplication and improving communication across the institution. </w:t>
      </w:r>
      <w:r w:rsidR="5537EB3C" w:rsidRPr="61B5EC73">
        <w:rPr>
          <w:rFonts w:asciiTheme="minorHAnsi" w:hAnsiTheme="minorHAnsi"/>
        </w:rPr>
        <w:t xml:space="preserve">Promoting visibility and </w:t>
      </w:r>
      <w:r w:rsidR="23F14846" w:rsidRPr="61B5EC73">
        <w:rPr>
          <w:rFonts w:asciiTheme="minorHAnsi" w:hAnsiTheme="minorHAnsi"/>
        </w:rPr>
        <w:t xml:space="preserve">accessibility to EDI data across the </w:t>
      </w:r>
      <w:r w:rsidR="39121718" w:rsidRPr="61B5EC73">
        <w:rPr>
          <w:rFonts w:asciiTheme="minorHAnsi" w:hAnsiTheme="minorHAnsi"/>
        </w:rPr>
        <w:t>faculties</w:t>
      </w:r>
      <w:r w:rsidR="23F14846" w:rsidRPr="61B5EC73">
        <w:rPr>
          <w:rFonts w:asciiTheme="minorHAnsi" w:hAnsiTheme="minorHAnsi"/>
        </w:rPr>
        <w:t xml:space="preserve"> to influence better decision-making will also align to institution-wide </w:t>
      </w:r>
      <w:r w:rsidR="18D3A2B6" w:rsidRPr="61B5EC73">
        <w:rPr>
          <w:rFonts w:asciiTheme="minorHAnsi" w:hAnsiTheme="minorHAnsi"/>
        </w:rPr>
        <w:t>improvements to data systems and dashboards.</w:t>
      </w:r>
    </w:p>
    <w:p w14:paraId="755E244C" w14:textId="71C30FD6" w:rsidR="00FA1F24" w:rsidRPr="00520121" w:rsidRDefault="005352FC" w:rsidP="00756E02">
      <w:pPr>
        <w:rPr>
          <w:rFonts w:asciiTheme="minorHAnsi" w:hAnsiTheme="minorHAnsi"/>
        </w:rPr>
      </w:pPr>
      <w:r w:rsidRPr="269C498D">
        <w:rPr>
          <w:rFonts w:asciiTheme="minorHAnsi" w:hAnsiTheme="minorHAnsi"/>
        </w:rPr>
        <w:t xml:space="preserve">Our work to improve </w:t>
      </w:r>
      <w:r w:rsidR="00534FAF">
        <w:rPr>
          <w:rFonts w:asciiTheme="minorHAnsi" w:hAnsiTheme="minorHAnsi"/>
        </w:rPr>
        <w:t>the</w:t>
      </w:r>
      <w:r w:rsidR="2E4967A6" w:rsidRPr="212FE7E3">
        <w:rPr>
          <w:rFonts w:asciiTheme="minorHAnsi" w:hAnsiTheme="minorHAnsi"/>
        </w:rPr>
        <w:t xml:space="preserve"> </w:t>
      </w:r>
      <w:r w:rsidRPr="269C498D">
        <w:rPr>
          <w:rFonts w:asciiTheme="minorHAnsi" w:hAnsiTheme="minorHAnsi"/>
        </w:rPr>
        <w:t xml:space="preserve">student </w:t>
      </w:r>
      <w:r w:rsidR="2E4967A6" w:rsidRPr="212FE7E3">
        <w:rPr>
          <w:rFonts w:asciiTheme="minorHAnsi" w:hAnsiTheme="minorHAnsi"/>
        </w:rPr>
        <w:t xml:space="preserve">experience </w:t>
      </w:r>
      <w:r w:rsidRPr="269C498D">
        <w:rPr>
          <w:rFonts w:asciiTheme="minorHAnsi" w:hAnsiTheme="minorHAnsi"/>
        </w:rPr>
        <w:t xml:space="preserve">and </w:t>
      </w:r>
      <w:r w:rsidR="00534FAF">
        <w:rPr>
          <w:rFonts w:asciiTheme="minorHAnsi" w:hAnsiTheme="minorHAnsi"/>
        </w:rPr>
        <w:t>student</w:t>
      </w:r>
      <w:r w:rsidR="2E4967A6" w:rsidRPr="212FE7E3">
        <w:rPr>
          <w:rFonts w:asciiTheme="minorHAnsi" w:hAnsiTheme="minorHAnsi"/>
        </w:rPr>
        <w:t xml:space="preserve"> </w:t>
      </w:r>
      <w:r w:rsidRPr="269C498D">
        <w:rPr>
          <w:rFonts w:asciiTheme="minorHAnsi" w:hAnsiTheme="minorHAnsi"/>
        </w:rPr>
        <w:t>outcomes will</w:t>
      </w:r>
      <w:r w:rsidR="006D7724" w:rsidRPr="269C498D">
        <w:rPr>
          <w:rFonts w:asciiTheme="minorHAnsi" w:hAnsiTheme="minorHAnsi"/>
        </w:rPr>
        <w:t xml:space="preserve"> centre around student involvement in EDI conversations and considerations for intersectional employability challenges</w:t>
      </w:r>
      <w:r w:rsidR="002F6D90" w:rsidRPr="269C498D">
        <w:rPr>
          <w:rFonts w:asciiTheme="minorHAnsi" w:hAnsiTheme="minorHAnsi"/>
        </w:rPr>
        <w:t>.</w:t>
      </w:r>
      <w:r w:rsidR="4ED3A4B1" w:rsidRPr="212FE7E3">
        <w:rPr>
          <w:rFonts w:asciiTheme="minorHAnsi" w:hAnsiTheme="minorHAnsi"/>
        </w:rPr>
        <w:t xml:space="preserve"> </w:t>
      </w:r>
      <w:r w:rsidR="3DD7BB5D" w:rsidRPr="212FE7E3">
        <w:rPr>
          <w:rFonts w:asciiTheme="minorHAnsi" w:hAnsiTheme="minorHAnsi"/>
        </w:rPr>
        <w:t xml:space="preserve">We will also prioritise </w:t>
      </w:r>
      <w:r w:rsidR="5504EEC2" w:rsidRPr="212FE7E3">
        <w:rPr>
          <w:rFonts w:asciiTheme="minorHAnsi" w:hAnsiTheme="minorHAnsi"/>
        </w:rPr>
        <w:t xml:space="preserve">continuous improvement and ongoing </w:t>
      </w:r>
      <w:r w:rsidR="558DAD55" w:rsidRPr="212FE7E3">
        <w:rPr>
          <w:rFonts w:asciiTheme="minorHAnsi" w:hAnsiTheme="minorHAnsi"/>
        </w:rPr>
        <w:t xml:space="preserve">alignment with sector best-practice in relation to the new </w:t>
      </w:r>
      <w:proofErr w:type="spellStart"/>
      <w:r w:rsidR="558DAD55" w:rsidRPr="212FE7E3">
        <w:rPr>
          <w:rFonts w:asciiTheme="minorHAnsi" w:hAnsiTheme="minorHAnsi"/>
        </w:rPr>
        <w:t>OfS</w:t>
      </w:r>
      <w:proofErr w:type="spellEnd"/>
      <w:r w:rsidR="558DAD55" w:rsidRPr="212FE7E3">
        <w:rPr>
          <w:rFonts w:asciiTheme="minorHAnsi" w:hAnsiTheme="minorHAnsi"/>
        </w:rPr>
        <w:t xml:space="preserve"> </w:t>
      </w:r>
      <w:r w:rsidR="25F15442" w:rsidRPr="212FE7E3">
        <w:rPr>
          <w:rFonts w:asciiTheme="minorHAnsi" w:hAnsiTheme="minorHAnsi"/>
        </w:rPr>
        <w:t>Condition 6 duty</w:t>
      </w:r>
      <w:r w:rsidR="7DE38483" w:rsidRPr="212FE7E3">
        <w:rPr>
          <w:rFonts w:asciiTheme="minorHAnsi" w:hAnsiTheme="minorHAnsi"/>
        </w:rPr>
        <w:t xml:space="preserve">, implementing key actions to strengthen </w:t>
      </w:r>
      <w:r w:rsidR="549CD284" w:rsidRPr="212FE7E3">
        <w:rPr>
          <w:rFonts w:asciiTheme="minorHAnsi" w:hAnsiTheme="minorHAnsi"/>
        </w:rPr>
        <w:t xml:space="preserve">our </w:t>
      </w:r>
      <w:r w:rsidR="495405B8" w:rsidRPr="212FE7E3">
        <w:rPr>
          <w:rFonts w:asciiTheme="minorHAnsi" w:hAnsiTheme="minorHAnsi"/>
        </w:rPr>
        <w:t xml:space="preserve">work </w:t>
      </w:r>
      <w:r w:rsidR="09391505" w:rsidRPr="212FE7E3">
        <w:rPr>
          <w:rFonts w:asciiTheme="minorHAnsi" w:hAnsiTheme="minorHAnsi"/>
        </w:rPr>
        <w:t xml:space="preserve">to prevent </w:t>
      </w:r>
      <w:r w:rsidR="549CD284" w:rsidRPr="212FE7E3">
        <w:rPr>
          <w:rFonts w:asciiTheme="minorHAnsi" w:hAnsiTheme="minorHAnsi"/>
        </w:rPr>
        <w:t>harassment and sexual misconduct.</w:t>
      </w:r>
      <w:r w:rsidR="002F6D90" w:rsidRPr="269C498D">
        <w:rPr>
          <w:rFonts w:asciiTheme="minorHAnsi" w:hAnsiTheme="minorHAnsi"/>
        </w:rPr>
        <w:t xml:space="preserve"> The introduction of a new Working-Class Students Liberation Officer for 2025/26</w:t>
      </w:r>
      <w:r w:rsidR="00337A85" w:rsidRPr="269C498D">
        <w:rPr>
          <w:rFonts w:asciiTheme="minorHAnsi" w:hAnsiTheme="minorHAnsi"/>
        </w:rPr>
        <w:t xml:space="preserve"> will enhance support for underrepresented student groups. </w:t>
      </w:r>
    </w:p>
    <w:p w14:paraId="5D09A346" w14:textId="35B79BA3" w:rsidR="00AE1198" w:rsidRPr="00296A85" w:rsidRDefault="00AE1198" w:rsidP="00756E02">
      <w:pPr>
        <w:rPr>
          <w:rFonts w:asciiTheme="minorHAnsi" w:hAnsiTheme="minorHAnsi"/>
          <w:b/>
          <w:bCs/>
          <w:szCs w:val="22"/>
        </w:rPr>
      </w:pPr>
      <w:r w:rsidRPr="00520121">
        <w:rPr>
          <w:rFonts w:asciiTheme="minorHAnsi" w:hAnsiTheme="minorHAnsi"/>
          <w:szCs w:val="22"/>
        </w:rPr>
        <w:t>To build more representative uni</w:t>
      </w:r>
      <w:r w:rsidR="00DA146A" w:rsidRPr="00520121">
        <w:rPr>
          <w:rFonts w:asciiTheme="minorHAnsi" w:hAnsiTheme="minorHAnsi"/>
          <w:szCs w:val="22"/>
        </w:rPr>
        <w:t>versity governance, a pilot Board</w:t>
      </w:r>
      <w:r w:rsidR="003406D9">
        <w:rPr>
          <w:rFonts w:asciiTheme="minorHAnsi" w:hAnsiTheme="minorHAnsi"/>
          <w:szCs w:val="22"/>
        </w:rPr>
        <w:t>-</w:t>
      </w:r>
      <w:r w:rsidR="00DA146A" w:rsidRPr="00520121">
        <w:rPr>
          <w:rFonts w:asciiTheme="minorHAnsi" w:hAnsiTheme="minorHAnsi"/>
          <w:szCs w:val="22"/>
        </w:rPr>
        <w:t xml:space="preserve">shadowing scheme will be </w:t>
      </w:r>
      <w:r w:rsidR="006828B3">
        <w:rPr>
          <w:rFonts w:asciiTheme="minorHAnsi" w:hAnsiTheme="minorHAnsi"/>
          <w:szCs w:val="22"/>
        </w:rPr>
        <w:t>introduced</w:t>
      </w:r>
      <w:r w:rsidR="000B7EAB" w:rsidRPr="00520121">
        <w:rPr>
          <w:rFonts w:asciiTheme="minorHAnsi" w:hAnsiTheme="minorHAnsi"/>
          <w:szCs w:val="22"/>
        </w:rPr>
        <w:t xml:space="preserve">. </w:t>
      </w:r>
      <w:r w:rsidR="00E8403C" w:rsidRPr="00520121">
        <w:rPr>
          <w:rFonts w:asciiTheme="minorHAnsi" w:hAnsiTheme="minorHAnsi"/>
          <w:szCs w:val="22"/>
        </w:rPr>
        <w:t xml:space="preserve">Equality Analysis </w:t>
      </w:r>
      <w:r w:rsidR="000B7EAB" w:rsidRPr="00520121">
        <w:rPr>
          <w:rFonts w:asciiTheme="minorHAnsi" w:hAnsiTheme="minorHAnsi"/>
          <w:szCs w:val="22"/>
        </w:rPr>
        <w:t xml:space="preserve">will be completed </w:t>
      </w:r>
      <w:r w:rsidR="00B36B28" w:rsidRPr="00520121">
        <w:rPr>
          <w:rFonts w:asciiTheme="minorHAnsi" w:hAnsiTheme="minorHAnsi"/>
          <w:szCs w:val="22"/>
        </w:rPr>
        <w:t>for all senior committee appointment processes to mitigate the risk of existing methods</w:t>
      </w:r>
      <w:r w:rsidR="00656EDD" w:rsidRPr="00520121">
        <w:rPr>
          <w:rFonts w:asciiTheme="minorHAnsi" w:hAnsiTheme="minorHAnsi"/>
          <w:szCs w:val="22"/>
        </w:rPr>
        <w:t xml:space="preserve"> reinforcing inequalities through structural and procedural biases. </w:t>
      </w:r>
      <w:r w:rsidR="00296A85" w:rsidRPr="00296A85">
        <w:rPr>
          <w:rFonts w:asciiTheme="minorHAnsi" w:hAnsiTheme="minorHAnsi"/>
          <w:szCs w:val="22"/>
        </w:rPr>
        <w:t>The Inclusive Futures leadership development programme will run for a fifth time, providing leadership skills and networking opportunities for colleagues with characteristics underrepresented in Higher Education leadership.</w:t>
      </w:r>
    </w:p>
    <w:p w14:paraId="51704ABB" w14:textId="3B171231" w:rsidR="002E39DC" w:rsidRPr="004C0D56" w:rsidRDefault="002E39DC" w:rsidP="002E39DC">
      <w:pPr>
        <w:rPr>
          <w:rFonts w:asciiTheme="minorHAnsi" w:hAnsiTheme="minorHAnsi"/>
          <w:i/>
          <w:iCs/>
          <w:color w:val="FF0000"/>
        </w:rPr>
      </w:pPr>
      <w:r w:rsidRPr="00D15B19">
        <w:rPr>
          <w:rFonts w:asciiTheme="majorHAnsi" w:hAnsiTheme="majorHAnsi"/>
          <w:color w:val="0B769F" w:themeColor="accent4" w:themeShade="BF"/>
          <w:sz w:val="40"/>
          <w:szCs w:val="44"/>
        </w:rPr>
        <w:lastRenderedPageBreak/>
        <w:t>Data Statement</w:t>
      </w:r>
    </w:p>
    <w:p w14:paraId="2EC0D877" w14:textId="43BD3391" w:rsidR="00F81C7B" w:rsidRDefault="00B05005" w:rsidP="002E39DC">
      <w:pPr>
        <w:rPr>
          <w:rFonts w:asciiTheme="minorHAnsi" w:hAnsiTheme="minorHAnsi"/>
          <w:szCs w:val="22"/>
        </w:rPr>
      </w:pPr>
      <w:r>
        <w:rPr>
          <w:rFonts w:asciiTheme="minorHAnsi" w:hAnsiTheme="minorHAnsi"/>
          <w:szCs w:val="22"/>
        </w:rPr>
        <w:t>Workforce</w:t>
      </w:r>
      <w:r w:rsidR="00355777">
        <w:rPr>
          <w:rFonts w:asciiTheme="minorHAnsi" w:hAnsiTheme="minorHAnsi"/>
          <w:szCs w:val="22"/>
        </w:rPr>
        <w:t xml:space="preserve"> diversity data </w:t>
      </w:r>
      <w:r w:rsidR="00094C9B">
        <w:rPr>
          <w:rFonts w:asciiTheme="minorHAnsi" w:hAnsiTheme="minorHAnsi"/>
          <w:szCs w:val="22"/>
        </w:rPr>
        <w:t>is</w:t>
      </w:r>
      <w:r w:rsidR="00355777">
        <w:rPr>
          <w:rFonts w:asciiTheme="minorHAnsi" w:hAnsiTheme="minorHAnsi"/>
          <w:szCs w:val="22"/>
        </w:rPr>
        <w:t xml:space="preserve"> a snapshot of all UK-based regular employees on 31</w:t>
      </w:r>
      <w:r w:rsidR="00355777" w:rsidRPr="00355777">
        <w:rPr>
          <w:rFonts w:asciiTheme="minorHAnsi" w:hAnsiTheme="minorHAnsi"/>
          <w:szCs w:val="22"/>
          <w:vertAlign w:val="superscript"/>
        </w:rPr>
        <w:t>st</w:t>
      </w:r>
      <w:r w:rsidR="00355777">
        <w:rPr>
          <w:rFonts w:asciiTheme="minorHAnsi" w:hAnsiTheme="minorHAnsi"/>
          <w:szCs w:val="22"/>
        </w:rPr>
        <w:t xml:space="preserve"> July 2025, </w:t>
      </w:r>
      <w:r w:rsidR="00094C9B">
        <w:rPr>
          <w:rFonts w:asciiTheme="minorHAnsi" w:hAnsiTheme="minorHAnsi"/>
          <w:szCs w:val="22"/>
        </w:rPr>
        <w:t>representing</w:t>
      </w:r>
      <w:r w:rsidR="00355777">
        <w:rPr>
          <w:rFonts w:asciiTheme="minorHAnsi" w:hAnsiTheme="minorHAnsi"/>
          <w:szCs w:val="22"/>
        </w:rPr>
        <w:t xml:space="preserve"> the reporting period 1</w:t>
      </w:r>
      <w:r w:rsidR="00355777" w:rsidRPr="00355777">
        <w:rPr>
          <w:rFonts w:asciiTheme="minorHAnsi" w:hAnsiTheme="minorHAnsi"/>
          <w:szCs w:val="22"/>
          <w:vertAlign w:val="superscript"/>
        </w:rPr>
        <w:t>st</w:t>
      </w:r>
      <w:r w:rsidR="00355777">
        <w:rPr>
          <w:rFonts w:asciiTheme="minorHAnsi" w:hAnsiTheme="minorHAnsi"/>
          <w:szCs w:val="22"/>
        </w:rPr>
        <w:t xml:space="preserve"> August 2024 to 31</w:t>
      </w:r>
      <w:r w:rsidR="00355777" w:rsidRPr="00355777">
        <w:rPr>
          <w:rFonts w:asciiTheme="minorHAnsi" w:hAnsiTheme="minorHAnsi"/>
          <w:szCs w:val="22"/>
          <w:vertAlign w:val="superscript"/>
        </w:rPr>
        <w:t>st</w:t>
      </w:r>
      <w:r w:rsidR="00355777">
        <w:rPr>
          <w:rFonts w:asciiTheme="minorHAnsi" w:hAnsiTheme="minorHAnsi"/>
          <w:szCs w:val="22"/>
        </w:rPr>
        <w:t xml:space="preserve"> July 2025.</w:t>
      </w:r>
      <w:r w:rsidR="00094C9B">
        <w:rPr>
          <w:rFonts w:asciiTheme="minorHAnsi" w:hAnsiTheme="minorHAnsi"/>
          <w:szCs w:val="22"/>
        </w:rPr>
        <w:t xml:space="preserve"> This reporting data aligns to annual </w:t>
      </w:r>
      <w:r w:rsidR="00140928">
        <w:rPr>
          <w:rFonts w:asciiTheme="minorHAnsi" w:hAnsiTheme="minorHAnsi"/>
          <w:szCs w:val="22"/>
        </w:rPr>
        <w:t xml:space="preserve">Higher Education </w:t>
      </w:r>
      <w:r w:rsidR="00836B41">
        <w:rPr>
          <w:rFonts w:asciiTheme="minorHAnsi" w:hAnsiTheme="minorHAnsi"/>
          <w:szCs w:val="22"/>
        </w:rPr>
        <w:t>Statistics</w:t>
      </w:r>
      <w:r w:rsidR="00140928">
        <w:rPr>
          <w:rFonts w:asciiTheme="minorHAnsi" w:hAnsiTheme="minorHAnsi"/>
          <w:szCs w:val="22"/>
        </w:rPr>
        <w:t xml:space="preserve"> Agency (</w:t>
      </w:r>
      <w:r w:rsidR="00094C9B">
        <w:rPr>
          <w:rFonts w:asciiTheme="minorHAnsi" w:hAnsiTheme="minorHAnsi"/>
          <w:szCs w:val="22"/>
        </w:rPr>
        <w:t>HESA</w:t>
      </w:r>
      <w:r w:rsidR="00140928">
        <w:rPr>
          <w:rFonts w:asciiTheme="minorHAnsi" w:hAnsiTheme="minorHAnsi"/>
          <w:szCs w:val="22"/>
        </w:rPr>
        <w:t>)</w:t>
      </w:r>
      <w:r w:rsidR="00094C9B">
        <w:rPr>
          <w:rFonts w:asciiTheme="minorHAnsi" w:hAnsiTheme="minorHAnsi"/>
          <w:szCs w:val="22"/>
        </w:rPr>
        <w:t xml:space="preserve"> reporting requirements and returns</w:t>
      </w:r>
      <w:r w:rsidR="00BB560F">
        <w:rPr>
          <w:rFonts w:asciiTheme="minorHAnsi" w:hAnsiTheme="minorHAnsi"/>
          <w:szCs w:val="22"/>
        </w:rPr>
        <w:t>. This data set therefore does not include colleagues at Newcastle University’s international campuses in Malaysia (</w:t>
      </w:r>
      <w:proofErr w:type="spellStart"/>
      <w:r w:rsidR="00BB560F">
        <w:rPr>
          <w:rFonts w:asciiTheme="minorHAnsi" w:hAnsiTheme="minorHAnsi"/>
          <w:szCs w:val="22"/>
        </w:rPr>
        <w:t>NUMed</w:t>
      </w:r>
      <w:proofErr w:type="spellEnd"/>
      <w:r w:rsidR="00BB560F">
        <w:rPr>
          <w:rFonts w:asciiTheme="minorHAnsi" w:hAnsiTheme="minorHAnsi"/>
          <w:szCs w:val="22"/>
        </w:rPr>
        <w:t>) and Singapore (</w:t>
      </w:r>
      <w:proofErr w:type="spellStart"/>
      <w:r w:rsidR="00BB560F">
        <w:rPr>
          <w:rFonts w:asciiTheme="minorHAnsi" w:hAnsiTheme="minorHAnsi"/>
          <w:szCs w:val="22"/>
        </w:rPr>
        <w:t>NUiS</w:t>
      </w:r>
      <w:proofErr w:type="spellEnd"/>
      <w:r w:rsidR="00BB560F">
        <w:rPr>
          <w:rFonts w:asciiTheme="minorHAnsi" w:hAnsiTheme="minorHAnsi"/>
          <w:szCs w:val="22"/>
        </w:rPr>
        <w:t>).</w:t>
      </w:r>
    </w:p>
    <w:p w14:paraId="2F33EE88" w14:textId="413DCA64" w:rsidR="008755B5" w:rsidRDefault="008755B5" w:rsidP="002E39DC">
      <w:pPr>
        <w:rPr>
          <w:rFonts w:asciiTheme="minorHAnsi" w:hAnsiTheme="minorHAnsi"/>
          <w:szCs w:val="22"/>
        </w:rPr>
      </w:pPr>
      <w:r>
        <w:rPr>
          <w:rFonts w:asciiTheme="minorHAnsi" w:hAnsiTheme="minorHAnsi"/>
          <w:szCs w:val="22"/>
        </w:rPr>
        <w:t>The Gender Pay Gap Report covers a reporting period from 1</w:t>
      </w:r>
      <w:r w:rsidRPr="008755B5">
        <w:rPr>
          <w:rFonts w:asciiTheme="minorHAnsi" w:hAnsiTheme="minorHAnsi"/>
          <w:szCs w:val="22"/>
          <w:vertAlign w:val="superscript"/>
        </w:rPr>
        <w:t>st</w:t>
      </w:r>
      <w:r>
        <w:rPr>
          <w:rFonts w:asciiTheme="minorHAnsi" w:hAnsiTheme="minorHAnsi"/>
          <w:szCs w:val="22"/>
        </w:rPr>
        <w:t xml:space="preserve"> April 202</w:t>
      </w:r>
      <w:r w:rsidR="00A87499">
        <w:rPr>
          <w:rFonts w:asciiTheme="minorHAnsi" w:hAnsiTheme="minorHAnsi"/>
          <w:szCs w:val="22"/>
        </w:rPr>
        <w:t>4</w:t>
      </w:r>
      <w:r>
        <w:rPr>
          <w:rFonts w:asciiTheme="minorHAnsi" w:hAnsiTheme="minorHAnsi"/>
          <w:szCs w:val="22"/>
        </w:rPr>
        <w:t xml:space="preserve"> to 31</w:t>
      </w:r>
      <w:r w:rsidRPr="008755B5">
        <w:rPr>
          <w:rFonts w:asciiTheme="minorHAnsi" w:hAnsiTheme="minorHAnsi"/>
          <w:szCs w:val="22"/>
          <w:vertAlign w:val="superscript"/>
        </w:rPr>
        <w:t>st</w:t>
      </w:r>
      <w:r>
        <w:rPr>
          <w:rFonts w:asciiTheme="minorHAnsi" w:hAnsiTheme="minorHAnsi"/>
          <w:szCs w:val="22"/>
        </w:rPr>
        <w:t xml:space="preserve"> March 2025</w:t>
      </w:r>
      <w:r w:rsidR="00921C39">
        <w:rPr>
          <w:rFonts w:asciiTheme="minorHAnsi" w:hAnsiTheme="minorHAnsi"/>
          <w:szCs w:val="22"/>
        </w:rPr>
        <w:t xml:space="preserve"> in line with the statutory reporting requirements set by the UK government. Our pay gap figures are calculated as a snapshot of all eligible employees on 31</w:t>
      </w:r>
      <w:r w:rsidR="00921C39" w:rsidRPr="00921C39">
        <w:rPr>
          <w:rFonts w:asciiTheme="minorHAnsi" w:hAnsiTheme="minorHAnsi"/>
          <w:szCs w:val="22"/>
          <w:vertAlign w:val="superscript"/>
        </w:rPr>
        <w:t>st</w:t>
      </w:r>
      <w:r w:rsidR="00921C39">
        <w:rPr>
          <w:rFonts w:asciiTheme="minorHAnsi" w:hAnsiTheme="minorHAnsi"/>
          <w:szCs w:val="22"/>
        </w:rPr>
        <w:t xml:space="preserve"> March</w:t>
      </w:r>
      <w:r w:rsidR="00DD6E1F">
        <w:rPr>
          <w:rFonts w:asciiTheme="minorHAnsi" w:hAnsiTheme="minorHAnsi"/>
          <w:szCs w:val="22"/>
        </w:rPr>
        <w:t xml:space="preserve"> 2025</w:t>
      </w:r>
      <w:r w:rsidR="00921C39">
        <w:rPr>
          <w:rFonts w:asciiTheme="minorHAnsi" w:hAnsiTheme="minorHAnsi"/>
          <w:szCs w:val="22"/>
        </w:rPr>
        <w:t xml:space="preserve">. </w:t>
      </w:r>
    </w:p>
    <w:p w14:paraId="48BC684D" w14:textId="5DA7611E" w:rsidR="00921C39" w:rsidRDefault="00921C39" w:rsidP="002E39DC">
      <w:pPr>
        <w:rPr>
          <w:rFonts w:asciiTheme="minorHAnsi" w:hAnsiTheme="minorHAnsi"/>
          <w:szCs w:val="22"/>
        </w:rPr>
      </w:pPr>
      <w:r>
        <w:rPr>
          <w:rFonts w:asciiTheme="minorHAnsi" w:hAnsiTheme="minorHAnsi"/>
          <w:szCs w:val="22"/>
        </w:rPr>
        <w:t>Percentages are s</w:t>
      </w:r>
      <w:r w:rsidR="008A6965">
        <w:rPr>
          <w:rFonts w:asciiTheme="minorHAnsi" w:hAnsiTheme="minorHAnsi"/>
          <w:szCs w:val="22"/>
        </w:rPr>
        <w:t xml:space="preserve">upressed when a result is </w:t>
      </w:r>
      <w:r w:rsidR="00AC5A00">
        <w:rPr>
          <w:rFonts w:asciiTheme="minorHAnsi" w:hAnsiTheme="minorHAnsi"/>
          <w:szCs w:val="22"/>
        </w:rPr>
        <w:t>&lt;7</w:t>
      </w:r>
      <w:r w:rsidR="008A6965">
        <w:rPr>
          <w:rFonts w:asciiTheme="minorHAnsi" w:hAnsiTheme="minorHAnsi"/>
          <w:szCs w:val="22"/>
        </w:rPr>
        <w:t xml:space="preserve"> individuals </w:t>
      </w:r>
      <w:proofErr w:type="gramStart"/>
      <w:r w:rsidR="008A6965">
        <w:rPr>
          <w:rFonts w:asciiTheme="minorHAnsi" w:hAnsiTheme="minorHAnsi"/>
          <w:szCs w:val="22"/>
        </w:rPr>
        <w:t>in order to</w:t>
      </w:r>
      <w:proofErr w:type="gramEnd"/>
      <w:r w:rsidR="008A6965">
        <w:rPr>
          <w:rFonts w:asciiTheme="minorHAnsi" w:hAnsiTheme="minorHAnsi"/>
          <w:szCs w:val="22"/>
        </w:rPr>
        <w:t xml:space="preserve"> protect colleagues’ anonymity. </w:t>
      </w:r>
      <w:r w:rsidR="00AC5A00">
        <w:rPr>
          <w:rFonts w:asciiTheme="minorHAnsi" w:hAnsiTheme="minorHAnsi"/>
          <w:szCs w:val="22"/>
        </w:rPr>
        <w:t xml:space="preserve">Results that are </w:t>
      </w:r>
      <w:r w:rsidR="00334A0C">
        <w:rPr>
          <w:rFonts w:asciiTheme="minorHAnsi" w:hAnsiTheme="minorHAnsi"/>
          <w:szCs w:val="22"/>
        </w:rPr>
        <w:t>≥</w:t>
      </w:r>
      <w:r w:rsidR="00AC5A00">
        <w:rPr>
          <w:rFonts w:asciiTheme="minorHAnsi" w:hAnsiTheme="minorHAnsi"/>
          <w:szCs w:val="22"/>
        </w:rPr>
        <w:t xml:space="preserve">7 and &lt;22.5 should be interpreted with caution due to small population sizes. </w:t>
      </w:r>
    </w:p>
    <w:p w14:paraId="618BDB52" w14:textId="12A6843E" w:rsidR="00AC5A00" w:rsidRDefault="00AC5A00" w:rsidP="002E39DC">
      <w:pPr>
        <w:rPr>
          <w:rFonts w:asciiTheme="minorHAnsi" w:hAnsiTheme="minorHAnsi"/>
          <w:szCs w:val="22"/>
        </w:rPr>
      </w:pPr>
      <w:r>
        <w:rPr>
          <w:rFonts w:asciiTheme="minorHAnsi" w:hAnsiTheme="minorHAnsi"/>
          <w:szCs w:val="22"/>
        </w:rPr>
        <w:t xml:space="preserve">Where individuals hold two contracts of employment, </w:t>
      </w:r>
      <w:r w:rsidR="00061068">
        <w:rPr>
          <w:rFonts w:asciiTheme="minorHAnsi" w:hAnsiTheme="minorHAnsi"/>
          <w:szCs w:val="22"/>
        </w:rPr>
        <w:t xml:space="preserve">only the primary role is included for analysis to ensure that no colleague is counted twice. For </w:t>
      </w:r>
      <w:r w:rsidR="00DD6E1F">
        <w:rPr>
          <w:rFonts w:asciiTheme="minorHAnsi" w:hAnsiTheme="minorHAnsi"/>
          <w:szCs w:val="22"/>
        </w:rPr>
        <w:t>most</w:t>
      </w:r>
      <w:r w:rsidR="00061068">
        <w:rPr>
          <w:rFonts w:asciiTheme="minorHAnsi" w:hAnsiTheme="minorHAnsi"/>
          <w:szCs w:val="22"/>
        </w:rPr>
        <w:t xml:space="preserve"> colleagues, the primary contract will be their first regular contract, unless the second regular contract</w:t>
      </w:r>
      <w:r w:rsidR="00AA70D6">
        <w:rPr>
          <w:rFonts w:asciiTheme="minorHAnsi" w:hAnsiTheme="minorHAnsi"/>
          <w:szCs w:val="22"/>
        </w:rPr>
        <w:t xml:space="preserve"> becomes the highest </w:t>
      </w:r>
      <w:r w:rsidR="00DD6E1F">
        <w:rPr>
          <w:rFonts w:asciiTheme="minorHAnsi" w:hAnsiTheme="minorHAnsi"/>
          <w:szCs w:val="22"/>
        </w:rPr>
        <w:t>Full-Time Equivalent (</w:t>
      </w:r>
      <w:r w:rsidR="00AA70D6">
        <w:rPr>
          <w:rFonts w:asciiTheme="minorHAnsi" w:hAnsiTheme="minorHAnsi"/>
          <w:szCs w:val="22"/>
        </w:rPr>
        <w:t>FTE</w:t>
      </w:r>
      <w:r w:rsidR="00DD6E1F">
        <w:rPr>
          <w:rFonts w:asciiTheme="minorHAnsi" w:hAnsiTheme="minorHAnsi"/>
          <w:szCs w:val="22"/>
        </w:rPr>
        <w:t>)</w:t>
      </w:r>
      <w:r w:rsidR="00AA70D6">
        <w:rPr>
          <w:rFonts w:asciiTheme="minorHAnsi" w:hAnsiTheme="minorHAnsi"/>
          <w:szCs w:val="22"/>
        </w:rPr>
        <w:t>.</w:t>
      </w:r>
    </w:p>
    <w:p w14:paraId="24EE060C" w14:textId="50E0A6D7" w:rsidR="00AA70D6" w:rsidRDefault="00AA70D6" w:rsidP="002E39DC">
      <w:pPr>
        <w:rPr>
          <w:rFonts w:asciiTheme="minorHAnsi" w:hAnsiTheme="minorHAnsi"/>
          <w:szCs w:val="22"/>
        </w:rPr>
      </w:pPr>
      <w:r>
        <w:rPr>
          <w:rFonts w:asciiTheme="minorHAnsi" w:hAnsiTheme="minorHAnsi"/>
          <w:szCs w:val="22"/>
        </w:rPr>
        <w:t xml:space="preserve">Where possible, </w:t>
      </w:r>
      <w:r w:rsidR="00912974">
        <w:rPr>
          <w:rFonts w:asciiTheme="minorHAnsi" w:hAnsiTheme="minorHAnsi"/>
          <w:szCs w:val="22"/>
        </w:rPr>
        <w:t xml:space="preserve">the data tables include </w:t>
      </w:r>
      <w:r>
        <w:rPr>
          <w:rFonts w:asciiTheme="minorHAnsi" w:hAnsiTheme="minorHAnsi"/>
          <w:szCs w:val="22"/>
        </w:rPr>
        <w:t>the total workforce (N), sample size of the workforce (n), and proportions (%)</w:t>
      </w:r>
      <w:r w:rsidR="00912974">
        <w:rPr>
          <w:rFonts w:asciiTheme="minorHAnsi" w:hAnsiTheme="minorHAnsi"/>
          <w:szCs w:val="22"/>
        </w:rPr>
        <w:t>.</w:t>
      </w:r>
    </w:p>
    <w:p w14:paraId="58A200CE" w14:textId="6C7C3C81" w:rsidR="00C64AA1" w:rsidRDefault="00C64AA1" w:rsidP="002E39DC">
      <w:pPr>
        <w:rPr>
          <w:rFonts w:asciiTheme="minorHAnsi" w:hAnsiTheme="minorHAnsi"/>
          <w:szCs w:val="22"/>
        </w:rPr>
      </w:pPr>
      <w:r>
        <w:rPr>
          <w:rFonts w:asciiTheme="minorHAnsi" w:hAnsiTheme="minorHAnsi"/>
          <w:szCs w:val="22"/>
        </w:rPr>
        <w:t xml:space="preserve">Where </w:t>
      </w:r>
      <w:r w:rsidR="000E5DA0">
        <w:rPr>
          <w:rFonts w:asciiTheme="minorHAnsi" w:hAnsiTheme="minorHAnsi"/>
          <w:szCs w:val="22"/>
        </w:rPr>
        <w:t xml:space="preserve">available, data comparisons over time have been included. In most cases, </w:t>
      </w:r>
      <w:r w:rsidR="002D5D4D">
        <w:rPr>
          <w:rFonts w:asciiTheme="minorHAnsi" w:hAnsiTheme="minorHAnsi"/>
          <w:szCs w:val="22"/>
        </w:rPr>
        <w:t>comparisons are made to 2019</w:t>
      </w:r>
      <w:r w:rsidR="00D77CDA">
        <w:rPr>
          <w:rFonts w:asciiTheme="minorHAnsi" w:hAnsiTheme="minorHAnsi"/>
          <w:szCs w:val="22"/>
        </w:rPr>
        <w:t xml:space="preserve">, when the first data of this nature was captured in </w:t>
      </w:r>
      <w:r w:rsidR="001A03B2">
        <w:rPr>
          <w:rFonts w:asciiTheme="minorHAnsi" w:hAnsiTheme="minorHAnsi"/>
          <w:szCs w:val="22"/>
        </w:rPr>
        <w:t>a comparable</w:t>
      </w:r>
      <w:r w:rsidR="00D77CDA">
        <w:rPr>
          <w:rFonts w:asciiTheme="minorHAnsi" w:hAnsiTheme="minorHAnsi"/>
          <w:szCs w:val="22"/>
        </w:rPr>
        <w:t xml:space="preserve"> format. </w:t>
      </w:r>
    </w:p>
    <w:p w14:paraId="62798B44" w14:textId="1AC43D41" w:rsidR="007F3E0D" w:rsidRDefault="00CE7641" w:rsidP="002E39DC">
      <w:pPr>
        <w:rPr>
          <w:rFonts w:asciiTheme="minorHAnsi" w:hAnsiTheme="minorHAnsi"/>
          <w:szCs w:val="22"/>
        </w:rPr>
      </w:pPr>
      <w:r w:rsidRPr="00CE7641">
        <w:rPr>
          <w:rFonts w:asciiTheme="minorHAnsi" w:hAnsiTheme="minorHAnsi"/>
          <w:szCs w:val="22"/>
        </w:rPr>
        <w:t xml:space="preserve">As part of the university-wide system migration in September 2024, responses marked as “No response provided” and “Prefer not to say” were consolidated under the category “Prefer not to say” across all demographic fields, </w:t>
      </w:r>
      <w:proofErr w:type="gramStart"/>
      <w:r w:rsidRPr="00CE7641">
        <w:rPr>
          <w:rFonts w:asciiTheme="minorHAnsi" w:hAnsiTheme="minorHAnsi"/>
          <w:szCs w:val="22"/>
        </w:rPr>
        <w:t>with the exception of</w:t>
      </w:r>
      <w:proofErr w:type="gramEnd"/>
      <w:r w:rsidRPr="00CE7641">
        <w:rPr>
          <w:rFonts w:asciiTheme="minorHAnsi" w:hAnsiTheme="minorHAnsi"/>
          <w:szCs w:val="22"/>
        </w:rPr>
        <w:t xml:space="preserve"> marital status. We acknowledge the limitations of this approach, particularly in terms of data accuracy and representation, and are undertaking internal work to address and improve the accuracy of the data</w:t>
      </w:r>
      <w:r w:rsidR="005F378A">
        <w:rPr>
          <w:rFonts w:asciiTheme="minorHAnsi" w:hAnsiTheme="minorHAnsi"/>
          <w:szCs w:val="22"/>
        </w:rPr>
        <w:t xml:space="preserve">. </w:t>
      </w:r>
    </w:p>
    <w:p w14:paraId="020F2C3D" w14:textId="0EE2B0AE" w:rsidR="00957491" w:rsidRPr="005F378A" w:rsidRDefault="00957491" w:rsidP="002E39DC">
      <w:pPr>
        <w:rPr>
          <w:rFonts w:asciiTheme="minorHAnsi" w:hAnsiTheme="minorHAnsi"/>
          <w:szCs w:val="22"/>
        </w:rPr>
      </w:pPr>
      <w:r w:rsidRPr="005F378A">
        <w:rPr>
          <w:rFonts w:asciiTheme="minorHAnsi" w:hAnsiTheme="minorHAnsi"/>
          <w:szCs w:val="22"/>
        </w:rPr>
        <w:t xml:space="preserve">Prior to 2022, the responses “Prefer not to say” and “No response provided” were combined for data relating to ethnicity and disability. </w:t>
      </w:r>
    </w:p>
    <w:p w14:paraId="1EAB2C71" w14:textId="223D6551" w:rsidR="00130AE2" w:rsidRDefault="00130AE2" w:rsidP="002E39DC">
      <w:pPr>
        <w:rPr>
          <w:rFonts w:asciiTheme="minorHAnsi" w:hAnsiTheme="minorHAnsi"/>
          <w:szCs w:val="22"/>
        </w:rPr>
      </w:pPr>
      <w:r>
        <w:rPr>
          <w:rFonts w:asciiTheme="minorHAnsi" w:hAnsiTheme="minorHAnsi"/>
          <w:szCs w:val="22"/>
        </w:rPr>
        <w:t xml:space="preserve">Our colleagues are divided into </w:t>
      </w:r>
      <w:r w:rsidR="00331DD2">
        <w:rPr>
          <w:rFonts w:asciiTheme="minorHAnsi" w:hAnsiTheme="minorHAnsi"/>
          <w:szCs w:val="22"/>
        </w:rPr>
        <w:t>three</w:t>
      </w:r>
      <w:r>
        <w:rPr>
          <w:rFonts w:asciiTheme="minorHAnsi" w:hAnsiTheme="minorHAnsi"/>
          <w:szCs w:val="22"/>
        </w:rPr>
        <w:t xml:space="preserve"> major occupational groupings: Academic</w:t>
      </w:r>
      <w:r w:rsidR="00331DD2">
        <w:rPr>
          <w:rFonts w:asciiTheme="minorHAnsi" w:hAnsiTheme="minorHAnsi"/>
          <w:szCs w:val="22"/>
        </w:rPr>
        <w:t>, Research and Professional Services (PS).</w:t>
      </w:r>
    </w:p>
    <w:p w14:paraId="138FB2D5" w14:textId="40BBFE86" w:rsidR="00994B7E" w:rsidRDefault="00A507BF" w:rsidP="002E39DC">
      <w:pPr>
        <w:rPr>
          <w:rFonts w:asciiTheme="minorHAnsi" w:hAnsiTheme="minorHAnsi"/>
          <w:szCs w:val="22"/>
        </w:rPr>
      </w:pPr>
      <w:r>
        <w:rPr>
          <w:rFonts w:asciiTheme="minorHAnsi" w:hAnsiTheme="minorHAnsi"/>
          <w:szCs w:val="22"/>
        </w:rPr>
        <w:t xml:space="preserve">Our grading structure is from Grade A to Grade I for PS colleagues and from Grade E to Grade I for academic colleagues. </w:t>
      </w:r>
      <w:r w:rsidR="004F185F">
        <w:rPr>
          <w:rFonts w:asciiTheme="minorHAnsi" w:hAnsiTheme="minorHAnsi"/>
          <w:szCs w:val="22"/>
        </w:rPr>
        <w:t xml:space="preserve">A small number of colleagues are on grades outside our grading structure. In these cases, </w:t>
      </w:r>
      <w:r w:rsidR="00B675F3">
        <w:rPr>
          <w:rFonts w:asciiTheme="minorHAnsi" w:hAnsiTheme="minorHAnsi"/>
          <w:szCs w:val="22"/>
        </w:rPr>
        <w:t xml:space="preserve">individuals have been mapped to the appropriate equivalent grade within our structure, based on equivalent pay and position, to facilitate analysis. </w:t>
      </w:r>
    </w:p>
    <w:p w14:paraId="24B6A959" w14:textId="4E46B553" w:rsidR="005C0139" w:rsidRPr="00761ADF" w:rsidRDefault="00CE589E" w:rsidP="002E39DC">
      <w:pPr>
        <w:rPr>
          <w:rFonts w:asciiTheme="minorHAnsi" w:hAnsiTheme="minorHAnsi"/>
          <w:szCs w:val="22"/>
        </w:rPr>
      </w:pPr>
      <w:r>
        <w:rPr>
          <w:rFonts w:asciiTheme="minorHAnsi" w:hAnsiTheme="minorHAnsi"/>
          <w:szCs w:val="22"/>
        </w:rPr>
        <w:t>This</w:t>
      </w:r>
      <w:r w:rsidR="00312B33" w:rsidRPr="00761ADF">
        <w:rPr>
          <w:rFonts w:asciiTheme="minorHAnsi" w:hAnsiTheme="minorHAnsi"/>
          <w:szCs w:val="22"/>
        </w:rPr>
        <w:t xml:space="preserve"> year is the first year that </w:t>
      </w:r>
      <w:r w:rsidR="00D12A49" w:rsidRPr="00761ADF">
        <w:rPr>
          <w:rFonts w:asciiTheme="minorHAnsi" w:hAnsiTheme="minorHAnsi"/>
          <w:szCs w:val="22"/>
        </w:rPr>
        <w:t xml:space="preserve">People Services are reported separately to the Finance </w:t>
      </w:r>
      <w:r w:rsidR="00E420FE">
        <w:rPr>
          <w:rFonts w:asciiTheme="minorHAnsi" w:hAnsiTheme="minorHAnsi"/>
          <w:szCs w:val="22"/>
        </w:rPr>
        <w:t xml:space="preserve">&amp; Operations </w:t>
      </w:r>
      <w:r w:rsidR="00761ADF" w:rsidRPr="00761ADF">
        <w:rPr>
          <w:rFonts w:asciiTheme="minorHAnsi" w:hAnsiTheme="minorHAnsi"/>
          <w:szCs w:val="22"/>
        </w:rPr>
        <w:t>H</w:t>
      </w:r>
      <w:r w:rsidR="00D12A49" w:rsidRPr="00761ADF">
        <w:rPr>
          <w:rFonts w:asciiTheme="minorHAnsi" w:hAnsiTheme="minorHAnsi"/>
          <w:szCs w:val="22"/>
        </w:rPr>
        <w:t>ub. Prior to the 2025 report, People Services were included within the</w:t>
      </w:r>
      <w:r w:rsidR="00761ADF" w:rsidRPr="00761ADF">
        <w:rPr>
          <w:rFonts w:asciiTheme="minorHAnsi" w:hAnsiTheme="minorHAnsi"/>
          <w:szCs w:val="22"/>
        </w:rPr>
        <w:t xml:space="preserve"> Finance </w:t>
      </w:r>
      <w:r w:rsidR="00E420FE">
        <w:rPr>
          <w:rFonts w:asciiTheme="minorHAnsi" w:hAnsiTheme="minorHAnsi"/>
          <w:szCs w:val="22"/>
        </w:rPr>
        <w:t xml:space="preserve">&amp; Operations </w:t>
      </w:r>
      <w:r w:rsidR="00761ADF" w:rsidRPr="00761ADF">
        <w:rPr>
          <w:rFonts w:asciiTheme="minorHAnsi" w:hAnsiTheme="minorHAnsi"/>
          <w:szCs w:val="22"/>
        </w:rPr>
        <w:t xml:space="preserve">Hub organisational unit. </w:t>
      </w:r>
    </w:p>
    <w:p w14:paraId="69E44103" w14:textId="2475380C" w:rsidR="00527151" w:rsidRDefault="00A74843" w:rsidP="002E39DC">
      <w:pPr>
        <w:rPr>
          <w:rFonts w:asciiTheme="minorHAnsi" w:hAnsiTheme="minorHAnsi"/>
          <w:szCs w:val="22"/>
        </w:rPr>
      </w:pPr>
      <w:r>
        <w:rPr>
          <w:rFonts w:asciiTheme="minorHAnsi" w:hAnsiTheme="minorHAnsi"/>
          <w:szCs w:val="22"/>
        </w:rPr>
        <w:t>We report on data pertaining to sex (female/male) rather than gender (e.g. man/woman/non-binary)</w:t>
      </w:r>
      <w:r w:rsidR="001D158A">
        <w:rPr>
          <w:rFonts w:asciiTheme="minorHAnsi" w:hAnsiTheme="minorHAnsi"/>
          <w:szCs w:val="22"/>
        </w:rPr>
        <w:t xml:space="preserve"> and therefore use the language ‘female’ and ‘male’ within this report. We recognise that </w:t>
      </w:r>
      <w:r w:rsidR="001D158A">
        <w:rPr>
          <w:rFonts w:asciiTheme="minorHAnsi" w:hAnsiTheme="minorHAnsi"/>
          <w:szCs w:val="22"/>
        </w:rPr>
        <w:lastRenderedPageBreak/>
        <w:t>sex does not equate with gender and that gender is not binary</w:t>
      </w:r>
      <w:r w:rsidR="005C0139">
        <w:rPr>
          <w:rFonts w:asciiTheme="minorHAnsi" w:hAnsiTheme="minorHAnsi"/>
          <w:szCs w:val="22"/>
        </w:rPr>
        <w:t xml:space="preserve">. </w:t>
      </w:r>
      <w:r w:rsidR="00527151">
        <w:rPr>
          <w:rFonts w:asciiTheme="minorHAnsi" w:hAnsiTheme="minorHAnsi"/>
          <w:szCs w:val="22"/>
        </w:rPr>
        <w:t xml:space="preserve">We have </w:t>
      </w:r>
      <w:r w:rsidR="00F264E4">
        <w:rPr>
          <w:rFonts w:asciiTheme="minorHAnsi" w:hAnsiTheme="minorHAnsi"/>
          <w:szCs w:val="22"/>
        </w:rPr>
        <w:t>pledged</w:t>
      </w:r>
      <w:r w:rsidR="00527151">
        <w:rPr>
          <w:rFonts w:asciiTheme="minorHAnsi" w:hAnsiTheme="minorHAnsi"/>
          <w:szCs w:val="22"/>
        </w:rPr>
        <w:t xml:space="preserve"> to </w:t>
      </w:r>
      <w:r w:rsidR="00F264E4">
        <w:rPr>
          <w:rFonts w:asciiTheme="minorHAnsi" w:hAnsiTheme="minorHAnsi"/>
          <w:szCs w:val="22"/>
        </w:rPr>
        <w:t xml:space="preserve">enhance our data collection and reporting on gender in the future, as part of our Athena Swan Charter commitment. </w:t>
      </w:r>
    </w:p>
    <w:p w14:paraId="3789FF48" w14:textId="10C3248E" w:rsidR="005132FE" w:rsidRDefault="005132FE" w:rsidP="002E39DC">
      <w:pPr>
        <w:rPr>
          <w:rFonts w:asciiTheme="minorHAnsi" w:hAnsiTheme="minorHAnsi"/>
          <w:szCs w:val="22"/>
        </w:rPr>
      </w:pPr>
      <w:r>
        <w:rPr>
          <w:rFonts w:asciiTheme="minorHAnsi" w:hAnsiTheme="minorHAnsi"/>
          <w:szCs w:val="22"/>
        </w:rPr>
        <w:t>Where numbers allow, we report on mid-level combined categories of ethnicity</w:t>
      </w:r>
      <w:r w:rsidR="00F6225E">
        <w:rPr>
          <w:rFonts w:asciiTheme="minorHAnsi" w:hAnsiTheme="minorHAnsi"/>
          <w:szCs w:val="22"/>
        </w:rPr>
        <w:t>. Where numbers are too small to allow granular analysis, we aggregate colleagues who identified as being from an ethnicity other than white into the grouping ‘</w:t>
      </w:r>
      <w:r w:rsidR="005822F7">
        <w:rPr>
          <w:rFonts w:asciiTheme="minorHAnsi" w:hAnsiTheme="minorHAnsi"/>
          <w:szCs w:val="22"/>
        </w:rPr>
        <w:t>Minoritised</w:t>
      </w:r>
      <w:r w:rsidR="00F6225E">
        <w:rPr>
          <w:rFonts w:asciiTheme="minorHAnsi" w:hAnsiTheme="minorHAnsi"/>
          <w:szCs w:val="22"/>
        </w:rPr>
        <w:t xml:space="preserve"> ethnic background’.</w:t>
      </w:r>
      <w:r w:rsidR="00C03136">
        <w:rPr>
          <w:rFonts w:asciiTheme="minorHAnsi" w:hAnsiTheme="minorHAnsi"/>
          <w:szCs w:val="22"/>
        </w:rPr>
        <w:t xml:space="preserve"> We</w:t>
      </w:r>
      <w:r w:rsidR="007201B3">
        <w:rPr>
          <w:rFonts w:asciiTheme="minorHAnsi" w:hAnsiTheme="minorHAnsi"/>
          <w:szCs w:val="22"/>
        </w:rPr>
        <w:t xml:space="preserve"> acknowledge the limitations of an assumption that minority ethnic colleagues are a homogenous group</w:t>
      </w:r>
      <w:r w:rsidR="005F7C9E">
        <w:rPr>
          <w:rFonts w:asciiTheme="minorHAnsi" w:hAnsiTheme="minorHAnsi"/>
          <w:szCs w:val="22"/>
        </w:rPr>
        <w:t xml:space="preserve"> and use this approach to allow us to identify patterns of marginalisation relating to ethnicity. </w:t>
      </w:r>
    </w:p>
    <w:p w14:paraId="3819D1F3" w14:textId="48DBE752" w:rsidR="00715F83" w:rsidRDefault="00715F83" w:rsidP="002E39DC">
      <w:pPr>
        <w:rPr>
          <w:rFonts w:asciiTheme="minorHAnsi" w:hAnsiTheme="minorHAnsi"/>
          <w:szCs w:val="22"/>
        </w:rPr>
      </w:pPr>
      <w:r>
        <w:rPr>
          <w:rFonts w:asciiTheme="minorHAnsi" w:hAnsiTheme="minorHAnsi"/>
          <w:szCs w:val="22"/>
        </w:rPr>
        <w:t xml:space="preserve">We do not currently have a category for </w:t>
      </w:r>
      <w:r w:rsidR="00110EED">
        <w:rPr>
          <w:rFonts w:asciiTheme="minorHAnsi" w:hAnsiTheme="minorHAnsi"/>
          <w:szCs w:val="22"/>
        </w:rPr>
        <w:t>White</w:t>
      </w:r>
      <w:r>
        <w:rPr>
          <w:rFonts w:asciiTheme="minorHAnsi" w:hAnsiTheme="minorHAnsi"/>
          <w:szCs w:val="22"/>
        </w:rPr>
        <w:t xml:space="preserve"> minority and/or other </w:t>
      </w:r>
      <w:r w:rsidR="00110EED">
        <w:rPr>
          <w:rFonts w:asciiTheme="minorHAnsi" w:hAnsiTheme="minorHAnsi"/>
          <w:szCs w:val="22"/>
        </w:rPr>
        <w:t>White</w:t>
      </w:r>
      <w:r>
        <w:rPr>
          <w:rFonts w:asciiTheme="minorHAnsi" w:hAnsiTheme="minorHAnsi"/>
          <w:szCs w:val="22"/>
        </w:rPr>
        <w:t xml:space="preserve"> backgrounds in our system. Colleagues who identify as being from a minoritised white background may have identified </w:t>
      </w:r>
      <w:r w:rsidR="00E72B1C">
        <w:rPr>
          <w:rFonts w:asciiTheme="minorHAnsi" w:hAnsiTheme="minorHAnsi"/>
          <w:szCs w:val="22"/>
        </w:rPr>
        <w:t>as “Other ethnicity”</w:t>
      </w:r>
      <w:r w:rsidR="00162176">
        <w:rPr>
          <w:rFonts w:asciiTheme="minorHAnsi" w:hAnsiTheme="minorHAnsi"/>
          <w:szCs w:val="22"/>
        </w:rPr>
        <w:t xml:space="preserve"> which has been included in the grouping ‘</w:t>
      </w:r>
      <w:r w:rsidR="00110EED">
        <w:rPr>
          <w:rFonts w:asciiTheme="minorHAnsi" w:hAnsiTheme="minorHAnsi"/>
          <w:szCs w:val="22"/>
        </w:rPr>
        <w:t>Minoritised</w:t>
      </w:r>
      <w:r w:rsidR="00162176">
        <w:rPr>
          <w:rFonts w:asciiTheme="minorHAnsi" w:hAnsiTheme="minorHAnsi"/>
          <w:szCs w:val="22"/>
        </w:rPr>
        <w:t xml:space="preserve"> ethnic backgrounds’, or may have identified as </w:t>
      </w:r>
      <w:r w:rsidR="00E72B1C">
        <w:rPr>
          <w:rFonts w:asciiTheme="minorHAnsi" w:hAnsiTheme="minorHAnsi"/>
          <w:szCs w:val="22"/>
        </w:rPr>
        <w:t>“White”</w:t>
      </w:r>
      <w:r w:rsidR="00162176">
        <w:rPr>
          <w:rFonts w:asciiTheme="minorHAnsi" w:hAnsiTheme="minorHAnsi"/>
          <w:szCs w:val="22"/>
        </w:rPr>
        <w:t>, and will therefore be included in the ‘</w:t>
      </w:r>
      <w:r w:rsidR="00110EED">
        <w:rPr>
          <w:rFonts w:asciiTheme="minorHAnsi" w:hAnsiTheme="minorHAnsi"/>
          <w:szCs w:val="22"/>
        </w:rPr>
        <w:t>White’</w:t>
      </w:r>
      <w:r w:rsidR="00162176">
        <w:rPr>
          <w:rFonts w:asciiTheme="minorHAnsi" w:hAnsiTheme="minorHAnsi"/>
          <w:szCs w:val="22"/>
        </w:rPr>
        <w:t xml:space="preserve"> grouping. </w:t>
      </w:r>
    </w:p>
    <w:p w14:paraId="3A116707" w14:textId="184E3755" w:rsidR="005F7C9E" w:rsidRDefault="0095165F" w:rsidP="002E39DC">
      <w:pPr>
        <w:rPr>
          <w:rFonts w:asciiTheme="minorHAnsi" w:hAnsiTheme="minorHAnsi"/>
          <w:szCs w:val="22"/>
        </w:rPr>
      </w:pPr>
      <w:r>
        <w:rPr>
          <w:rFonts w:asciiTheme="minorHAnsi" w:hAnsiTheme="minorHAnsi"/>
          <w:szCs w:val="22"/>
        </w:rPr>
        <w:t xml:space="preserve">In our </w:t>
      </w:r>
      <w:r w:rsidR="000261C8">
        <w:rPr>
          <w:rFonts w:asciiTheme="minorHAnsi" w:hAnsiTheme="minorHAnsi"/>
          <w:szCs w:val="22"/>
        </w:rPr>
        <w:t>Gender Pay Gap (GPG)</w:t>
      </w:r>
      <w:r>
        <w:rPr>
          <w:rFonts w:asciiTheme="minorHAnsi" w:hAnsiTheme="minorHAnsi"/>
          <w:szCs w:val="22"/>
        </w:rPr>
        <w:t xml:space="preserve"> report, all colleagues who have identified as being from </w:t>
      </w:r>
      <w:r w:rsidR="00424E5E">
        <w:rPr>
          <w:rFonts w:asciiTheme="minorHAnsi" w:hAnsiTheme="minorHAnsi"/>
          <w:szCs w:val="22"/>
        </w:rPr>
        <w:t xml:space="preserve">minoritised ethnic backgrounds are compared to those who have identified as white. In future years, we aspire to use more granular ethnicity categories to analyse and report on our ethnicity pay gap. </w:t>
      </w:r>
    </w:p>
    <w:p w14:paraId="0EF15851" w14:textId="54D93630" w:rsidR="00A14FA3" w:rsidRDefault="00A14FA3" w:rsidP="002E39DC">
      <w:pPr>
        <w:rPr>
          <w:rFonts w:asciiTheme="minorHAnsi" w:hAnsiTheme="minorHAnsi"/>
          <w:szCs w:val="22"/>
        </w:rPr>
      </w:pPr>
      <w:r>
        <w:rPr>
          <w:rFonts w:asciiTheme="minorHAnsi" w:hAnsiTheme="minorHAnsi"/>
          <w:szCs w:val="22"/>
        </w:rPr>
        <w:t>We believe that the disclosure rate for our data relating to disability is low and acknowledge the limitations of this</w:t>
      </w:r>
      <w:r w:rsidR="00D81612">
        <w:rPr>
          <w:rFonts w:asciiTheme="minorHAnsi" w:hAnsiTheme="minorHAnsi"/>
          <w:szCs w:val="22"/>
        </w:rPr>
        <w:t xml:space="preserve"> therefore</w:t>
      </w:r>
      <w:r>
        <w:rPr>
          <w:rFonts w:asciiTheme="minorHAnsi" w:hAnsiTheme="minorHAnsi"/>
          <w:szCs w:val="22"/>
        </w:rPr>
        <w:t xml:space="preserve"> not representing all NU colleagues with a disability. </w:t>
      </w:r>
    </w:p>
    <w:p w14:paraId="0ABB278F" w14:textId="44B8AE1F" w:rsidR="00A17880" w:rsidRDefault="00A17880" w:rsidP="002E39DC">
      <w:pPr>
        <w:rPr>
          <w:rFonts w:asciiTheme="minorHAnsi" w:hAnsiTheme="minorHAnsi"/>
          <w:szCs w:val="22"/>
        </w:rPr>
      </w:pPr>
      <w:r>
        <w:rPr>
          <w:rFonts w:asciiTheme="minorHAnsi" w:hAnsiTheme="minorHAnsi"/>
          <w:szCs w:val="22"/>
        </w:rPr>
        <w:t xml:space="preserve">As part of our commitment to expanding the scope of our diversity data collection practices, we began collecting data relating to </w:t>
      </w:r>
      <w:r w:rsidR="000261C8">
        <w:rPr>
          <w:rFonts w:asciiTheme="minorHAnsi" w:hAnsiTheme="minorHAnsi"/>
          <w:szCs w:val="22"/>
        </w:rPr>
        <w:t>c</w:t>
      </w:r>
      <w:r>
        <w:rPr>
          <w:rFonts w:asciiTheme="minorHAnsi" w:hAnsiTheme="minorHAnsi"/>
          <w:szCs w:val="22"/>
        </w:rPr>
        <w:t>arers in September 2024. As this does not cover the full reporting period for this report (1</w:t>
      </w:r>
      <w:r w:rsidRPr="00E22527">
        <w:rPr>
          <w:rFonts w:asciiTheme="minorHAnsi" w:hAnsiTheme="minorHAnsi"/>
          <w:szCs w:val="22"/>
          <w:vertAlign w:val="superscript"/>
        </w:rPr>
        <w:t>st</w:t>
      </w:r>
      <w:r>
        <w:rPr>
          <w:rFonts w:asciiTheme="minorHAnsi" w:hAnsiTheme="minorHAnsi"/>
          <w:szCs w:val="22"/>
        </w:rPr>
        <w:t xml:space="preserve"> August 2024 to 31</w:t>
      </w:r>
      <w:r w:rsidRPr="00E22527">
        <w:rPr>
          <w:rFonts w:asciiTheme="minorHAnsi" w:hAnsiTheme="minorHAnsi"/>
          <w:szCs w:val="22"/>
          <w:vertAlign w:val="superscript"/>
        </w:rPr>
        <w:t>st</w:t>
      </w:r>
      <w:r>
        <w:rPr>
          <w:rFonts w:asciiTheme="minorHAnsi" w:hAnsiTheme="minorHAnsi"/>
          <w:szCs w:val="22"/>
        </w:rPr>
        <w:t xml:space="preserve"> July 2025), the data </w:t>
      </w:r>
      <w:r w:rsidR="00977F9E">
        <w:rPr>
          <w:rFonts w:asciiTheme="minorHAnsi" w:hAnsiTheme="minorHAnsi"/>
          <w:szCs w:val="22"/>
        </w:rPr>
        <w:t>are</w:t>
      </w:r>
      <w:r w:rsidR="00CE589E">
        <w:rPr>
          <w:rFonts w:asciiTheme="minorHAnsi" w:hAnsiTheme="minorHAnsi"/>
          <w:szCs w:val="22"/>
        </w:rPr>
        <w:t xml:space="preserve"> not</w:t>
      </w:r>
      <w:r>
        <w:rPr>
          <w:rFonts w:asciiTheme="minorHAnsi" w:hAnsiTheme="minorHAnsi"/>
          <w:szCs w:val="22"/>
        </w:rPr>
        <w:t xml:space="preserve"> included here. However, we look forward to including this information in our 2026 report. </w:t>
      </w:r>
    </w:p>
    <w:p w14:paraId="1040FD98" w14:textId="77777777" w:rsidR="00A17880" w:rsidRDefault="00A17880">
      <w:pPr>
        <w:rPr>
          <w:rFonts w:asciiTheme="majorHAnsi" w:hAnsiTheme="majorHAnsi"/>
          <w:color w:val="0B769F" w:themeColor="accent4" w:themeShade="BF"/>
          <w:sz w:val="40"/>
          <w:szCs w:val="44"/>
        </w:rPr>
      </w:pPr>
      <w:r>
        <w:rPr>
          <w:rFonts w:asciiTheme="majorHAnsi" w:hAnsiTheme="majorHAnsi"/>
          <w:color w:val="0B769F" w:themeColor="accent4" w:themeShade="BF"/>
          <w:sz w:val="40"/>
          <w:szCs w:val="44"/>
        </w:rPr>
        <w:br w:type="page"/>
      </w:r>
    </w:p>
    <w:p w14:paraId="58C2B62D" w14:textId="23D07C65" w:rsidR="001953DF" w:rsidRPr="00D15B19" w:rsidRDefault="001953DF" w:rsidP="004702B9">
      <w:pPr>
        <w:rPr>
          <w:rFonts w:asciiTheme="minorHAnsi" w:hAnsiTheme="minorHAnsi"/>
          <w:i/>
          <w:iCs/>
          <w:sz w:val="24"/>
        </w:rPr>
      </w:pPr>
      <w:r w:rsidRPr="00D15B19">
        <w:rPr>
          <w:rFonts w:asciiTheme="majorHAnsi" w:hAnsiTheme="majorHAnsi"/>
          <w:color w:val="0B769F" w:themeColor="accent4" w:themeShade="BF"/>
          <w:sz w:val="40"/>
          <w:szCs w:val="44"/>
        </w:rPr>
        <w:lastRenderedPageBreak/>
        <w:t>Workforce Summary</w:t>
      </w:r>
    </w:p>
    <w:p w14:paraId="154BDDC0" w14:textId="68B5BF08" w:rsidR="001953DF" w:rsidRPr="00DD58E4" w:rsidRDefault="00DF04E8" w:rsidP="001953DF">
      <w:pPr>
        <w:rPr>
          <w:rFonts w:asciiTheme="minorHAnsi" w:hAnsiTheme="minorHAnsi"/>
          <w:szCs w:val="22"/>
        </w:rPr>
      </w:pPr>
      <w:r>
        <w:rPr>
          <w:rFonts w:asciiTheme="minorHAnsi" w:hAnsiTheme="minorHAnsi"/>
          <w:szCs w:val="22"/>
        </w:rPr>
        <w:t>A further breakdown of wo</w:t>
      </w:r>
      <w:r w:rsidR="00A0582D">
        <w:rPr>
          <w:rFonts w:asciiTheme="minorHAnsi" w:hAnsiTheme="minorHAnsi"/>
          <w:szCs w:val="22"/>
        </w:rPr>
        <w:t xml:space="preserve">rkforce diversity information can be found in Appendix 2. </w:t>
      </w:r>
    </w:p>
    <w:p w14:paraId="417AA527" w14:textId="77777777" w:rsidR="00771B40" w:rsidRDefault="00771B40" w:rsidP="001953DF">
      <w:pPr>
        <w:rPr>
          <w:rFonts w:asciiTheme="minorHAnsi" w:hAnsiTheme="minorHAnsi"/>
          <w:b/>
          <w:bCs/>
        </w:rPr>
      </w:pPr>
    </w:p>
    <w:p w14:paraId="1A86C9B9" w14:textId="6E8D6578" w:rsidR="001953DF" w:rsidRPr="00F32937" w:rsidRDefault="001953DF" w:rsidP="001953DF">
      <w:pPr>
        <w:rPr>
          <w:rFonts w:asciiTheme="minorHAnsi" w:hAnsiTheme="minorHAnsi"/>
          <w:b/>
          <w:bCs/>
        </w:rPr>
      </w:pPr>
      <w:r w:rsidRPr="00F32937">
        <w:rPr>
          <w:rFonts w:asciiTheme="minorHAnsi" w:hAnsiTheme="minorHAnsi"/>
          <w:b/>
          <w:bCs/>
        </w:rPr>
        <w:t>Total Headcount 2024/25: 6,241</w:t>
      </w:r>
    </w:p>
    <w:p w14:paraId="3FF56FCF" w14:textId="31DB9BBD" w:rsidR="001953DF" w:rsidRPr="00F32937" w:rsidRDefault="001953DF" w:rsidP="001953DF">
      <w:pPr>
        <w:pStyle w:val="ListParagraph"/>
        <w:numPr>
          <w:ilvl w:val="0"/>
          <w:numId w:val="1"/>
        </w:numPr>
        <w:rPr>
          <w:rFonts w:asciiTheme="minorHAnsi" w:hAnsiTheme="minorHAnsi"/>
        </w:rPr>
      </w:pPr>
      <w:r w:rsidRPr="00F32937">
        <w:rPr>
          <w:rFonts w:asciiTheme="minorHAnsi" w:hAnsiTheme="minorHAnsi"/>
        </w:rPr>
        <w:t>Academic: 1,860 (29.8%)</w:t>
      </w:r>
    </w:p>
    <w:p w14:paraId="45CF3B7B" w14:textId="3B571957" w:rsidR="001953DF" w:rsidRPr="00F32937" w:rsidRDefault="001953DF" w:rsidP="001953DF">
      <w:pPr>
        <w:pStyle w:val="ListParagraph"/>
        <w:numPr>
          <w:ilvl w:val="0"/>
          <w:numId w:val="1"/>
        </w:numPr>
        <w:rPr>
          <w:rFonts w:asciiTheme="minorHAnsi" w:hAnsiTheme="minorHAnsi"/>
        </w:rPr>
      </w:pPr>
      <w:r w:rsidRPr="00F32937">
        <w:rPr>
          <w:rFonts w:asciiTheme="minorHAnsi" w:hAnsiTheme="minorHAnsi"/>
        </w:rPr>
        <w:t>Research: 1,000 (16.0%)</w:t>
      </w:r>
    </w:p>
    <w:p w14:paraId="3A29AB03" w14:textId="77777777" w:rsidR="001953DF" w:rsidRPr="00F32937" w:rsidRDefault="001953DF" w:rsidP="001953DF">
      <w:pPr>
        <w:pStyle w:val="ListParagraph"/>
        <w:numPr>
          <w:ilvl w:val="0"/>
          <w:numId w:val="1"/>
        </w:numPr>
        <w:rPr>
          <w:rFonts w:asciiTheme="minorHAnsi" w:hAnsiTheme="minorHAnsi"/>
        </w:rPr>
      </w:pPr>
      <w:r w:rsidRPr="00F32937">
        <w:rPr>
          <w:rFonts w:asciiTheme="minorHAnsi" w:hAnsiTheme="minorHAnsi"/>
        </w:rPr>
        <w:t>Professional Services: 3,381 (54.2%)</w:t>
      </w:r>
    </w:p>
    <w:p w14:paraId="6B9256F2" w14:textId="77777777" w:rsidR="001953DF" w:rsidRPr="00F32937" w:rsidRDefault="001953DF" w:rsidP="001953DF">
      <w:pPr>
        <w:rPr>
          <w:rFonts w:asciiTheme="minorHAnsi" w:hAnsi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281"/>
      </w:tblGrid>
      <w:tr w:rsidR="001953DF" w:rsidRPr="00F32937" w14:paraId="56134E37" w14:textId="77777777" w:rsidTr="004C77C4">
        <w:trPr>
          <w:trHeight w:val="262"/>
        </w:trPr>
        <w:tc>
          <w:tcPr>
            <w:tcW w:w="2324" w:type="dxa"/>
            <w:shd w:val="clear" w:color="auto" w:fill="FFFFFF" w:themeFill="background1"/>
          </w:tcPr>
          <w:p w14:paraId="681E7F58" w14:textId="67832770" w:rsidR="001953DF" w:rsidRPr="00F32937" w:rsidRDefault="001953DF" w:rsidP="00BD0165">
            <w:pPr>
              <w:jc w:val="center"/>
              <w:rPr>
                <w:rFonts w:asciiTheme="minorHAnsi" w:hAnsiTheme="minorHAnsi"/>
                <w:b/>
                <w:bCs/>
              </w:rPr>
            </w:pPr>
            <w:r w:rsidRPr="00F32937">
              <w:rPr>
                <w:rFonts w:asciiTheme="minorHAnsi" w:hAnsiTheme="minorHAnsi"/>
                <w:b/>
                <w:bCs/>
              </w:rPr>
              <w:t>Academic</w:t>
            </w:r>
            <w:r w:rsidR="007A545E">
              <w:rPr>
                <w:rFonts w:asciiTheme="minorHAnsi" w:hAnsiTheme="minorHAnsi"/>
                <w:b/>
                <w:bCs/>
              </w:rPr>
              <w:t xml:space="preserve"> </w:t>
            </w:r>
            <w:r w:rsidRPr="00F32937">
              <w:rPr>
                <w:rFonts w:asciiTheme="minorHAnsi" w:hAnsiTheme="minorHAnsi"/>
                <w:b/>
                <w:bCs/>
              </w:rPr>
              <w:t>Contracts</w:t>
            </w:r>
          </w:p>
        </w:tc>
        <w:tc>
          <w:tcPr>
            <w:tcW w:w="1281" w:type="dxa"/>
            <w:shd w:val="clear" w:color="auto" w:fill="FFFFFF" w:themeFill="background1"/>
          </w:tcPr>
          <w:p w14:paraId="75082F81" w14:textId="77777777" w:rsidR="001953DF" w:rsidRPr="00F32937" w:rsidRDefault="001953DF" w:rsidP="00BD0165">
            <w:pPr>
              <w:jc w:val="center"/>
              <w:rPr>
                <w:rFonts w:asciiTheme="minorHAnsi" w:hAnsiTheme="minorHAnsi"/>
                <w:b/>
                <w:bCs/>
              </w:rPr>
            </w:pPr>
            <w:r w:rsidRPr="00F32937">
              <w:rPr>
                <w:rFonts w:asciiTheme="minorHAnsi" w:hAnsiTheme="minorHAnsi"/>
                <w:b/>
                <w:bCs/>
              </w:rPr>
              <w:t>%</w:t>
            </w:r>
          </w:p>
        </w:tc>
      </w:tr>
      <w:tr w:rsidR="001953DF" w:rsidRPr="00F32937" w14:paraId="2A9349C3" w14:textId="77777777" w:rsidTr="004C77C4">
        <w:trPr>
          <w:trHeight w:val="248"/>
        </w:trPr>
        <w:tc>
          <w:tcPr>
            <w:tcW w:w="2324" w:type="dxa"/>
            <w:shd w:val="clear" w:color="auto" w:fill="FFFFFF" w:themeFill="background1"/>
          </w:tcPr>
          <w:p w14:paraId="3DAC729E" w14:textId="77777777" w:rsidR="001953DF" w:rsidRPr="00F32937" w:rsidRDefault="001953DF" w:rsidP="00BD0165">
            <w:pPr>
              <w:rPr>
                <w:rFonts w:asciiTheme="minorHAnsi" w:hAnsiTheme="minorHAnsi"/>
              </w:rPr>
            </w:pPr>
            <w:r w:rsidRPr="00F32937">
              <w:rPr>
                <w:rFonts w:asciiTheme="minorHAnsi" w:hAnsiTheme="minorHAnsi"/>
              </w:rPr>
              <w:t>R&amp;I</w:t>
            </w:r>
          </w:p>
        </w:tc>
        <w:tc>
          <w:tcPr>
            <w:tcW w:w="1281" w:type="dxa"/>
            <w:shd w:val="clear" w:color="auto" w:fill="FFFFFF" w:themeFill="background1"/>
          </w:tcPr>
          <w:p w14:paraId="1BB5DAB0" w14:textId="77777777" w:rsidR="001953DF" w:rsidRPr="00F32937" w:rsidRDefault="001953DF" w:rsidP="00BD0165">
            <w:pPr>
              <w:jc w:val="right"/>
              <w:rPr>
                <w:rFonts w:asciiTheme="minorHAnsi" w:hAnsiTheme="minorHAnsi"/>
              </w:rPr>
            </w:pPr>
            <w:r w:rsidRPr="00F32937">
              <w:rPr>
                <w:rFonts w:asciiTheme="minorHAnsi" w:hAnsiTheme="minorHAnsi"/>
              </w:rPr>
              <w:t>35.1%</w:t>
            </w:r>
          </w:p>
        </w:tc>
      </w:tr>
      <w:tr w:rsidR="001953DF" w:rsidRPr="00F32937" w14:paraId="26F09282" w14:textId="77777777" w:rsidTr="004C77C4">
        <w:trPr>
          <w:trHeight w:val="262"/>
        </w:trPr>
        <w:tc>
          <w:tcPr>
            <w:tcW w:w="2324" w:type="dxa"/>
            <w:shd w:val="clear" w:color="auto" w:fill="FFFFFF" w:themeFill="background1"/>
          </w:tcPr>
          <w:p w14:paraId="6F817DAD" w14:textId="77777777" w:rsidR="001953DF" w:rsidRPr="00F32937" w:rsidRDefault="001953DF" w:rsidP="00BD0165">
            <w:pPr>
              <w:rPr>
                <w:rFonts w:asciiTheme="minorHAnsi" w:hAnsiTheme="minorHAnsi"/>
              </w:rPr>
            </w:pPr>
            <w:r w:rsidRPr="00F32937">
              <w:rPr>
                <w:rFonts w:asciiTheme="minorHAnsi" w:hAnsiTheme="minorHAnsi"/>
              </w:rPr>
              <w:t>T&amp;R</w:t>
            </w:r>
          </w:p>
        </w:tc>
        <w:tc>
          <w:tcPr>
            <w:tcW w:w="1281" w:type="dxa"/>
            <w:shd w:val="clear" w:color="auto" w:fill="FFFFFF" w:themeFill="background1"/>
          </w:tcPr>
          <w:p w14:paraId="55BF4CC2" w14:textId="77777777" w:rsidR="001953DF" w:rsidRPr="00F32937" w:rsidRDefault="001953DF" w:rsidP="00BD0165">
            <w:pPr>
              <w:jc w:val="right"/>
              <w:rPr>
                <w:rFonts w:asciiTheme="minorHAnsi" w:hAnsiTheme="minorHAnsi"/>
              </w:rPr>
            </w:pPr>
            <w:r w:rsidRPr="00F32937">
              <w:rPr>
                <w:rFonts w:asciiTheme="minorHAnsi" w:hAnsiTheme="minorHAnsi"/>
              </w:rPr>
              <w:t>49.1%</w:t>
            </w:r>
          </w:p>
        </w:tc>
      </w:tr>
      <w:tr w:rsidR="001953DF" w:rsidRPr="00F32937" w14:paraId="6AACC8D5" w14:textId="77777777" w:rsidTr="004C77C4">
        <w:trPr>
          <w:trHeight w:val="70"/>
        </w:trPr>
        <w:tc>
          <w:tcPr>
            <w:tcW w:w="2324" w:type="dxa"/>
            <w:shd w:val="clear" w:color="auto" w:fill="FFFFFF" w:themeFill="background1"/>
          </w:tcPr>
          <w:p w14:paraId="76314B82" w14:textId="77777777" w:rsidR="001953DF" w:rsidRPr="00F32937" w:rsidRDefault="001953DF" w:rsidP="00BD0165">
            <w:pPr>
              <w:rPr>
                <w:rFonts w:asciiTheme="minorHAnsi" w:hAnsiTheme="minorHAnsi"/>
              </w:rPr>
            </w:pPr>
            <w:r w:rsidRPr="00F32937">
              <w:rPr>
                <w:rFonts w:asciiTheme="minorHAnsi" w:hAnsiTheme="minorHAnsi"/>
              </w:rPr>
              <w:t>T&amp;S</w:t>
            </w:r>
          </w:p>
        </w:tc>
        <w:tc>
          <w:tcPr>
            <w:tcW w:w="1281" w:type="dxa"/>
            <w:shd w:val="clear" w:color="auto" w:fill="FFFFFF" w:themeFill="background1"/>
          </w:tcPr>
          <w:p w14:paraId="5C2AA29A" w14:textId="77777777" w:rsidR="001953DF" w:rsidRPr="00F32937" w:rsidRDefault="001953DF" w:rsidP="00BD0165">
            <w:pPr>
              <w:jc w:val="right"/>
              <w:rPr>
                <w:rFonts w:asciiTheme="minorHAnsi" w:hAnsiTheme="minorHAnsi"/>
              </w:rPr>
            </w:pPr>
            <w:r w:rsidRPr="00F32937">
              <w:rPr>
                <w:rFonts w:asciiTheme="minorHAnsi" w:hAnsiTheme="minorHAnsi"/>
              </w:rPr>
              <w:t>15.7%</w:t>
            </w:r>
          </w:p>
        </w:tc>
      </w:tr>
    </w:tbl>
    <w:p w14:paraId="2ACD9929" w14:textId="2666F81C" w:rsidR="001953DF" w:rsidRPr="00F32937" w:rsidRDefault="001953DF" w:rsidP="001953DF">
      <w:pPr>
        <w:rPr>
          <w:rFonts w:asciiTheme="minorHAnsi" w:hAnsiTheme="minorHAnsi"/>
          <w:i/>
          <w:iCs/>
        </w:rPr>
      </w:pPr>
      <w:r w:rsidRPr="00F32937">
        <w:rPr>
          <w:rFonts w:asciiTheme="minorHAnsi" w:hAnsiTheme="minorHAnsi"/>
          <w:i/>
          <w:iCs/>
        </w:rPr>
        <w:t xml:space="preserve">Note. There are 9 </w:t>
      </w:r>
      <w:r w:rsidR="008F4E96" w:rsidRPr="00F32937">
        <w:rPr>
          <w:rFonts w:asciiTheme="minorHAnsi" w:hAnsiTheme="minorHAnsi"/>
          <w:i/>
          <w:iCs/>
        </w:rPr>
        <w:t>PS</w:t>
      </w:r>
      <w:r w:rsidRPr="00F32937">
        <w:rPr>
          <w:rFonts w:asciiTheme="minorHAnsi" w:hAnsiTheme="minorHAnsi"/>
          <w:i/>
          <w:iCs/>
        </w:rPr>
        <w:t xml:space="preserve"> colleagues on T&amp;R contracts included in these numbers. </w:t>
      </w:r>
    </w:p>
    <w:p w14:paraId="0A3748D9" w14:textId="77777777" w:rsidR="0053252D" w:rsidRPr="00771B40" w:rsidRDefault="0053252D" w:rsidP="001953DF">
      <w:pPr>
        <w:rPr>
          <w:rFonts w:asciiTheme="minorHAnsi" w:hAnsi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281"/>
      </w:tblGrid>
      <w:tr w:rsidR="001953DF" w:rsidRPr="00F32937" w14:paraId="4CF76AED" w14:textId="77777777" w:rsidTr="00977F9E">
        <w:trPr>
          <w:trHeight w:val="262"/>
        </w:trPr>
        <w:tc>
          <w:tcPr>
            <w:tcW w:w="2324" w:type="dxa"/>
            <w:shd w:val="clear" w:color="auto" w:fill="FFFFFF" w:themeFill="background1"/>
          </w:tcPr>
          <w:p w14:paraId="2C798D5E" w14:textId="77777777" w:rsidR="001953DF" w:rsidRPr="00F32937" w:rsidRDefault="001953DF" w:rsidP="00BD0165">
            <w:pPr>
              <w:jc w:val="center"/>
              <w:rPr>
                <w:rFonts w:asciiTheme="minorHAnsi" w:hAnsiTheme="minorHAnsi"/>
                <w:b/>
                <w:bCs/>
              </w:rPr>
            </w:pPr>
            <w:r w:rsidRPr="00F32937">
              <w:rPr>
                <w:rFonts w:asciiTheme="minorHAnsi" w:hAnsiTheme="minorHAnsi"/>
                <w:b/>
                <w:bCs/>
              </w:rPr>
              <w:t>PS Job Family</w:t>
            </w:r>
          </w:p>
        </w:tc>
        <w:tc>
          <w:tcPr>
            <w:tcW w:w="1281" w:type="dxa"/>
            <w:shd w:val="clear" w:color="auto" w:fill="FFFFFF" w:themeFill="background1"/>
          </w:tcPr>
          <w:p w14:paraId="4E311B76" w14:textId="77777777" w:rsidR="001953DF" w:rsidRPr="00F32937" w:rsidRDefault="001953DF" w:rsidP="00BD0165">
            <w:pPr>
              <w:jc w:val="center"/>
              <w:rPr>
                <w:rFonts w:asciiTheme="minorHAnsi" w:hAnsiTheme="minorHAnsi"/>
                <w:b/>
                <w:bCs/>
              </w:rPr>
            </w:pPr>
            <w:r w:rsidRPr="00F32937">
              <w:rPr>
                <w:rFonts w:asciiTheme="minorHAnsi" w:hAnsiTheme="minorHAnsi"/>
                <w:b/>
                <w:bCs/>
              </w:rPr>
              <w:t>%</w:t>
            </w:r>
          </w:p>
        </w:tc>
      </w:tr>
      <w:tr w:rsidR="001953DF" w:rsidRPr="00F32937" w14:paraId="30898133" w14:textId="77777777" w:rsidTr="00977F9E">
        <w:trPr>
          <w:trHeight w:val="248"/>
        </w:trPr>
        <w:tc>
          <w:tcPr>
            <w:tcW w:w="2324" w:type="dxa"/>
            <w:shd w:val="clear" w:color="auto" w:fill="FFFFFF" w:themeFill="background1"/>
          </w:tcPr>
          <w:p w14:paraId="4ACDDB37" w14:textId="77777777" w:rsidR="001953DF" w:rsidRPr="00F32937" w:rsidRDefault="001953DF" w:rsidP="00BD0165">
            <w:pPr>
              <w:rPr>
                <w:rFonts w:asciiTheme="minorHAnsi" w:hAnsiTheme="minorHAnsi"/>
              </w:rPr>
            </w:pPr>
            <w:r w:rsidRPr="00F32937">
              <w:rPr>
                <w:rFonts w:asciiTheme="minorHAnsi" w:hAnsiTheme="minorHAnsi"/>
              </w:rPr>
              <w:t>Administrative</w:t>
            </w:r>
          </w:p>
        </w:tc>
        <w:tc>
          <w:tcPr>
            <w:tcW w:w="1281" w:type="dxa"/>
            <w:shd w:val="clear" w:color="auto" w:fill="FFFFFF" w:themeFill="background1"/>
          </w:tcPr>
          <w:p w14:paraId="565FB401" w14:textId="77777777" w:rsidR="001953DF" w:rsidRPr="00F32937" w:rsidRDefault="001953DF" w:rsidP="00BD0165">
            <w:pPr>
              <w:jc w:val="right"/>
              <w:rPr>
                <w:rFonts w:asciiTheme="minorHAnsi" w:hAnsiTheme="minorHAnsi"/>
              </w:rPr>
            </w:pPr>
            <w:r w:rsidRPr="00F32937">
              <w:rPr>
                <w:rFonts w:asciiTheme="minorHAnsi" w:hAnsiTheme="minorHAnsi"/>
              </w:rPr>
              <w:t>66.9%</w:t>
            </w:r>
          </w:p>
        </w:tc>
      </w:tr>
      <w:tr w:rsidR="001953DF" w:rsidRPr="00F32937" w14:paraId="225E0F17" w14:textId="77777777" w:rsidTr="00977F9E">
        <w:trPr>
          <w:trHeight w:val="262"/>
        </w:trPr>
        <w:tc>
          <w:tcPr>
            <w:tcW w:w="2324" w:type="dxa"/>
            <w:shd w:val="clear" w:color="auto" w:fill="FFFFFF" w:themeFill="background1"/>
          </w:tcPr>
          <w:p w14:paraId="262E5E84" w14:textId="77777777" w:rsidR="001953DF" w:rsidRPr="00F32937" w:rsidRDefault="001953DF" w:rsidP="00BD0165">
            <w:pPr>
              <w:rPr>
                <w:rFonts w:asciiTheme="minorHAnsi" w:hAnsiTheme="minorHAnsi"/>
              </w:rPr>
            </w:pPr>
            <w:r w:rsidRPr="00F32937">
              <w:rPr>
                <w:rFonts w:asciiTheme="minorHAnsi" w:hAnsiTheme="minorHAnsi"/>
              </w:rPr>
              <w:t>Maintenance</w:t>
            </w:r>
          </w:p>
        </w:tc>
        <w:tc>
          <w:tcPr>
            <w:tcW w:w="1281" w:type="dxa"/>
            <w:shd w:val="clear" w:color="auto" w:fill="FFFFFF" w:themeFill="background1"/>
          </w:tcPr>
          <w:p w14:paraId="5BECB163" w14:textId="77777777" w:rsidR="001953DF" w:rsidRPr="00F32937" w:rsidRDefault="001953DF" w:rsidP="00BD0165">
            <w:pPr>
              <w:jc w:val="right"/>
              <w:rPr>
                <w:rFonts w:asciiTheme="minorHAnsi" w:hAnsiTheme="minorHAnsi"/>
              </w:rPr>
            </w:pPr>
            <w:r w:rsidRPr="00F32937">
              <w:rPr>
                <w:rFonts w:asciiTheme="minorHAnsi" w:hAnsiTheme="minorHAnsi"/>
              </w:rPr>
              <w:t>1.8%</w:t>
            </w:r>
          </w:p>
        </w:tc>
      </w:tr>
      <w:tr w:rsidR="001953DF" w:rsidRPr="00F32937" w14:paraId="1A0A8D1A" w14:textId="77777777" w:rsidTr="00977F9E">
        <w:trPr>
          <w:trHeight w:val="248"/>
        </w:trPr>
        <w:tc>
          <w:tcPr>
            <w:tcW w:w="2324" w:type="dxa"/>
            <w:shd w:val="clear" w:color="auto" w:fill="FFFFFF" w:themeFill="background1"/>
          </w:tcPr>
          <w:p w14:paraId="0D759CF5" w14:textId="77777777" w:rsidR="001953DF" w:rsidRPr="00F32937" w:rsidRDefault="001953DF" w:rsidP="00BD0165">
            <w:pPr>
              <w:rPr>
                <w:rFonts w:asciiTheme="minorHAnsi" w:hAnsiTheme="minorHAnsi"/>
              </w:rPr>
            </w:pPr>
            <w:r w:rsidRPr="00F32937">
              <w:rPr>
                <w:rFonts w:asciiTheme="minorHAnsi" w:hAnsiTheme="minorHAnsi"/>
              </w:rPr>
              <w:t>Operational</w:t>
            </w:r>
          </w:p>
        </w:tc>
        <w:tc>
          <w:tcPr>
            <w:tcW w:w="1281" w:type="dxa"/>
            <w:shd w:val="clear" w:color="auto" w:fill="FFFFFF" w:themeFill="background1"/>
          </w:tcPr>
          <w:p w14:paraId="74130DEF" w14:textId="77777777" w:rsidR="001953DF" w:rsidRPr="00F32937" w:rsidRDefault="001953DF" w:rsidP="00BD0165">
            <w:pPr>
              <w:jc w:val="right"/>
              <w:rPr>
                <w:rFonts w:asciiTheme="minorHAnsi" w:hAnsiTheme="minorHAnsi"/>
              </w:rPr>
            </w:pPr>
            <w:r w:rsidRPr="00F32937">
              <w:rPr>
                <w:rFonts w:asciiTheme="minorHAnsi" w:hAnsiTheme="minorHAnsi"/>
              </w:rPr>
              <w:t>14.6%</w:t>
            </w:r>
          </w:p>
        </w:tc>
      </w:tr>
      <w:tr w:rsidR="001953DF" w:rsidRPr="00F32937" w14:paraId="33353E0D" w14:textId="77777777" w:rsidTr="00977F9E">
        <w:trPr>
          <w:trHeight w:val="248"/>
        </w:trPr>
        <w:tc>
          <w:tcPr>
            <w:tcW w:w="2324" w:type="dxa"/>
            <w:shd w:val="clear" w:color="auto" w:fill="FFFFFF" w:themeFill="background1"/>
          </w:tcPr>
          <w:p w14:paraId="21D3DAEA" w14:textId="77777777" w:rsidR="001953DF" w:rsidRPr="00F32937" w:rsidRDefault="001953DF" w:rsidP="00BD0165">
            <w:pPr>
              <w:rPr>
                <w:rFonts w:asciiTheme="minorHAnsi" w:hAnsiTheme="minorHAnsi"/>
              </w:rPr>
            </w:pPr>
            <w:r w:rsidRPr="00F32937">
              <w:rPr>
                <w:rFonts w:asciiTheme="minorHAnsi" w:hAnsiTheme="minorHAnsi"/>
              </w:rPr>
              <w:t>Specialist</w:t>
            </w:r>
          </w:p>
        </w:tc>
        <w:tc>
          <w:tcPr>
            <w:tcW w:w="1281" w:type="dxa"/>
            <w:shd w:val="clear" w:color="auto" w:fill="FFFFFF" w:themeFill="background1"/>
          </w:tcPr>
          <w:p w14:paraId="57820CE3" w14:textId="77777777" w:rsidR="001953DF" w:rsidRPr="00F32937" w:rsidRDefault="001953DF" w:rsidP="00BD0165">
            <w:pPr>
              <w:jc w:val="right"/>
              <w:rPr>
                <w:rFonts w:asciiTheme="minorHAnsi" w:hAnsiTheme="minorHAnsi"/>
              </w:rPr>
            </w:pPr>
            <w:r w:rsidRPr="00F32937">
              <w:rPr>
                <w:rFonts w:asciiTheme="minorHAnsi" w:hAnsiTheme="minorHAnsi"/>
              </w:rPr>
              <w:t>16.6%</w:t>
            </w:r>
          </w:p>
        </w:tc>
      </w:tr>
    </w:tbl>
    <w:p w14:paraId="3A2F3314" w14:textId="77777777" w:rsidR="0053252D" w:rsidRDefault="0053252D" w:rsidP="001953DF">
      <w:pPr>
        <w:rPr>
          <w:rFonts w:asciiTheme="minorHAnsi" w:hAnsiTheme="minorHAnsi"/>
        </w:rPr>
      </w:pPr>
    </w:p>
    <w:p w14:paraId="7C9F7360" w14:textId="77777777" w:rsidR="00D64667" w:rsidRPr="00F32937" w:rsidRDefault="00D64667" w:rsidP="001953DF">
      <w:pPr>
        <w:rPr>
          <w:rFonts w:asciiTheme="minorHAnsi" w:hAnsiTheme="minorHAnsi"/>
        </w:rPr>
      </w:pPr>
    </w:p>
    <w:p w14:paraId="46F5F943" w14:textId="77777777" w:rsidR="001953DF" w:rsidRPr="00F32937" w:rsidRDefault="001953DF" w:rsidP="001953DF">
      <w:pPr>
        <w:rPr>
          <w:rFonts w:asciiTheme="minorHAnsi" w:hAnsiTheme="minorHAnsi"/>
        </w:rPr>
      </w:pPr>
      <w:r w:rsidRPr="00F32937">
        <w:rPr>
          <w:rFonts w:asciiTheme="minorHAnsi" w:hAnsiTheme="minorHAnsi"/>
          <w:b/>
          <w:bCs/>
        </w:rPr>
        <w:t>Age</w:t>
      </w:r>
    </w:p>
    <w:p w14:paraId="65685AD3" w14:textId="3A218166" w:rsidR="001953DF" w:rsidRPr="00F32937" w:rsidRDefault="001953DF" w:rsidP="001953DF">
      <w:pPr>
        <w:pStyle w:val="ListParagraph"/>
        <w:numPr>
          <w:ilvl w:val="0"/>
          <w:numId w:val="2"/>
        </w:numPr>
        <w:rPr>
          <w:rFonts w:asciiTheme="minorHAnsi" w:hAnsiTheme="minorHAnsi"/>
        </w:rPr>
      </w:pPr>
      <w:r w:rsidRPr="00F32937">
        <w:rPr>
          <w:rFonts w:asciiTheme="minorHAnsi" w:hAnsiTheme="minorHAnsi"/>
        </w:rPr>
        <w:t>The average age of the workforce is 43.9 years old</w:t>
      </w:r>
    </w:p>
    <w:p w14:paraId="6F714889" w14:textId="080F6B88" w:rsidR="001953DF" w:rsidRPr="00F32937" w:rsidRDefault="001953DF" w:rsidP="001953DF">
      <w:pPr>
        <w:pStyle w:val="ListParagraph"/>
        <w:numPr>
          <w:ilvl w:val="0"/>
          <w:numId w:val="2"/>
        </w:numPr>
        <w:rPr>
          <w:rFonts w:asciiTheme="minorHAnsi" w:hAnsiTheme="minorHAnsi"/>
        </w:rPr>
      </w:pPr>
      <w:r w:rsidRPr="00F32937">
        <w:rPr>
          <w:rFonts w:asciiTheme="minorHAnsi" w:hAnsiTheme="minorHAnsi"/>
        </w:rPr>
        <w:t>30.3% of colleagues are 50+ years old (+0.5%-point since 2019)</w:t>
      </w:r>
    </w:p>
    <w:p w14:paraId="67F8A195" w14:textId="3CD580DC" w:rsidR="001953DF" w:rsidRPr="00F32937" w:rsidRDefault="001953DF" w:rsidP="001953DF">
      <w:pPr>
        <w:pStyle w:val="ListParagraph"/>
        <w:numPr>
          <w:ilvl w:val="0"/>
          <w:numId w:val="2"/>
        </w:numPr>
        <w:rPr>
          <w:rFonts w:asciiTheme="minorHAnsi" w:hAnsiTheme="minorHAnsi"/>
        </w:rPr>
      </w:pPr>
      <w:r w:rsidRPr="00F32937">
        <w:rPr>
          <w:rFonts w:asciiTheme="minorHAnsi" w:hAnsiTheme="minorHAnsi"/>
        </w:rPr>
        <w:t>As a proportion of the total workforce, the 46-50 age category saw the largest year-to-year growth (+1.0%-point) whereas the 41-45 age category has seen the largest growth since 2019 (+2.3%-point)</w:t>
      </w:r>
    </w:p>
    <w:p w14:paraId="485BCE09" w14:textId="77777777" w:rsidR="001953DF" w:rsidRDefault="001953DF" w:rsidP="001953DF">
      <w:pPr>
        <w:rPr>
          <w:rFonts w:asciiTheme="minorHAnsi" w:hAnsiTheme="minorHAnsi"/>
        </w:rPr>
      </w:pPr>
    </w:p>
    <w:p w14:paraId="59BEB90B" w14:textId="77777777" w:rsidR="00E573DC" w:rsidRPr="00F32937" w:rsidRDefault="00E573DC" w:rsidP="001953DF">
      <w:pPr>
        <w:rPr>
          <w:rFonts w:asciiTheme="minorHAnsi" w:hAnsiTheme="minorHAnsi"/>
        </w:rPr>
      </w:pPr>
    </w:p>
    <w:p w14:paraId="04FC013F" w14:textId="77777777" w:rsidR="001953DF" w:rsidRPr="00F32937" w:rsidRDefault="001953DF" w:rsidP="001953DF">
      <w:pPr>
        <w:rPr>
          <w:rFonts w:asciiTheme="minorHAnsi" w:hAnsiTheme="minorHAnsi"/>
          <w:b/>
          <w:bCs/>
        </w:rPr>
      </w:pPr>
      <w:r w:rsidRPr="00F32937">
        <w:rPr>
          <w:rFonts w:asciiTheme="minorHAnsi" w:hAnsiTheme="minorHAnsi"/>
          <w:b/>
          <w:bCs/>
        </w:rPr>
        <w:t>Disability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281"/>
      </w:tblGrid>
      <w:tr w:rsidR="001953DF" w:rsidRPr="00F32937" w14:paraId="4DFE63DB" w14:textId="77777777" w:rsidTr="00977F9E">
        <w:trPr>
          <w:trHeight w:val="262"/>
        </w:trPr>
        <w:tc>
          <w:tcPr>
            <w:tcW w:w="2324" w:type="dxa"/>
          </w:tcPr>
          <w:p w14:paraId="52C8766C" w14:textId="77777777" w:rsidR="001953DF" w:rsidRPr="00F32937" w:rsidRDefault="001953DF" w:rsidP="007A545E">
            <w:pPr>
              <w:shd w:val="clear" w:color="auto" w:fill="FFFFFF" w:themeFill="background1"/>
              <w:jc w:val="center"/>
              <w:rPr>
                <w:rFonts w:asciiTheme="minorHAnsi" w:hAnsiTheme="minorHAnsi"/>
                <w:b/>
                <w:bCs/>
              </w:rPr>
            </w:pPr>
            <w:r w:rsidRPr="00F32937">
              <w:rPr>
                <w:rFonts w:asciiTheme="minorHAnsi" w:hAnsiTheme="minorHAnsi"/>
                <w:b/>
                <w:bCs/>
              </w:rPr>
              <w:t>Disability Status</w:t>
            </w:r>
          </w:p>
        </w:tc>
        <w:tc>
          <w:tcPr>
            <w:tcW w:w="1281" w:type="dxa"/>
          </w:tcPr>
          <w:p w14:paraId="6F73F156" w14:textId="77777777" w:rsidR="001953DF" w:rsidRPr="00F32937" w:rsidRDefault="001953DF" w:rsidP="007A545E">
            <w:pPr>
              <w:shd w:val="clear" w:color="auto" w:fill="FFFFFF" w:themeFill="background1"/>
              <w:jc w:val="center"/>
              <w:rPr>
                <w:rFonts w:asciiTheme="minorHAnsi" w:hAnsiTheme="minorHAnsi"/>
                <w:b/>
                <w:bCs/>
              </w:rPr>
            </w:pPr>
            <w:r w:rsidRPr="00F32937">
              <w:rPr>
                <w:rFonts w:asciiTheme="minorHAnsi" w:hAnsiTheme="minorHAnsi"/>
                <w:b/>
                <w:bCs/>
              </w:rPr>
              <w:t>%</w:t>
            </w:r>
          </w:p>
        </w:tc>
      </w:tr>
      <w:tr w:rsidR="001953DF" w:rsidRPr="00F32937" w14:paraId="6E2645A6" w14:textId="77777777" w:rsidTr="00977F9E">
        <w:trPr>
          <w:trHeight w:val="248"/>
        </w:trPr>
        <w:tc>
          <w:tcPr>
            <w:tcW w:w="2324" w:type="dxa"/>
          </w:tcPr>
          <w:p w14:paraId="3349ACE4" w14:textId="77777777" w:rsidR="001953DF" w:rsidRPr="00F32937" w:rsidRDefault="001953DF" w:rsidP="007A545E">
            <w:pPr>
              <w:shd w:val="clear" w:color="auto" w:fill="FFFFFF" w:themeFill="background1"/>
              <w:rPr>
                <w:rFonts w:asciiTheme="minorHAnsi" w:hAnsiTheme="minorHAnsi"/>
              </w:rPr>
            </w:pPr>
            <w:r w:rsidRPr="00F32937">
              <w:rPr>
                <w:rFonts w:asciiTheme="minorHAnsi" w:hAnsiTheme="minorHAnsi"/>
              </w:rPr>
              <w:t>Disabled</w:t>
            </w:r>
          </w:p>
        </w:tc>
        <w:tc>
          <w:tcPr>
            <w:tcW w:w="1281" w:type="dxa"/>
          </w:tcPr>
          <w:p w14:paraId="2C7A629F" w14:textId="3D4DB5BC" w:rsidR="001953DF" w:rsidRPr="00F32937" w:rsidRDefault="5D307582" w:rsidP="007A545E">
            <w:pPr>
              <w:shd w:val="clear" w:color="auto" w:fill="FFFFFF" w:themeFill="background1"/>
              <w:jc w:val="right"/>
              <w:rPr>
                <w:rFonts w:asciiTheme="minorHAnsi" w:hAnsiTheme="minorHAnsi"/>
              </w:rPr>
            </w:pPr>
            <w:r w:rsidRPr="00F32937">
              <w:rPr>
                <w:rFonts w:asciiTheme="minorHAnsi" w:hAnsiTheme="minorHAnsi"/>
              </w:rPr>
              <w:t>5.0%</w:t>
            </w:r>
          </w:p>
        </w:tc>
      </w:tr>
      <w:tr w:rsidR="001953DF" w:rsidRPr="00F32937" w14:paraId="4B0ACC56" w14:textId="77777777" w:rsidTr="00977F9E">
        <w:trPr>
          <w:trHeight w:val="262"/>
        </w:trPr>
        <w:tc>
          <w:tcPr>
            <w:tcW w:w="2324" w:type="dxa"/>
          </w:tcPr>
          <w:p w14:paraId="4D4AF3FB" w14:textId="77777777" w:rsidR="001953DF" w:rsidRPr="00F32937" w:rsidRDefault="001953DF" w:rsidP="007A545E">
            <w:pPr>
              <w:shd w:val="clear" w:color="auto" w:fill="FFFFFF" w:themeFill="background1"/>
              <w:rPr>
                <w:rFonts w:asciiTheme="minorHAnsi" w:hAnsiTheme="minorHAnsi"/>
              </w:rPr>
            </w:pPr>
            <w:r w:rsidRPr="00F32937">
              <w:rPr>
                <w:rFonts w:asciiTheme="minorHAnsi" w:hAnsiTheme="minorHAnsi"/>
              </w:rPr>
              <w:t>No known disability</w:t>
            </w:r>
          </w:p>
        </w:tc>
        <w:tc>
          <w:tcPr>
            <w:tcW w:w="1281" w:type="dxa"/>
          </w:tcPr>
          <w:p w14:paraId="4F7EB5A1" w14:textId="3ECC5161" w:rsidR="001953DF" w:rsidRPr="00F32937" w:rsidRDefault="001953DF" w:rsidP="007A545E">
            <w:pPr>
              <w:shd w:val="clear" w:color="auto" w:fill="FFFFFF" w:themeFill="background1"/>
              <w:jc w:val="right"/>
              <w:rPr>
                <w:rFonts w:asciiTheme="minorHAnsi" w:hAnsiTheme="minorHAnsi"/>
              </w:rPr>
            </w:pPr>
            <w:r w:rsidRPr="00F32937">
              <w:rPr>
                <w:rFonts w:asciiTheme="minorHAnsi" w:hAnsiTheme="minorHAnsi"/>
              </w:rPr>
              <w:t>9</w:t>
            </w:r>
            <w:r w:rsidR="00761612" w:rsidRPr="00F32937">
              <w:rPr>
                <w:rFonts w:asciiTheme="minorHAnsi" w:hAnsiTheme="minorHAnsi"/>
              </w:rPr>
              <w:t>4.0</w:t>
            </w:r>
            <w:r w:rsidRPr="00F32937">
              <w:rPr>
                <w:rFonts w:asciiTheme="minorHAnsi" w:hAnsiTheme="minorHAnsi"/>
              </w:rPr>
              <w:t>%</w:t>
            </w:r>
          </w:p>
        </w:tc>
      </w:tr>
      <w:tr w:rsidR="001953DF" w:rsidRPr="00F32937" w14:paraId="72A3A244" w14:textId="77777777" w:rsidTr="00977F9E">
        <w:trPr>
          <w:trHeight w:val="248"/>
        </w:trPr>
        <w:tc>
          <w:tcPr>
            <w:tcW w:w="2324" w:type="dxa"/>
          </w:tcPr>
          <w:p w14:paraId="784DD9D4" w14:textId="77777777" w:rsidR="001953DF" w:rsidRPr="00F32937" w:rsidRDefault="001953DF" w:rsidP="007A545E">
            <w:pPr>
              <w:shd w:val="clear" w:color="auto" w:fill="FFFFFF" w:themeFill="background1"/>
              <w:rPr>
                <w:rFonts w:asciiTheme="minorHAnsi" w:hAnsiTheme="minorHAnsi"/>
              </w:rPr>
            </w:pPr>
            <w:r w:rsidRPr="00F32937">
              <w:rPr>
                <w:rFonts w:asciiTheme="minorHAnsi" w:hAnsiTheme="minorHAnsi"/>
              </w:rPr>
              <w:t>Prefer not to say</w:t>
            </w:r>
          </w:p>
        </w:tc>
        <w:tc>
          <w:tcPr>
            <w:tcW w:w="1281" w:type="dxa"/>
          </w:tcPr>
          <w:p w14:paraId="5DAA8B02" w14:textId="2419C4AB" w:rsidR="001953DF" w:rsidRPr="00F32937" w:rsidRDefault="00761612" w:rsidP="007A545E">
            <w:pPr>
              <w:shd w:val="clear" w:color="auto" w:fill="FFFFFF" w:themeFill="background1"/>
              <w:jc w:val="right"/>
              <w:rPr>
                <w:rFonts w:asciiTheme="minorHAnsi" w:hAnsiTheme="minorHAnsi"/>
              </w:rPr>
            </w:pPr>
            <w:r w:rsidRPr="00F32937">
              <w:rPr>
                <w:rFonts w:asciiTheme="minorHAnsi" w:hAnsiTheme="minorHAnsi"/>
              </w:rPr>
              <w:t>1.0</w:t>
            </w:r>
            <w:r w:rsidR="001953DF" w:rsidRPr="00F32937">
              <w:rPr>
                <w:rFonts w:asciiTheme="minorHAnsi" w:hAnsiTheme="minorHAnsi"/>
              </w:rPr>
              <w:t>%</w:t>
            </w:r>
          </w:p>
        </w:tc>
      </w:tr>
    </w:tbl>
    <w:p w14:paraId="114188DE" w14:textId="77777777" w:rsidR="00E573DC" w:rsidRPr="00F32937" w:rsidRDefault="00E573DC" w:rsidP="007A545E">
      <w:pPr>
        <w:shd w:val="clear" w:color="auto" w:fill="FFFFFF" w:themeFill="background1"/>
        <w:spacing w:after="0"/>
        <w:rPr>
          <w:rFonts w:asciiTheme="minorHAnsi" w:hAnsiTheme="minorHAnsi"/>
        </w:rPr>
      </w:pPr>
    </w:p>
    <w:p w14:paraId="11A265AF" w14:textId="77777777" w:rsidR="001953DF" w:rsidRPr="00F32937" w:rsidRDefault="001953DF" w:rsidP="001953DF">
      <w:pPr>
        <w:pStyle w:val="ListParagraph"/>
        <w:numPr>
          <w:ilvl w:val="0"/>
          <w:numId w:val="3"/>
        </w:numPr>
        <w:rPr>
          <w:rFonts w:asciiTheme="minorHAnsi" w:hAnsiTheme="minorHAnsi"/>
        </w:rPr>
      </w:pPr>
      <w:r w:rsidRPr="00F32937">
        <w:rPr>
          <w:rFonts w:asciiTheme="minorHAnsi" w:hAnsiTheme="minorHAnsi"/>
        </w:rPr>
        <w:t>The most prevalent of the listed disabilities declared by colleagues are:</w:t>
      </w:r>
    </w:p>
    <w:p w14:paraId="1E23B641" w14:textId="0B9A94B6" w:rsidR="001953DF" w:rsidRPr="00F32937" w:rsidRDefault="001953DF" w:rsidP="001953DF">
      <w:pPr>
        <w:pStyle w:val="ListParagraph"/>
        <w:numPr>
          <w:ilvl w:val="1"/>
          <w:numId w:val="3"/>
        </w:numPr>
        <w:rPr>
          <w:rFonts w:asciiTheme="minorHAnsi" w:hAnsiTheme="minorHAnsi"/>
        </w:rPr>
      </w:pPr>
      <w:r w:rsidRPr="00F32937">
        <w:rPr>
          <w:rFonts w:asciiTheme="minorHAnsi" w:hAnsiTheme="minorHAnsi"/>
        </w:rPr>
        <w:t>A long-standing illness or health condition, e.g. Cancer (19.3% of all disabilities)</w:t>
      </w:r>
    </w:p>
    <w:p w14:paraId="5B13A09F" w14:textId="7A673D12" w:rsidR="001953DF" w:rsidRPr="00F32937" w:rsidRDefault="001953DF" w:rsidP="001953DF">
      <w:pPr>
        <w:pStyle w:val="ListParagraph"/>
        <w:numPr>
          <w:ilvl w:val="1"/>
          <w:numId w:val="3"/>
        </w:numPr>
        <w:rPr>
          <w:rFonts w:asciiTheme="minorHAnsi" w:hAnsiTheme="minorHAnsi"/>
        </w:rPr>
      </w:pPr>
      <w:r w:rsidRPr="00F32937">
        <w:rPr>
          <w:rFonts w:asciiTheme="minorHAnsi" w:hAnsiTheme="minorHAnsi"/>
        </w:rPr>
        <w:lastRenderedPageBreak/>
        <w:t>A mental health condition, e.g. Depression or Schizophrenia (14.</w:t>
      </w:r>
      <w:r w:rsidR="00761612" w:rsidRPr="00F32937">
        <w:rPr>
          <w:rFonts w:asciiTheme="minorHAnsi" w:hAnsiTheme="minorHAnsi"/>
        </w:rPr>
        <w:t>7</w:t>
      </w:r>
      <w:r w:rsidRPr="00F32937">
        <w:rPr>
          <w:rFonts w:asciiTheme="minorHAnsi" w:hAnsiTheme="minorHAnsi"/>
        </w:rPr>
        <w:t>% of all disabilities)</w:t>
      </w:r>
    </w:p>
    <w:p w14:paraId="1B05D8C5" w14:textId="659ECB2E" w:rsidR="001953DF" w:rsidRPr="00F32937" w:rsidRDefault="001953DF" w:rsidP="001953DF">
      <w:pPr>
        <w:pStyle w:val="ListParagraph"/>
        <w:numPr>
          <w:ilvl w:val="1"/>
          <w:numId w:val="3"/>
        </w:numPr>
        <w:rPr>
          <w:rFonts w:asciiTheme="minorHAnsi" w:hAnsiTheme="minorHAnsi"/>
        </w:rPr>
      </w:pPr>
      <w:r w:rsidRPr="00F32937">
        <w:rPr>
          <w:rFonts w:asciiTheme="minorHAnsi" w:hAnsiTheme="minorHAnsi"/>
        </w:rPr>
        <w:t>A specific learning difficulty, e.g. Dyslexia or Dyspraxia (14.3% of all disabilities)</w:t>
      </w:r>
    </w:p>
    <w:p w14:paraId="4A59AB59" w14:textId="77777777" w:rsidR="001953DF" w:rsidRDefault="001953DF" w:rsidP="001953DF">
      <w:pPr>
        <w:rPr>
          <w:rFonts w:asciiTheme="minorHAnsi" w:hAnsiTheme="minorHAnsi"/>
          <w:b/>
          <w:bCs/>
        </w:rPr>
      </w:pPr>
    </w:p>
    <w:p w14:paraId="0D427573" w14:textId="77777777" w:rsidR="00E7421E" w:rsidRPr="00F32937" w:rsidRDefault="00E7421E" w:rsidP="001953DF">
      <w:pPr>
        <w:rPr>
          <w:rFonts w:asciiTheme="minorHAnsi" w:hAnsiTheme="minorHAnsi"/>
          <w:b/>
          <w:bCs/>
        </w:rPr>
      </w:pPr>
    </w:p>
    <w:p w14:paraId="6D0F4E7F" w14:textId="77777777" w:rsidR="001953DF" w:rsidRPr="00F32937" w:rsidRDefault="001953DF" w:rsidP="001953DF">
      <w:pPr>
        <w:rPr>
          <w:rFonts w:asciiTheme="minorHAnsi" w:hAnsiTheme="minorHAnsi"/>
          <w:b/>
          <w:bCs/>
        </w:rPr>
      </w:pPr>
      <w:r w:rsidRPr="00F32937">
        <w:rPr>
          <w:rFonts w:asciiTheme="minorHAnsi" w:hAnsiTheme="minorHAnsi"/>
          <w:b/>
          <w:bCs/>
        </w:rPr>
        <w:t>Ethnicity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281"/>
      </w:tblGrid>
      <w:tr w:rsidR="001953DF" w:rsidRPr="00F32937" w14:paraId="20EC3595" w14:textId="77777777" w:rsidTr="00977F9E">
        <w:trPr>
          <w:trHeight w:val="262"/>
        </w:trPr>
        <w:tc>
          <w:tcPr>
            <w:tcW w:w="2324" w:type="dxa"/>
          </w:tcPr>
          <w:p w14:paraId="7F433DD1" w14:textId="77777777" w:rsidR="001953DF" w:rsidRPr="00F32937" w:rsidRDefault="001953DF" w:rsidP="00BD0165">
            <w:pPr>
              <w:jc w:val="center"/>
              <w:rPr>
                <w:rFonts w:asciiTheme="minorHAnsi" w:hAnsiTheme="minorHAnsi"/>
                <w:b/>
                <w:bCs/>
              </w:rPr>
            </w:pPr>
            <w:r w:rsidRPr="00F32937">
              <w:rPr>
                <w:rFonts w:asciiTheme="minorHAnsi" w:hAnsiTheme="minorHAnsi"/>
                <w:b/>
                <w:bCs/>
              </w:rPr>
              <w:t>Ethnicity</w:t>
            </w:r>
          </w:p>
        </w:tc>
        <w:tc>
          <w:tcPr>
            <w:tcW w:w="1281" w:type="dxa"/>
          </w:tcPr>
          <w:p w14:paraId="51A7797B" w14:textId="77777777" w:rsidR="001953DF" w:rsidRPr="00F32937" w:rsidRDefault="001953DF" w:rsidP="00BD0165">
            <w:pPr>
              <w:jc w:val="center"/>
              <w:rPr>
                <w:rFonts w:asciiTheme="minorHAnsi" w:hAnsiTheme="minorHAnsi"/>
                <w:b/>
                <w:bCs/>
              </w:rPr>
            </w:pPr>
            <w:r w:rsidRPr="00F32937">
              <w:rPr>
                <w:rFonts w:asciiTheme="minorHAnsi" w:hAnsiTheme="minorHAnsi"/>
                <w:b/>
                <w:bCs/>
              </w:rPr>
              <w:t>%</w:t>
            </w:r>
          </w:p>
        </w:tc>
      </w:tr>
      <w:tr w:rsidR="00F56F4B" w:rsidRPr="00F32937" w14:paraId="55C49A94" w14:textId="77777777" w:rsidTr="00977F9E">
        <w:trPr>
          <w:trHeight w:val="262"/>
        </w:trPr>
        <w:tc>
          <w:tcPr>
            <w:tcW w:w="2324" w:type="dxa"/>
          </w:tcPr>
          <w:p w14:paraId="68C26AA1" w14:textId="795DF57F" w:rsidR="00F56F4B" w:rsidRPr="00F32937" w:rsidRDefault="00F56F4B" w:rsidP="00F56F4B">
            <w:pPr>
              <w:rPr>
                <w:rFonts w:asciiTheme="minorHAnsi" w:hAnsiTheme="minorHAnsi"/>
              </w:rPr>
            </w:pPr>
            <w:r w:rsidRPr="00F32937">
              <w:rPr>
                <w:rFonts w:asciiTheme="minorHAnsi" w:hAnsiTheme="minorHAnsi"/>
              </w:rPr>
              <w:t xml:space="preserve">Minoritised Ethnic </w:t>
            </w:r>
          </w:p>
        </w:tc>
        <w:tc>
          <w:tcPr>
            <w:tcW w:w="1281" w:type="dxa"/>
          </w:tcPr>
          <w:p w14:paraId="05818B2B" w14:textId="24A000E0" w:rsidR="00F56F4B" w:rsidRPr="00F32937" w:rsidRDefault="00F56F4B" w:rsidP="00F56F4B">
            <w:pPr>
              <w:jc w:val="right"/>
              <w:rPr>
                <w:rFonts w:asciiTheme="minorHAnsi" w:hAnsiTheme="minorHAnsi"/>
              </w:rPr>
            </w:pPr>
            <w:r w:rsidRPr="00F32937">
              <w:rPr>
                <w:rFonts w:asciiTheme="minorHAnsi" w:hAnsiTheme="minorHAnsi"/>
              </w:rPr>
              <w:t>13.4%</w:t>
            </w:r>
          </w:p>
        </w:tc>
      </w:tr>
      <w:tr w:rsidR="00F56F4B" w:rsidRPr="00F32937" w14:paraId="79752DBD" w14:textId="77777777" w:rsidTr="00977F9E">
        <w:trPr>
          <w:trHeight w:val="262"/>
        </w:trPr>
        <w:tc>
          <w:tcPr>
            <w:tcW w:w="2324" w:type="dxa"/>
          </w:tcPr>
          <w:p w14:paraId="531A4622" w14:textId="313E85D5" w:rsidR="00F56F4B" w:rsidRPr="00F32937" w:rsidRDefault="00F56F4B" w:rsidP="00F56F4B">
            <w:pPr>
              <w:rPr>
                <w:rFonts w:asciiTheme="minorHAnsi" w:hAnsiTheme="minorHAnsi"/>
              </w:rPr>
            </w:pPr>
            <w:r w:rsidRPr="00F32937">
              <w:rPr>
                <w:rFonts w:asciiTheme="minorHAnsi" w:hAnsiTheme="minorHAnsi"/>
              </w:rPr>
              <w:t>White</w:t>
            </w:r>
          </w:p>
        </w:tc>
        <w:tc>
          <w:tcPr>
            <w:tcW w:w="1281" w:type="dxa"/>
          </w:tcPr>
          <w:p w14:paraId="32015DB8" w14:textId="286BE73B" w:rsidR="00F56F4B" w:rsidRPr="00F32937" w:rsidRDefault="00F56F4B" w:rsidP="00F56F4B">
            <w:pPr>
              <w:jc w:val="right"/>
              <w:rPr>
                <w:rFonts w:asciiTheme="minorHAnsi" w:hAnsiTheme="minorHAnsi"/>
              </w:rPr>
            </w:pPr>
            <w:r w:rsidRPr="00F32937">
              <w:rPr>
                <w:rFonts w:asciiTheme="minorHAnsi" w:hAnsiTheme="minorHAnsi"/>
              </w:rPr>
              <w:t>80.7%</w:t>
            </w:r>
          </w:p>
        </w:tc>
      </w:tr>
      <w:tr w:rsidR="00F56F4B" w:rsidRPr="00F32937" w14:paraId="5D0BCA86" w14:textId="77777777" w:rsidTr="00977F9E">
        <w:trPr>
          <w:trHeight w:val="248"/>
        </w:trPr>
        <w:tc>
          <w:tcPr>
            <w:tcW w:w="2324" w:type="dxa"/>
          </w:tcPr>
          <w:p w14:paraId="1F6899F5" w14:textId="77777777" w:rsidR="00F56F4B" w:rsidRPr="00F32937" w:rsidRDefault="00F56F4B" w:rsidP="00F56F4B">
            <w:pPr>
              <w:rPr>
                <w:rFonts w:asciiTheme="minorHAnsi" w:hAnsiTheme="minorHAnsi"/>
              </w:rPr>
            </w:pPr>
            <w:r w:rsidRPr="00F32937">
              <w:rPr>
                <w:rFonts w:asciiTheme="minorHAnsi" w:hAnsiTheme="minorHAnsi"/>
              </w:rPr>
              <w:t>Prefer not to say</w:t>
            </w:r>
          </w:p>
        </w:tc>
        <w:tc>
          <w:tcPr>
            <w:tcW w:w="1281" w:type="dxa"/>
          </w:tcPr>
          <w:p w14:paraId="0AE70DDF" w14:textId="0D277E3B" w:rsidR="00F56F4B" w:rsidRPr="00F32937" w:rsidRDefault="00F56F4B" w:rsidP="00F56F4B">
            <w:pPr>
              <w:jc w:val="right"/>
              <w:rPr>
                <w:rFonts w:asciiTheme="minorHAnsi" w:hAnsiTheme="minorHAnsi"/>
              </w:rPr>
            </w:pPr>
            <w:r w:rsidRPr="00F32937">
              <w:rPr>
                <w:rFonts w:asciiTheme="minorHAnsi" w:hAnsiTheme="minorHAnsi"/>
              </w:rPr>
              <w:t>5.9%</w:t>
            </w:r>
          </w:p>
        </w:tc>
      </w:tr>
    </w:tbl>
    <w:p w14:paraId="28655E75" w14:textId="77777777" w:rsidR="001953DF" w:rsidRPr="00F32937" w:rsidRDefault="001953DF" w:rsidP="00631972">
      <w:pPr>
        <w:spacing w:after="0"/>
        <w:rPr>
          <w:rFonts w:asciiTheme="minorHAnsi" w:hAnsiTheme="minorHAnsi"/>
        </w:rPr>
      </w:pPr>
    </w:p>
    <w:p w14:paraId="2536E5F7" w14:textId="1C4B140D" w:rsidR="001953DF" w:rsidRPr="00F32937" w:rsidRDefault="001953DF" w:rsidP="001953DF">
      <w:pPr>
        <w:pStyle w:val="ListParagraph"/>
        <w:numPr>
          <w:ilvl w:val="0"/>
          <w:numId w:val="3"/>
        </w:numPr>
        <w:rPr>
          <w:rFonts w:asciiTheme="minorHAnsi" w:hAnsiTheme="minorHAnsi"/>
        </w:rPr>
      </w:pPr>
      <w:r w:rsidRPr="00F32937">
        <w:rPr>
          <w:rFonts w:asciiTheme="minorHAnsi" w:hAnsiTheme="minorHAnsi"/>
        </w:rPr>
        <w:t>21.5% of academic colleagues are from a minoritised ethnic background, a 7.3%-point increase since 2019</w:t>
      </w:r>
    </w:p>
    <w:p w14:paraId="65250512" w14:textId="0EC0FA32" w:rsidR="00693DEE" w:rsidRPr="00693DEE" w:rsidRDefault="001953DF" w:rsidP="00693DEE">
      <w:pPr>
        <w:pStyle w:val="ListParagraph"/>
        <w:numPr>
          <w:ilvl w:val="0"/>
          <w:numId w:val="3"/>
        </w:numPr>
        <w:rPr>
          <w:rFonts w:asciiTheme="minorHAnsi" w:hAnsiTheme="minorHAnsi"/>
        </w:rPr>
      </w:pPr>
      <w:r w:rsidRPr="00F32937">
        <w:rPr>
          <w:rFonts w:asciiTheme="minorHAnsi" w:hAnsiTheme="minorHAnsi"/>
        </w:rPr>
        <w:t>6.6% of PS colleagues are from a minoritised ethnic background, a 2.5%-point increase since 2019</w:t>
      </w:r>
    </w:p>
    <w:p w14:paraId="03BB10DD" w14:textId="08616F6B" w:rsidR="00935976" w:rsidRDefault="00935976" w:rsidP="00935976">
      <w:pPr>
        <w:rPr>
          <w:rFonts w:asciiTheme="minorHAnsi" w:hAnsiTheme="minorHAnsi"/>
          <w:color w:val="FF0000"/>
        </w:rPr>
      </w:pPr>
    </w:p>
    <w:p w14:paraId="2B557B68" w14:textId="77777777" w:rsidR="00E7421E" w:rsidRPr="00F32937" w:rsidRDefault="00E7421E" w:rsidP="00935976">
      <w:pPr>
        <w:rPr>
          <w:rFonts w:asciiTheme="minorHAnsi" w:hAnsiTheme="minorHAnsi"/>
          <w:color w:val="FF0000"/>
        </w:rPr>
      </w:pPr>
    </w:p>
    <w:p w14:paraId="3AB179B2" w14:textId="40B69C81" w:rsidR="00194203" w:rsidRPr="00F32937" w:rsidRDefault="00194203" w:rsidP="00935976">
      <w:pPr>
        <w:rPr>
          <w:rFonts w:asciiTheme="minorHAnsi" w:hAnsiTheme="minorHAnsi"/>
          <w:b/>
          <w:bCs/>
        </w:rPr>
      </w:pPr>
      <w:r w:rsidRPr="00F32937">
        <w:rPr>
          <w:rFonts w:asciiTheme="minorHAnsi" w:hAnsiTheme="minorHAnsi"/>
          <w:b/>
          <w:bCs/>
        </w:rPr>
        <w:t>Family Leave</w:t>
      </w:r>
    </w:p>
    <w:p w14:paraId="707CEC8F" w14:textId="3CAD13AA" w:rsidR="00194203" w:rsidRPr="00F32937" w:rsidRDefault="00194203" w:rsidP="00194203">
      <w:pPr>
        <w:pStyle w:val="ListParagraph"/>
        <w:numPr>
          <w:ilvl w:val="0"/>
          <w:numId w:val="9"/>
        </w:numPr>
        <w:rPr>
          <w:rFonts w:asciiTheme="minorHAnsi" w:hAnsiTheme="minorHAnsi"/>
        </w:rPr>
      </w:pPr>
      <w:r w:rsidRPr="00F32937">
        <w:rPr>
          <w:rFonts w:asciiTheme="minorHAnsi" w:hAnsiTheme="minorHAnsi"/>
        </w:rPr>
        <w:t xml:space="preserve">170 </w:t>
      </w:r>
      <w:r w:rsidR="000E5BC8" w:rsidRPr="00F32937">
        <w:rPr>
          <w:rFonts w:asciiTheme="minorHAnsi" w:hAnsiTheme="minorHAnsi"/>
        </w:rPr>
        <w:t xml:space="preserve">colleagues took maternity leave with an average duration of </w:t>
      </w:r>
      <w:r w:rsidR="00E3318F" w:rsidRPr="00F32937">
        <w:rPr>
          <w:rFonts w:asciiTheme="minorHAnsi" w:hAnsiTheme="minorHAnsi"/>
        </w:rPr>
        <w:t>40.3 weeks</w:t>
      </w:r>
    </w:p>
    <w:p w14:paraId="423B3B03" w14:textId="3B5044A9" w:rsidR="00E3318F" w:rsidRPr="00F32937" w:rsidRDefault="00AD0348" w:rsidP="00E3318F">
      <w:pPr>
        <w:pStyle w:val="ListParagraph"/>
        <w:numPr>
          <w:ilvl w:val="1"/>
          <w:numId w:val="9"/>
        </w:numPr>
        <w:rPr>
          <w:rFonts w:asciiTheme="minorHAnsi" w:hAnsiTheme="minorHAnsi"/>
        </w:rPr>
      </w:pPr>
      <w:r w:rsidRPr="00F32937">
        <w:rPr>
          <w:rFonts w:asciiTheme="minorHAnsi" w:hAnsiTheme="minorHAnsi"/>
        </w:rPr>
        <w:t>For academic</w:t>
      </w:r>
      <w:r w:rsidR="00452414">
        <w:rPr>
          <w:rFonts w:asciiTheme="minorHAnsi" w:hAnsiTheme="minorHAnsi"/>
        </w:rPr>
        <w:t xml:space="preserve"> and research</w:t>
      </w:r>
      <w:r w:rsidRPr="00F32937">
        <w:rPr>
          <w:rFonts w:asciiTheme="minorHAnsi" w:hAnsiTheme="minorHAnsi"/>
        </w:rPr>
        <w:t xml:space="preserve"> colleagues, the average duration was 37.3 weeks</w:t>
      </w:r>
    </w:p>
    <w:p w14:paraId="4829F8EB" w14:textId="5E9F1FC5" w:rsidR="00AD0348" w:rsidRPr="00F32937" w:rsidRDefault="00AD0348" w:rsidP="00E3318F">
      <w:pPr>
        <w:pStyle w:val="ListParagraph"/>
        <w:numPr>
          <w:ilvl w:val="1"/>
          <w:numId w:val="9"/>
        </w:numPr>
        <w:rPr>
          <w:rFonts w:asciiTheme="minorHAnsi" w:hAnsiTheme="minorHAnsi"/>
        </w:rPr>
      </w:pPr>
      <w:r w:rsidRPr="00F32937">
        <w:rPr>
          <w:rFonts w:asciiTheme="minorHAnsi" w:hAnsiTheme="minorHAnsi"/>
        </w:rPr>
        <w:t>For PS colleagues, the average duration was 42.2 weeks</w:t>
      </w:r>
    </w:p>
    <w:p w14:paraId="2D1C1709" w14:textId="09B88453" w:rsidR="00AD0348" w:rsidRPr="00F32937" w:rsidRDefault="00541FBF" w:rsidP="00AD0348">
      <w:pPr>
        <w:pStyle w:val="ListParagraph"/>
        <w:numPr>
          <w:ilvl w:val="0"/>
          <w:numId w:val="9"/>
        </w:numPr>
        <w:rPr>
          <w:rFonts w:asciiTheme="minorHAnsi" w:hAnsiTheme="minorHAnsi"/>
        </w:rPr>
      </w:pPr>
      <w:r w:rsidRPr="00F32937">
        <w:rPr>
          <w:rFonts w:asciiTheme="minorHAnsi" w:hAnsiTheme="minorHAnsi"/>
        </w:rPr>
        <w:t>63</w:t>
      </w:r>
      <w:r w:rsidR="006233CC" w:rsidRPr="00F32937">
        <w:rPr>
          <w:rFonts w:asciiTheme="minorHAnsi" w:hAnsiTheme="minorHAnsi"/>
        </w:rPr>
        <w:t xml:space="preserve"> colleagues took paternity leave with an average duration of 3.3 weeks</w:t>
      </w:r>
    </w:p>
    <w:p w14:paraId="7A6D08E9" w14:textId="77777777" w:rsidR="001953DF" w:rsidRDefault="001953DF" w:rsidP="001953DF">
      <w:pPr>
        <w:rPr>
          <w:rFonts w:asciiTheme="minorHAnsi" w:hAnsiTheme="minorHAnsi"/>
        </w:rPr>
      </w:pPr>
    </w:p>
    <w:p w14:paraId="12869AF5" w14:textId="77777777" w:rsidR="00E7421E" w:rsidRPr="00F32937" w:rsidRDefault="00E7421E" w:rsidP="001953DF">
      <w:pPr>
        <w:rPr>
          <w:rFonts w:asciiTheme="minorHAnsi" w:hAnsiTheme="minorHAnsi"/>
        </w:rPr>
      </w:pPr>
    </w:p>
    <w:p w14:paraId="43FBC8BB" w14:textId="473D39C1" w:rsidR="001953DF" w:rsidRPr="00F32937" w:rsidRDefault="001953DF" w:rsidP="001953DF">
      <w:pPr>
        <w:rPr>
          <w:rFonts w:asciiTheme="minorHAnsi" w:hAnsiTheme="minorHAnsi"/>
          <w:b/>
          <w:bCs/>
        </w:rPr>
      </w:pPr>
      <w:r w:rsidRPr="00F32937">
        <w:rPr>
          <w:rFonts w:asciiTheme="minorHAnsi" w:hAnsiTheme="minorHAnsi"/>
          <w:b/>
          <w:bCs/>
        </w:rPr>
        <w:t xml:space="preserve">Gender </w:t>
      </w:r>
      <w:r w:rsidR="00901376">
        <w:rPr>
          <w:rFonts w:asciiTheme="minorHAnsi" w:hAnsiTheme="minorHAnsi"/>
          <w:b/>
          <w:bCs/>
        </w:rPr>
        <w:t>Reassignment (</w:t>
      </w:r>
      <w:r w:rsidRPr="00F32937">
        <w:rPr>
          <w:rFonts w:asciiTheme="minorHAnsi" w:hAnsiTheme="minorHAnsi"/>
          <w:b/>
          <w:bCs/>
        </w:rPr>
        <w:t>Affirmation</w:t>
      </w:r>
      <w:r w:rsidR="00901376">
        <w:rPr>
          <w:rFonts w:asciiTheme="minorHAnsi" w:hAnsiTheme="minorHAnsi"/>
          <w:b/>
          <w:bCs/>
        </w:rPr>
        <w:t>)</w:t>
      </w:r>
    </w:p>
    <w:p w14:paraId="2D5091F7" w14:textId="031F692D" w:rsidR="001953DF" w:rsidRPr="00F32937" w:rsidRDefault="5D307582" w:rsidP="001953DF">
      <w:pPr>
        <w:pStyle w:val="ListParagraph"/>
        <w:numPr>
          <w:ilvl w:val="0"/>
          <w:numId w:val="4"/>
        </w:numPr>
        <w:rPr>
          <w:rFonts w:asciiTheme="minorHAnsi" w:hAnsiTheme="minorHAnsi"/>
        </w:rPr>
      </w:pPr>
      <w:r w:rsidRPr="00F32937">
        <w:rPr>
          <w:rFonts w:asciiTheme="minorHAnsi" w:hAnsiTheme="minorHAnsi"/>
        </w:rPr>
        <w:t>0.3% of our colleagues shared that their gender identity is different from the sex registered at their birth</w:t>
      </w:r>
      <w:r w:rsidR="00A017E5" w:rsidRPr="00F32937">
        <w:rPr>
          <w:rFonts w:asciiTheme="minorHAnsi" w:hAnsiTheme="minorHAnsi"/>
        </w:rPr>
        <w:t>, an increase of 0.1%-point in comparison to 2024</w:t>
      </w:r>
    </w:p>
    <w:p w14:paraId="06FC7704" w14:textId="77777777" w:rsidR="001953DF" w:rsidRDefault="001953DF" w:rsidP="001953DF">
      <w:pPr>
        <w:rPr>
          <w:rFonts w:asciiTheme="minorHAnsi" w:hAnsiTheme="minorHAnsi"/>
        </w:rPr>
      </w:pPr>
    </w:p>
    <w:p w14:paraId="227D7460" w14:textId="77777777" w:rsidR="00E7421E" w:rsidRPr="00F32937" w:rsidRDefault="00E7421E" w:rsidP="001953DF">
      <w:pPr>
        <w:rPr>
          <w:rFonts w:asciiTheme="minorHAnsi" w:hAnsiTheme="minorHAnsi"/>
        </w:rPr>
      </w:pPr>
    </w:p>
    <w:p w14:paraId="1E6E9678" w14:textId="77777777" w:rsidR="001953DF" w:rsidRDefault="001953DF" w:rsidP="001953DF">
      <w:pPr>
        <w:rPr>
          <w:rFonts w:asciiTheme="minorHAnsi" w:hAnsiTheme="minorHAnsi"/>
          <w:b/>
          <w:bCs/>
        </w:rPr>
      </w:pPr>
      <w:r w:rsidRPr="00F32937">
        <w:rPr>
          <w:rFonts w:asciiTheme="minorHAnsi" w:hAnsiTheme="minorHAnsi"/>
          <w:b/>
          <w:bCs/>
        </w:rPr>
        <w:t>Marital Status</w:t>
      </w:r>
    </w:p>
    <w:p w14:paraId="27162148" w14:textId="66401490" w:rsidR="00AA1446" w:rsidRPr="00435122" w:rsidRDefault="00435122" w:rsidP="00435122">
      <w:pPr>
        <w:pStyle w:val="ListParagraph"/>
        <w:numPr>
          <w:ilvl w:val="0"/>
          <w:numId w:val="4"/>
        </w:numPr>
        <w:rPr>
          <w:rFonts w:asciiTheme="minorHAnsi" w:hAnsiTheme="minorHAnsi"/>
        </w:rPr>
      </w:pPr>
      <w:r w:rsidRPr="00435122">
        <w:rPr>
          <w:rFonts w:asciiTheme="minorHAnsi" w:hAnsiTheme="minorHAnsi"/>
        </w:rPr>
        <w:t>23.9% of our colleagues shared that they are either married or in a Civil Partnership</w:t>
      </w:r>
      <w:r w:rsidR="00CF3E50">
        <w:rPr>
          <w:rFonts w:asciiTheme="minorHAnsi" w:hAnsiTheme="minorHAnsi"/>
        </w:rPr>
        <w:t xml:space="preserve"> and 22.6% shared that they are single</w:t>
      </w:r>
    </w:p>
    <w:p w14:paraId="76E63B87" w14:textId="4110108D" w:rsidR="001953DF" w:rsidRDefault="001953DF" w:rsidP="001953DF">
      <w:pPr>
        <w:pStyle w:val="ListParagraph"/>
        <w:numPr>
          <w:ilvl w:val="0"/>
          <w:numId w:val="4"/>
        </w:numPr>
        <w:rPr>
          <w:rFonts w:asciiTheme="minorHAnsi" w:hAnsiTheme="minorHAnsi"/>
        </w:rPr>
      </w:pPr>
      <w:r w:rsidRPr="00F32937">
        <w:rPr>
          <w:rFonts w:asciiTheme="minorHAnsi" w:hAnsiTheme="minorHAnsi"/>
        </w:rPr>
        <w:t>The data sharing rate for marital status is 47.9%</w:t>
      </w:r>
      <w:r w:rsidR="00920F93" w:rsidRPr="00F32937">
        <w:rPr>
          <w:rFonts w:asciiTheme="minorHAnsi" w:hAnsiTheme="minorHAnsi"/>
        </w:rPr>
        <w:t>, an increase of 1.2%-points in comparison to 2024</w:t>
      </w:r>
    </w:p>
    <w:p w14:paraId="79869A95" w14:textId="77777777" w:rsidR="001953DF" w:rsidRPr="00F32937" w:rsidRDefault="001953DF" w:rsidP="001953DF">
      <w:pPr>
        <w:rPr>
          <w:rFonts w:asciiTheme="minorHAnsi" w:hAnsiTheme="minorHAnsi"/>
        </w:rPr>
      </w:pPr>
    </w:p>
    <w:p w14:paraId="3BE53FBD" w14:textId="77777777" w:rsidR="001953DF" w:rsidRPr="00F32937" w:rsidRDefault="001953DF" w:rsidP="001953DF">
      <w:pPr>
        <w:rPr>
          <w:rFonts w:asciiTheme="minorHAnsi" w:hAnsiTheme="minorHAnsi"/>
          <w:b/>
          <w:bCs/>
        </w:rPr>
      </w:pPr>
      <w:r w:rsidRPr="00F32937">
        <w:rPr>
          <w:rFonts w:asciiTheme="minorHAnsi" w:hAnsiTheme="minorHAnsi"/>
          <w:b/>
          <w:bCs/>
        </w:rPr>
        <w:lastRenderedPageBreak/>
        <w:t>Nationality</w:t>
      </w:r>
    </w:p>
    <w:p w14:paraId="64CB0801" w14:textId="77777777" w:rsidR="001953DF" w:rsidRPr="00F32937" w:rsidRDefault="001953DF" w:rsidP="001953DF">
      <w:pPr>
        <w:pStyle w:val="ListParagraph"/>
        <w:numPr>
          <w:ilvl w:val="0"/>
          <w:numId w:val="5"/>
        </w:numPr>
        <w:rPr>
          <w:rFonts w:asciiTheme="minorHAnsi" w:hAnsiTheme="minorHAnsi"/>
        </w:rPr>
      </w:pPr>
      <w:r w:rsidRPr="00F32937">
        <w:rPr>
          <w:rFonts w:asciiTheme="minorHAnsi" w:hAnsiTheme="minorHAnsi"/>
        </w:rPr>
        <w:t xml:space="preserve">19.2% (n = 1,200) of colleagues have a nationality other than ‘British’, representing 95 different international nationalities </w:t>
      </w:r>
    </w:p>
    <w:p w14:paraId="5BFF001A" w14:textId="77777777" w:rsidR="001953DF" w:rsidRPr="00F32937" w:rsidRDefault="001953DF" w:rsidP="001953DF">
      <w:pPr>
        <w:pStyle w:val="ListParagraph"/>
        <w:numPr>
          <w:ilvl w:val="0"/>
          <w:numId w:val="5"/>
        </w:numPr>
        <w:rPr>
          <w:rFonts w:asciiTheme="minorHAnsi" w:hAnsiTheme="minorHAnsi"/>
        </w:rPr>
      </w:pPr>
      <w:r w:rsidRPr="00F32937">
        <w:rPr>
          <w:rFonts w:asciiTheme="minorHAnsi" w:hAnsiTheme="minorHAnsi"/>
        </w:rPr>
        <w:t>The top 3 most-represented international nationalities are:</w:t>
      </w:r>
    </w:p>
    <w:p w14:paraId="60B3DB4E" w14:textId="77777777" w:rsidR="001953DF" w:rsidRPr="00F32937" w:rsidRDefault="001953DF" w:rsidP="001953DF">
      <w:pPr>
        <w:pStyle w:val="ListParagraph"/>
        <w:numPr>
          <w:ilvl w:val="1"/>
          <w:numId w:val="5"/>
        </w:numPr>
        <w:rPr>
          <w:rFonts w:asciiTheme="minorHAnsi" w:hAnsiTheme="minorHAnsi"/>
        </w:rPr>
      </w:pPr>
      <w:r w:rsidRPr="00F32937">
        <w:rPr>
          <w:rFonts w:asciiTheme="minorHAnsi" w:hAnsiTheme="minorHAnsi"/>
        </w:rPr>
        <w:t>Chinese (2.4%)</w:t>
      </w:r>
    </w:p>
    <w:p w14:paraId="6EF134D2" w14:textId="0DA7E297" w:rsidR="001953DF" w:rsidRPr="00F32937" w:rsidRDefault="001953DF" w:rsidP="001953DF">
      <w:pPr>
        <w:pStyle w:val="ListParagraph"/>
        <w:numPr>
          <w:ilvl w:val="1"/>
          <w:numId w:val="5"/>
        </w:numPr>
        <w:rPr>
          <w:rFonts w:asciiTheme="minorHAnsi" w:hAnsiTheme="minorHAnsi"/>
        </w:rPr>
      </w:pPr>
      <w:r w:rsidRPr="00F32937">
        <w:rPr>
          <w:rFonts w:asciiTheme="minorHAnsi" w:hAnsiTheme="minorHAnsi"/>
        </w:rPr>
        <w:t>Indian (1.6%)</w:t>
      </w:r>
    </w:p>
    <w:p w14:paraId="2C21C21E" w14:textId="02FF60D5" w:rsidR="00294E42" w:rsidRPr="00D368FC" w:rsidRDefault="001953DF" w:rsidP="001953DF">
      <w:pPr>
        <w:pStyle w:val="ListParagraph"/>
        <w:numPr>
          <w:ilvl w:val="1"/>
          <w:numId w:val="5"/>
        </w:numPr>
        <w:rPr>
          <w:rFonts w:asciiTheme="minorHAnsi" w:hAnsiTheme="minorHAnsi"/>
        </w:rPr>
      </w:pPr>
      <w:r w:rsidRPr="00F32937">
        <w:rPr>
          <w:rFonts w:asciiTheme="minorHAnsi" w:hAnsiTheme="minorHAnsi"/>
        </w:rPr>
        <w:t>German (1.2%)</w:t>
      </w:r>
    </w:p>
    <w:p w14:paraId="51648650" w14:textId="77777777" w:rsidR="00294E42" w:rsidRDefault="00294E42" w:rsidP="001953DF">
      <w:pPr>
        <w:rPr>
          <w:rFonts w:asciiTheme="minorHAnsi" w:hAnsiTheme="minorHAnsi"/>
        </w:rPr>
      </w:pPr>
    </w:p>
    <w:p w14:paraId="3C13B56E" w14:textId="77777777" w:rsidR="00E7421E" w:rsidRPr="00F32937" w:rsidRDefault="00E7421E" w:rsidP="001953DF">
      <w:pPr>
        <w:rPr>
          <w:rFonts w:asciiTheme="minorHAnsi" w:hAnsiTheme="minorHAnsi"/>
        </w:rPr>
      </w:pPr>
    </w:p>
    <w:p w14:paraId="79A75C2B" w14:textId="595C7BBE" w:rsidR="001953DF" w:rsidRPr="00F32937" w:rsidRDefault="001953DF" w:rsidP="001953DF">
      <w:pPr>
        <w:rPr>
          <w:rFonts w:asciiTheme="minorHAnsi" w:hAnsiTheme="minorHAnsi"/>
          <w:b/>
          <w:bCs/>
        </w:rPr>
      </w:pPr>
      <w:r w:rsidRPr="00F32937">
        <w:rPr>
          <w:rFonts w:asciiTheme="minorHAnsi" w:hAnsiTheme="minorHAnsi"/>
          <w:b/>
          <w:bCs/>
        </w:rPr>
        <w:t>Religion</w:t>
      </w:r>
      <w:r w:rsidR="00C83D52">
        <w:rPr>
          <w:rFonts w:asciiTheme="minorHAnsi" w:hAnsiTheme="minorHAnsi"/>
          <w:b/>
          <w:bCs/>
        </w:rPr>
        <w:t xml:space="preserve"> &amp; Belief</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281"/>
      </w:tblGrid>
      <w:tr w:rsidR="006A5476" w:rsidRPr="00F32937" w14:paraId="6E23257E" w14:textId="77777777" w:rsidTr="00977F9E">
        <w:trPr>
          <w:trHeight w:val="248"/>
        </w:trPr>
        <w:tc>
          <w:tcPr>
            <w:tcW w:w="2324" w:type="dxa"/>
            <w:shd w:val="clear" w:color="auto" w:fill="FFFFFF" w:themeFill="background1"/>
          </w:tcPr>
          <w:p w14:paraId="1571258C" w14:textId="386D49AA" w:rsidR="006A5476" w:rsidRPr="006A5476" w:rsidRDefault="006A5476" w:rsidP="006A5476">
            <w:pPr>
              <w:jc w:val="center"/>
              <w:rPr>
                <w:rFonts w:asciiTheme="minorHAnsi" w:hAnsiTheme="minorHAnsi"/>
                <w:b/>
                <w:bCs/>
              </w:rPr>
            </w:pPr>
            <w:r w:rsidRPr="006A5476">
              <w:rPr>
                <w:rFonts w:asciiTheme="minorHAnsi" w:hAnsiTheme="minorHAnsi"/>
                <w:b/>
                <w:bCs/>
              </w:rPr>
              <w:t>Religion or Belief</w:t>
            </w:r>
          </w:p>
        </w:tc>
        <w:tc>
          <w:tcPr>
            <w:tcW w:w="1281" w:type="dxa"/>
            <w:shd w:val="clear" w:color="auto" w:fill="FFFFFF" w:themeFill="background1"/>
          </w:tcPr>
          <w:p w14:paraId="30BA1778" w14:textId="5886478F" w:rsidR="006A5476" w:rsidRPr="006A5476" w:rsidRDefault="006A5476" w:rsidP="006A5476">
            <w:pPr>
              <w:jc w:val="center"/>
              <w:rPr>
                <w:rFonts w:asciiTheme="minorHAnsi" w:hAnsiTheme="minorHAnsi"/>
                <w:b/>
                <w:bCs/>
              </w:rPr>
            </w:pPr>
            <w:r>
              <w:rPr>
                <w:rFonts w:asciiTheme="minorHAnsi" w:hAnsiTheme="minorHAnsi"/>
                <w:b/>
                <w:bCs/>
              </w:rPr>
              <w:t>%</w:t>
            </w:r>
          </w:p>
        </w:tc>
      </w:tr>
      <w:tr w:rsidR="001953DF" w:rsidRPr="00F32937" w14:paraId="7DFB975D" w14:textId="77777777" w:rsidTr="00977F9E">
        <w:trPr>
          <w:trHeight w:val="248"/>
        </w:trPr>
        <w:tc>
          <w:tcPr>
            <w:tcW w:w="2324" w:type="dxa"/>
            <w:shd w:val="clear" w:color="auto" w:fill="FFFFFF" w:themeFill="background1"/>
          </w:tcPr>
          <w:p w14:paraId="0E410E86" w14:textId="0DD21E32" w:rsidR="001953DF" w:rsidRPr="00F32937" w:rsidRDefault="00F7122A" w:rsidP="00BD0165">
            <w:pPr>
              <w:rPr>
                <w:rFonts w:asciiTheme="minorHAnsi" w:hAnsiTheme="minorHAnsi"/>
              </w:rPr>
            </w:pPr>
            <w:r>
              <w:rPr>
                <w:rFonts w:asciiTheme="minorHAnsi" w:hAnsiTheme="minorHAnsi"/>
              </w:rPr>
              <w:t>Religion</w:t>
            </w:r>
          </w:p>
        </w:tc>
        <w:tc>
          <w:tcPr>
            <w:tcW w:w="1281" w:type="dxa"/>
            <w:shd w:val="clear" w:color="auto" w:fill="FFFFFF" w:themeFill="background1"/>
          </w:tcPr>
          <w:p w14:paraId="70D6DD7A" w14:textId="571C840A" w:rsidR="001953DF" w:rsidRPr="00F32937" w:rsidRDefault="00F7122A" w:rsidP="00BD0165">
            <w:pPr>
              <w:jc w:val="right"/>
              <w:rPr>
                <w:rFonts w:asciiTheme="minorHAnsi" w:hAnsiTheme="minorHAnsi"/>
              </w:rPr>
            </w:pPr>
            <w:r>
              <w:rPr>
                <w:rFonts w:asciiTheme="minorHAnsi" w:hAnsiTheme="minorHAnsi"/>
              </w:rPr>
              <w:t>24.2%</w:t>
            </w:r>
          </w:p>
        </w:tc>
      </w:tr>
      <w:tr w:rsidR="001953DF" w:rsidRPr="00F32937" w14:paraId="7EC37CCA" w14:textId="77777777" w:rsidTr="00977F9E">
        <w:trPr>
          <w:trHeight w:val="262"/>
        </w:trPr>
        <w:tc>
          <w:tcPr>
            <w:tcW w:w="2324" w:type="dxa"/>
            <w:shd w:val="clear" w:color="auto" w:fill="FFFFFF" w:themeFill="background1"/>
          </w:tcPr>
          <w:p w14:paraId="37EAC957" w14:textId="642B62B1" w:rsidR="001953DF" w:rsidRPr="00F32937" w:rsidRDefault="00F7122A" w:rsidP="00BD0165">
            <w:pPr>
              <w:rPr>
                <w:rFonts w:asciiTheme="minorHAnsi" w:hAnsiTheme="minorHAnsi"/>
              </w:rPr>
            </w:pPr>
            <w:r>
              <w:rPr>
                <w:rFonts w:asciiTheme="minorHAnsi" w:hAnsiTheme="minorHAnsi"/>
              </w:rPr>
              <w:t>No religion</w:t>
            </w:r>
          </w:p>
        </w:tc>
        <w:tc>
          <w:tcPr>
            <w:tcW w:w="1281" w:type="dxa"/>
            <w:shd w:val="clear" w:color="auto" w:fill="FFFFFF" w:themeFill="background1"/>
          </w:tcPr>
          <w:p w14:paraId="453AE081" w14:textId="53E370F5" w:rsidR="001953DF" w:rsidRPr="00F32937" w:rsidRDefault="00F7122A" w:rsidP="00BD0165">
            <w:pPr>
              <w:jc w:val="right"/>
              <w:rPr>
                <w:rFonts w:asciiTheme="minorHAnsi" w:hAnsiTheme="minorHAnsi"/>
              </w:rPr>
            </w:pPr>
            <w:r>
              <w:rPr>
                <w:rFonts w:asciiTheme="minorHAnsi" w:hAnsiTheme="minorHAnsi"/>
              </w:rPr>
              <w:t>26.3%</w:t>
            </w:r>
          </w:p>
        </w:tc>
      </w:tr>
      <w:tr w:rsidR="001953DF" w:rsidRPr="00F32937" w14:paraId="119BA487" w14:textId="77777777" w:rsidTr="00977F9E">
        <w:trPr>
          <w:trHeight w:val="248"/>
        </w:trPr>
        <w:tc>
          <w:tcPr>
            <w:tcW w:w="2324" w:type="dxa"/>
            <w:shd w:val="clear" w:color="auto" w:fill="FFFFFF" w:themeFill="background1"/>
          </w:tcPr>
          <w:p w14:paraId="2C975FF9" w14:textId="7F0803E6" w:rsidR="001953DF" w:rsidRPr="00F32937" w:rsidRDefault="00F7122A" w:rsidP="00BD0165">
            <w:pPr>
              <w:rPr>
                <w:rFonts w:asciiTheme="minorHAnsi" w:hAnsiTheme="minorHAnsi"/>
              </w:rPr>
            </w:pPr>
            <w:r>
              <w:rPr>
                <w:rFonts w:asciiTheme="minorHAnsi" w:hAnsiTheme="minorHAnsi"/>
              </w:rPr>
              <w:t>Prefer not to say</w:t>
            </w:r>
          </w:p>
        </w:tc>
        <w:tc>
          <w:tcPr>
            <w:tcW w:w="1281" w:type="dxa"/>
            <w:shd w:val="clear" w:color="auto" w:fill="FFFFFF" w:themeFill="background1"/>
          </w:tcPr>
          <w:p w14:paraId="4649A069" w14:textId="098968D8" w:rsidR="001953DF" w:rsidRPr="00F32937" w:rsidRDefault="00F7122A" w:rsidP="00BD0165">
            <w:pPr>
              <w:jc w:val="right"/>
              <w:rPr>
                <w:rFonts w:asciiTheme="minorHAnsi" w:hAnsiTheme="minorHAnsi"/>
              </w:rPr>
            </w:pPr>
            <w:r>
              <w:rPr>
                <w:rFonts w:asciiTheme="minorHAnsi" w:hAnsiTheme="minorHAnsi"/>
              </w:rPr>
              <w:t>49.5%</w:t>
            </w:r>
          </w:p>
        </w:tc>
      </w:tr>
    </w:tbl>
    <w:p w14:paraId="1B03945B" w14:textId="77777777" w:rsidR="001953DF" w:rsidRPr="00F32937" w:rsidRDefault="001953DF" w:rsidP="00631972">
      <w:pPr>
        <w:spacing w:after="0"/>
        <w:rPr>
          <w:rFonts w:asciiTheme="minorHAnsi" w:hAnsiTheme="minorHAnsi"/>
        </w:rPr>
      </w:pPr>
    </w:p>
    <w:p w14:paraId="22A3AA48" w14:textId="4DE66144" w:rsidR="001953DF" w:rsidRPr="00F32937" w:rsidRDefault="001953DF" w:rsidP="001953DF">
      <w:pPr>
        <w:pStyle w:val="ListParagraph"/>
        <w:numPr>
          <w:ilvl w:val="0"/>
          <w:numId w:val="8"/>
        </w:numPr>
        <w:spacing w:before="240"/>
        <w:rPr>
          <w:rFonts w:asciiTheme="minorHAnsi" w:hAnsiTheme="minorHAnsi"/>
        </w:rPr>
      </w:pPr>
      <w:r w:rsidRPr="00F32937">
        <w:rPr>
          <w:rFonts w:asciiTheme="minorHAnsi" w:hAnsiTheme="minorHAnsi"/>
        </w:rPr>
        <w:t>The religion or belief with the highest colleague representation is Christianity (16.</w:t>
      </w:r>
      <w:r w:rsidR="001A4E88" w:rsidRPr="00F32937">
        <w:rPr>
          <w:rFonts w:asciiTheme="minorHAnsi" w:hAnsiTheme="minorHAnsi"/>
        </w:rPr>
        <w:t>6</w:t>
      </w:r>
      <w:r w:rsidRPr="00F32937">
        <w:rPr>
          <w:rFonts w:asciiTheme="minorHAnsi" w:hAnsiTheme="minorHAnsi"/>
        </w:rPr>
        <w:t>% of all colleagues and 68.5% of all colleagues sharing their religion or belief)</w:t>
      </w:r>
    </w:p>
    <w:p w14:paraId="7BC84087" w14:textId="77777777" w:rsidR="001953DF" w:rsidRDefault="001953DF" w:rsidP="001953DF">
      <w:pPr>
        <w:rPr>
          <w:rFonts w:asciiTheme="minorHAnsi" w:hAnsiTheme="minorHAnsi"/>
          <w:b/>
          <w:bCs/>
        </w:rPr>
      </w:pPr>
    </w:p>
    <w:p w14:paraId="1468B2AE" w14:textId="77777777" w:rsidR="00E7421E" w:rsidRPr="00F32937" w:rsidRDefault="00E7421E" w:rsidP="001953DF">
      <w:pPr>
        <w:rPr>
          <w:rFonts w:asciiTheme="minorHAnsi" w:hAnsiTheme="minorHAnsi"/>
          <w:b/>
          <w:bCs/>
        </w:rPr>
      </w:pPr>
    </w:p>
    <w:p w14:paraId="4C6079F9" w14:textId="77777777" w:rsidR="001953DF" w:rsidRPr="00F32937" w:rsidRDefault="001953DF" w:rsidP="001953DF">
      <w:pPr>
        <w:rPr>
          <w:rFonts w:asciiTheme="minorHAnsi" w:hAnsiTheme="minorHAnsi"/>
          <w:b/>
          <w:bCs/>
        </w:rPr>
      </w:pPr>
      <w:r w:rsidRPr="00F32937">
        <w:rPr>
          <w:rFonts w:asciiTheme="minorHAnsi" w:hAnsiTheme="minorHAnsi"/>
          <w:b/>
          <w:bCs/>
        </w:rPr>
        <w:t>Sex</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281"/>
      </w:tblGrid>
      <w:tr w:rsidR="001953DF" w:rsidRPr="00F32937" w14:paraId="61C15C2A" w14:textId="77777777" w:rsidTr="00977F9E">
        <w:trPr>
          <w:trHeight w:val="262"/>
        </w:trPr>
        <w:tc>
          <w:tcPr>
            <w:tcW w:w="2324" w:type="dxa"/>
            <w:shd w:val="clear" w:color="auto" w:fill="FFFFFF" w:themeFill="background1"/>
          </w:tcPr>
          <w:p w14:paraId="2C3413E9" w14:textId="77777777" w:rsidR="001953DF" w:rsidRPr="00F32937" w:rsidRDefault="001953DF" w:rsidP="00BD0165">
            <w:pPr>
              <w:jc w:val="center"/>
              <w:rPr>
                <w:rFonts w:asciiTheme="minorHAnsi" w:hAnsiTheme="minorHAnsi"/>
                <w:b/>
                <w:bCs/>
              </w:rPr>
            </w:pPr>
            <w:r w:rsidRPr="00F32937">
              <w:rPr>
                <w:rFonts w:asciiTheme="minorHAnsi" w:hAnsiTheme="minorHAnsi"/>
                <w:b/>
                <w:bCs/>
              </w:rPr>
              <w:t>Sex</w:t>
            </w:r>
          </w:p>
        </w:tc>
        <w:tc>
          <w:tcPr>
            <w:tcW w:w="1281" w:type="dxa"/>
            <w:shd w:val="clear" w:color="auto" w:fill="FFFFFF" w:themeFill="background1"/>
          </w:tcPr>
          <w:p w14:paraId="64EC8BF0" w14:textId="77777777" w:rsidR="001953DF" w:rsidRPr="00F32937" w:rsidRDefault="001953DF" w:rsidP="00BD0165">
            <w:pPr>
              <w:jc w:val="center"/>
              <w:rPr>
                <w:rFonts w:asciiTheme="minorHAnsi" w:hAnsiTheme="minorHAnsi"/>
                <w:b/>
                <w:bCs/>
              </w:rPr>
            </w:pPr>
            <w:r w:rsidRPr="00F32937">
              <w:rPr>
                <w:rFonts w:asciiTheme="minorHAnsi" w:hAnsiTheme="minorHAnsi"/>
                <w:b/>
                <w:bCs/>
              </w:rPr>
              <w:t>%</w:t>
            </w:r>
          </w:p>
        </w:tc>
      </w:tr>
      <w:tr w:rsidR="001953DF" w:rsidRPr="00F32937" w14:paraId="25890496" w14:textId="77777777" w:rsidTr="00977F9E">
        <w:trPr>
          <w:trHeight w:val="248"/>
        </w:trPr>
        <w:tc>
          <w:tcPr>
            <w:tcW w:w="2324" w:type="dxa"/>
            <w:shd w:val="clear" w:color="auto" w:fill="FFFFFF" w:themeFill="background1"/>
          </w:tcPr>
          <w:p w14:paraId="51F99943" w14:textId="77777777" w:rsidR="001953DF" w:rsidRPr="00F32937" w:rsidRDefault="001953DF" w:rsidP="00BD0165">
            <w:pPr>
              <w:rPr>
                <w:rFonts w:asciiTheme="minorHAnsi" w:hAnsiTheme="minorHAnsi"/>
              </w:rPr>
            </w:pPr>
            <w:r w:rsidRPr="00F32937">
              <w:rPr>
                <w:rFonts w:asciiTheme="minorHAnsi" w:hAnsiTheme="minorHAnsi"/>
              </w:rPr>
              <w:t>Female</w:t>
            </w:r>
          </w:p>
        </w:tc>
        <w:tc>
          <w:tcPr>
            <w:tcW w:w="1281" w:type="dxa"/>
            <w:shd w:val="clear" w:color="auto" w:fill="FFFFFF" w:themeFill="background1"/>
          </w:tcPr>
          <w:p w14:paraId="6F798FA8" w14:textId="77777777" w:rsidR="001953DF" w:rsidRPr="00F32937" w:rsidRDefault="001953DF" w:rsidP="00BD0165">
            <w:pPr>
              <w:jc w:val="right"/>
              <w:rPr>
                <w:rFonts w:asciiTheme="minorHAnsi" w:hAnsiTheme="minorHAnsi"/>
              </w:rPr>
            </w:pPr>
            <w:r w:rsidRPr="00F32937">
              <w:rPr>
                <w:rFonts w:asciiTheme="minorHAnsi" w:hAnsiTheme="minorHAnsi"/>
              </w:rPr>
              <w:t>55.1%</w:t>
            </w:r>
          </w:p>
        </w:tc>
      </w:tr>
      <w:tr w:rsidR="001953DF" w:rsidRPr="00F32937" w14:paraId="300AF5BC" w14:textId="77777777" w:rsidTr="00977F9E">
        <w:trPr>
          <w:trHeight w:val="262"/>
        </w:trPr>
        <w:tc>
          <w:tcPr>
            <w:tcW w:w="2324" w:type="dxa"/>
            <w:shd w:val="clear" w:color="auto" w:fill="FFFFFF" w:themeFill="background1"/>
          </w:tcPr>
          <w:p w14:paraId="1481BF58" w14:textId="77777777" w:rsidR="001953DF" w:rsidRPr="00F32937" w:rsidRDefault="001953DF" w:rsidP="00BD0165">
            <w:pPr>
              <w:rPr>
                <w:rFonts w:asciiTheme="minorHAnsi" w:hAnsiTheme="minorHAnsi"/>
              </w:rPr>
            </w:pPr>
            <w:r w:rsidRPr="00F32937">
              <w:rPr>
                <w:rFonts w:asciiTheme="minorHAnsi" w:hAnsiTheme="minorHAnsi"/>
              </w:rPr>
              <w:t>Male</w:t>
            </w:r>
          </w:p>
        </w:tc>
        <w:tc>
          <w:tcPr>
            <w:tcW w:w="1281" w:type="dxa"/>
            <w:shd w:val="clear" w:color="auto" w:fill="FFFFFF" w:themeFill="background1"/>
          </w:tcPr>
          <w:p w14:paraId="50964612" w14:textId="77777777" w:rsidR="001953DF" w:rsidRPr="00F32937" w:rsidRDefault="001953DF" w:rsidP="00BD0165">
            <w:pPr>
              <w:jc w:val="right"/>
              <w:rPr>
                <w:rFonts w:asciiTheme="minorHAnsi" w:hAnsiTheme="minorHAnsi"/>
              </w:rPr>
            </w:pPr>
            <w:r w:rsidRPr="00F32937">
              <w:rPr>
                <w:rFonts w:asciiTheme="minorHAnsi" w:hAnsiTheme="minorHAnsi"/>
              </w:rPr>
              <w:t>44.9%</w:t>
            </w:r>
          </w:p>
        </w:tc>
      </w:tr>
    </w:tbl>
    <w:p w14:paraId="2F81F4EE" w14:textId="77777777" w:rsidR="001953DF" w:rsidRPr="00F32937" w:rsidRDefault="001953DF" w:rsidP="00631972">
      <w:pPr>
        <w:spacing w:after="0"/>
        <w:rPr>
          <w:rFonts w:asciiTheme="minorHAnsi" w:hAnsiTheme="minorHAnsi"/>
        </w:rPr>
      </w:pPr>
    </w:p>
    <w:p w14:paraId="279E1AD1" w14:textId="77777777" w:rsidR="001953DF" w:rsidRPr="00F32937" w:rsidRDefault="001953DF" w:rsidP="001953DF">
      <w:pPr>
        <w:pStyle w:val="ListParagraph"/>
        <w:numPr>
          <w:ilvl w:val="0"/>
          <w:numId w:val="6"/>
        </w:numPr>
        <w:rPr>
          <w:rFonts w:asciiTheme="minorHAnsi" w:hAnsiTheme="minorHAnsi"/>
        </w:rPr>
      </w:pPr>
      <w:r w:rsidRPr="00F32937">
        <w:rPr>
          <w:rFonts w:asciiTheme="minorHAnsi" w:hAnsiTheme="minorHAnsi"/>
        </w:rPr>
        <w:t>55.1% of our workforce is female (n = 3,438) which is a 1.1%-point increase since 2019</w:t>
      </w:r>
    </w:p>
    <w:p w14:paraId="77777AEC" w14:textId="59480743" w:rsidR="001953DF" w:rsidRPr="00F32937" w:rsidRDefault="001953DF" w:rsidP="001953DF">
      <w:pPr>
        <w:pStyle w:val="ListParagraph"/>
        <w:numPr>
          <w:ilvl w:val="0"/>
          <w:numId w:val="6"/>
        </w:numPr>
        <w:rPr>
          <w:rFonts w:asciiTheme="minorHAnsi" w:hAnsiTheme="minorHAnsi"/>
        </w:rPr>
      </w:pPr>
      <w:r w:rsidRPr="00F32937">
        <w:rPr>
          <w:rFonts w:asciiTheme="minorHAnsi" w:hAnsiTheme="minorHAnsi"/>
        </w:rPr>
        <w:t>Academic</w:t>
      </w:r>
      <w:r w:rsidR="00473EF4">
        <w:rPr>
          <w:rFonts w:asciiTheme="minorHAnsi" w:hAnsiTheme="minorHAnsi"/>
        </w:rPr>
        <w:t xml:space="preserve"> and Research</w:t>
      </w:r>
      <w:r w:rsidRPr="00F32937">
        <w:rPr>
          <w:rFonts w:asciiTheme="minorHAnsi" w:hAnsiTheme="minorHAnsi"/>
        </w:rPr>
        <w:t>: 47.8% female, a 4.</w:t>
      </w:r>
      <w:r w:rsidR="00D4215B">
        <w:rPr>
          <w:rFonts w:asciiTheme="minorHAnsi" w:hAnsiTheme="minorHAnsi"/>
        </w:rPr>
        <w:t>2</w:t>
      </w:r>
      <w:r w:rsidRPr="00F32937">
        <w:rPr>
          <w:rFonts w:asciiTheme="minorHAnsi" w:hAnsiTheme="minorHAnsi"/>
        </w:rPr>
        <w:t>%</w:t>
      </w:r>
      <w:r w:rsidR="00977F9E">
        <w:rPr>
          <w:rFonts w:asciiTheme="minorHAnsi" w:hAnsiTheme="minorHAnsi"/>
        </w:rPr>
        <w:t>-</w:t>
      </w:r>
      <w:r w:rsidRPr="00F32937">
        <w:rPr>
          <w:rFonts w:asciiTheme="minorHAnsi" w:hAnsiTheme="minorHAnsi"/>
        </w:rPr>
        <w:t>point increase since 2019</w:t>
      </w:r>
    </w:p>
    <w:p w14:paraId="3DB39603" w14:textId="77777777" w:rsidR="001953DF" w:rsidRPr="00F32937" w:rsidRDefault="001953DF" w:rsidP="001953DF">
      <w:pPr>
        <w:pStyle w:val="ListParagraph"/>
        <w:numPr>
          <w:ilvl w:val="0"/>
          <w:numId w:val="6"/>
        </w:numPr>
        <w:rPr>
          <w:rFonts w:asciiTheme="minorHAnsi" w:hAnsiTheme="minorHAnsi"/>
        </w:rPr>
      </w:pPr>
      <w:r w:rsidRPr="00F32937">
        <w:rPr>
          <w:rFonts w:asciiTheme="minorHAnsi" w:hAnsiTheme="minorHAnsi"/>
        </w:rPr>
        <w:t>PS: 61.3% female, a 1.6%-point decrease since 2019</w:t>
      </w:r>
    </w:p>
    <w:p w14:paraId="2D8EC8AF" w14:textId="77777777" w:rsidR="001953DF" w:rsidRDefault="001953DF" w:rsidP="001953DF">
      <w:pPr>
        <w:rPr>
          <w:rFonts w:asciiTheme="minorHAnsi" w:hAnsiTheme="minorHAnsi"/>
        </w:rPr>
      </w:pPr>
    </w:p>
    <w:p w14:paraId="5A24D743" w14:textId="77777777" w:rsidR="00E7421E" w:rsidRPr="00F32937" w:rsidRDefault="00E7421E" w:rsidP="001953DF">
      <w:pPr>
        <w:rPr>
          <w:rFonts w:asciiTheme="minorHAnsi" w:hAnsiTheme="minorHAnsi"/>
        </w:rPr>
      </w:pPr>
    </w:p>
    <w:p w14:paraId="59B5A203" w14:textId="77777777" w:rsidR="001953DF" w:rsidRPr="00F32937" w:rsidRDefault="001953DF" w:rsidP="001953DF">
      <w:pPr>
        <w:rPr>
          <w:rFonts w:asciiTheme="minorHAnsi" w:hAnsiTheme="minorHAnsi"/>
          <w:b/>
          <w:bCs/>
        </w:rPr>
      </w:pPr>
      <w:r w:rsidRPr="00F32937">
        <w:rPr>
          <w:rFonts w:asciiTheme="minorHAnsi" w:hAnsiTheme="minorHAnsi"/>
          <w:b/>
          <w:bCs/>
        </w:rPr>
        <w:t>Sexual Orientation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281"/>
      </w:tblGrid>
      <w:tr w:rsidR="001953DF" w:rsidRPr="00F32937" w14:paraId="23747FEF" w14:textId="77777777" w:rsidTr="00977F9E">
        <w:trPr>
          <w:trHeight w:val="262"/>
        </w:trPr>
        <w:tc>
          <w:tcPr>
            <w:tcW w:w="2324" w:type="dxa"/>
            <w:shd w:val="clear" w:color="auto" w:fill="FFFFFF" w:themeFill="background1"/>
          </w:tcPr>
          <w:p w14:paraId="28152F06" w14:textId="77777777" w:rsidR="001953DF" w:rsidRPr="00F32937" w:rsidRDefault="001953DF" w:rsidP="00BD0165">
            <w:pPr>
              <w:jc w:val="center"/>
              <w:rPr>
                <w:rFonts w:asciiTheme="minorHAnsi" w:hAnsiTheme="minorHAnsi"/>
                <w:b/>
                <w:bCs/>
              </w:rPr>
            </w:pPr>
            <w:r w:rsidRPr="00F32937">
              <w:rPr>
                <w:rFonts w:asciiTheme="minorHAnsi" w:hAnsiTheme="minorHAnsi"/>
                <w:b/>
                <w:bCs/>
              </w:rPr>
              <w:t>Sexual Orientation</w:t>
            </w:r>
          </w:p>
        </w:tc>
        <w:tc>
          <w:tcPr>
            <w:tcW w:w="1281" w:type="dxa"/>
            <w:shd w:val="clear" w:color="auto" w:fill="FFFFFF" w:themeFill="background1"/>
          </w:tcPr>
          <w:p w14:paraId="4FB9BC2A" w14:textId="77777777" w:rsidR="001953DF" w:rsidRPr="00F32937" w:rsidRDefault="001953DF" w:rsidP="00BD0165">
            <w:pPr>
              <w:jc w:val="center"/>
              <w:rPr>
                <w:rFonts w:asciiTheme="minorHAnsi" w:hAnsiTheme="minorHAnsi"/>
                <w:b/>
                <w:bCs/>
              </w:rPr>
            </w:pPr>
            <w:r w:rsidRPr="00F32937">
              <w:rPr>
                <w:rFonts w:asciiTheme="minorHAnsi" w:hAnsiTheme="minorHAnsi"/>
                <w:b/>
                <w:bCs/>
              </w:rPr>
              <w:t>%</w:t>
            </w:r>
          </w:p>
        </w:tc>
      </w:tr>
      <w:tr w:rsidR="001953DF" w:rsidRPr="00F32937" w14:paraId="7070013C" w14:textId="77777777" w:rsidTr="00977F9E">
        <w:trPr>
          <w:trHeight w:val="248"/>
        </w:trPr>
        <w:tc>
          <w:tcPr>
            <w:tcW w:w="2324" w:type="dxa"/>
            <w:shd w:val="clear" w:color="auto" w:fill="FFFFFF" w:themeFill="background1"/>
          </w:tcPr>
          <w:p w14:paraId="475CC426" w14:textId="77777777" w:rsidR="001953DF" w:rsidRPr="00F32937" w:rsidRDefault="001953DF" w:rsidP="00BD0165">
            <w:pPr>
              <w:rPr>
                <w:rFonts w:asciiTheme="minorHAnsi" w:hAnsiTheme="minorHAnsi"/>
              </w:rPr>
            </w:pPr>
            <w:r w:rsidRPr="00F32937">
              <w:rPr>
                <w:rFonts w:asciiTheme="minorHAnsi" w:hAnsiTheme="minorHAnsi"/>
              </w:rPr>
              <w:t>Heterosexual</w:t>
            </w:r>
          </w:p>
        </w:tc>
        <w:tc>
          <w:tcPr>
            <w:tcW w:w="1281" w:type="dxa"/>
            <w:shd w:val="clear" w:color="auto" w:fill="FFFFFF" w:themeFill="background1"/>
          </w:tcPr>
          <w:p w14:paraId="4CDDB4DB" w14:textId="77777777" w:rsidR="001953DF" w:rsidRPr="00F32937" w:rsidRDefault="001953DF" w:rsidP="00BD0165">
            <w:pPr>
              <w:jc w:val="right"/>
              <w:rPr>
                <w:rFonts w:asciiTheme="minorHAnsi" w:hAnsiTheme="minorHAnsi"/>
              </w:rPr>
            </w:pPr>
            <w:r w:rsidRPr="00F32937">
              <w:rPr>
                <w:rFonts w:asciiTheme="minorHAnsi" w:hAnsiTheme="minorHAnsi"/>
              </w:rPr>
              <w:t>45.1%</w:t>
            </w:r>
          </w:p>
        </w:tc>
      </w:tr>
      <w:tr w:rsidR="001953DF" w:rsidRPr="00F32937" w14:paraId="1E22E224" w14:textId="77777777" w:rsidTr="00977F9E">
        <w:trPr>
          <w:trHeight w:val="262"/>
        </w:trPr>
        <w:tc>
          <w:tcPr>
            <w:tcW w:w="2324" w:type="dxa"/>
            <w:shd w:val="clear" w:color="auto" w:fill="FFFFFF" w:themeFill="background1"/>
          </w:tcPr>
          <w:p w14:paraId="13EC462C" w14:textId="77777777" w:rsidR="001953DF" w:rsidRPr="00F32937" w:rsidRDefault="001953DF" w:rsidP="00BD0165">
            <w:pPr>
              <w:rPr>
                <w:rFonts w:asciiTheme="minorHAnsi" w:hAnsiTheme="minorHAnsi"/>
              </w:rPr>
            </w:pPr>
            <w:r w:rsidRPr="00F32937">
              <w:rPr>
                <w:rFonts w:asciiTheme="minorHAnsi" w:hAnsiTheme="minorHAnsi"/>
              </w:rPr>
              <w:t>LGB+</w:t>
            </w:r>
          </w:p>
        </w:tc>
        <w:tc>
          <w:tcPr>
            <w:tcW w:w="1281" w:type="dxa"/>
            <w:shd w:val="clear" w:color="auto" w:fill="FFFFFF" w:themeFill="background1"/>
          </w:tcPr>
          <w:p w14:paraId="6A4CC4B2" w14:textId="77777777" w:rsidR="001953DF" w:rsidRPr="00F32937" w:rsidRDefault="001953DF" w:rsidP="00BD0165">
            <w:pPr>
              <w:jc w:val="right"/>
              <w:rPr>
                <w:rFonts w:asciiTheme="minorHAnsi" w:hAnsiTheme="minorHAnsi"/>
              </w:rPr>
            </w:pPr>
            <w:r w:rsidRPr="00F32937">
              <w:rPr>
                <w:rFonts w:asciiTheme="minorHAnsi" w:hAnsiTheme="minorHAnsi"/>
              </w:rPr>
              <w:t>5.4%</w:t>
            </w:r>
          </w:p>
        </w:tc>
      </w:tr>
      <w:tr w:rsidR="001953DF" w:rsidRPr="00F32937" w14:paraId="23946363" w14:textId="77777777" w:rsidTr="00977F9E">
        <w:trPr>
          <w:trHeight w:val="248"/>
        </w:trPr>
        <w:tc>
          <w:tcPr>
            <w:tcW w:w="2324" w:type="dxa"/>
            <w:shd w:val="clear" w:color="auto" w:fill="FFFFFF" w:themeFill="background1"/>
          </w:tcPr>
          <w:p w14:paraId="3B4A541F" w14:textId="77777777" w:rsidR="001953DF" w:rsidRPr="00F32937" w:rsidRDefault="001953DF" w:rsidP="00BD0165">
            <w:pPr>
              <w:rPr>
                <w:rFonts w:asciiTheme="minorHAnsi" w:hAnsiTheme="minorHAnsi"/>
              </w:rPr>
            </w:pPr>
            <w:r w:rsidRPr="00F32937">
              <w:rPr>
                <w:rFonts w:asciiTheme="minorHAnsi" w:hAnsiTheme="minorHAnsi"/>
              </w:rPr>
              <w:t>Prefer not to say</w:t>
            </w:r>
          </w:p>
        </w:tc>
        <w:tc>
          <w:tcPr>
            <w:tcW w:w="1281" w:type="dxa"/>
            <w:shd w:val="clear" w:color="auto" w:fill="FFFFFF" w:themeFill="background1"/>
          </w:tcPr>
          <w:p w14:paraId="2D8A0952" w14:textId="77777777" w:rsidR="001953DF" w:rsidRPr="00F32937" w:rsidRDefault="001953DF" w:rsidP="00BD0165">
            <w:pPr>
              <w:jc w:val="right"/>
              <w:rPr>
                <w:rFonts w:asciiTheme="minorHAnsi" w:hAnsiTheme="minorHAnsi"/>
              </w:rPr>
            </w:pPr>
            <w:r w:rsidRPr="00F32937">
              <w:rPr>
                <w:rFonts w:asciiTheme="minorHAnsi" w:hAnsiTheme="minorHAnsi"/>
              </w:rPr>
              <w:t>49.5%</w:t>
            </w:r>
          </w:p>
        </w:tc>
      </w:tr>
    </w:tbl>
    <w:p w14:paraId="5A554C4C" w14:textId="3637D354" w:rsidR="00BA4B34" w:rsidRDefault="00BA4B34" w:rsidP="007F31FA"/>
    <w:p w14:paraId="16B30A78" w14:textId="77777777" w:rsidR="00BA4B34" w:rsidRDefault="00BA4B34">
      <w:r>
        <w:br w:type="page"/>
      </w:r>
    </w:p>
    <w:p w14:paraId="65576478" w14:textId="740C087D" w:rsidR="00BA4B34" w:rsidRDefault="00BA4B34" w:rsidP="00BA4B34">
      <w:pPr>
        <w:rPr>
          <w:rFonts w:asciiTheme="majorHAnsi" w:hAnsiTheme="majorHAnsi"/>
          <w:color w:val="0B769F" w:themeColor="accent4" w:themeShade="BF"/>
          <w:sz w:val="40"/>
          <w:szCs w:val="44"/>
        </w:rPr>
      </w:pPr>
      <w:r w:rsidRPr="00D15B19">
        <w:rPr>
          <w:rFonts w:asciiTheme="majorHAnsi" w:hAnsiTheme="majorHAnsi"/>
          <w:color w:val="0B769F" w:themeColor="accent4" w:themeShade="BF"/>
          <w:sz w:val="40"/>
          <w:szCs w:val="44"/>
        </w:rPr>
        <w:lastRenderedPageBreak/>
        <w:t xml:space="preserve">Gender Pay Gap </w:t>
      </w:r>
      <w:r w:rsidR="009148EF">
        <w:rPr>
          <w:rFonts w:asciiTheme="majorHAnsi" w:hAnsiTheme="majorHAnsi"/>
          <w:color w:val="0B769F" w:themeColor="accent4" w:themeShade="BF"/>
          <w:sz w:val="40"/>
          <w:szCs w:val="44"/>
        </w:rPr>
        <w:t>S</w:t>
      </w:r>
      <w:r w:rsidR="00841E57">
        <w:rPr>
          <w:rFonts w:asciiTheme="majorHAnsi" w:hAnsiTheme="majorHAnsi"/>
          <w:color w:val="0B769F" w:themeColor="accent4" w:themeShade="BF"/>
          <w:sz w:val="40"/>
          <w:szCs w:val="44"/>
        </w:rPr>
        <w:t xml:space="preserve">ummary </w:t>
      </w:r>
      <w:r w:rsidRPr="00D15B19">
        <w:rPr>
          <w:rFonts w:asciiTheme="majorHAnsi" w:hAnsiTheme="majorHAnsi"/>
          <w:color w:val="0B769F" w:themeColor="accent4" w:themeShade="BF"/>
          <w:sz w:val="40"/>
          <w:szCs w:val="44"/>
        </w:rPr>
        <w:t>Report</w:t>
      </w:r>
    </w:p>
    <w:p w14:paraId="64B62B27" w14:textId="5479E953" w:rsidR="00BA4B34" w:rsidRDefault="00BA4B34" w:rsidP="00BA4B34">
      <w:pPr>
        <w:rPr>
          <w:rFonts w:asciiTheme="minorHAnsi" w:hAnsiTheme="minorHAnsi"/>
          <w:szCs w:val="22"/>
        </w:rPr>
      </w:pPr>
      <w:r>
        <w:rPr>
          <w:rFonts w:asciiTheme="minorHAnsi" w:hAnsiTheme="minorHAnsi"/>
          <w:szCs w:val="22"/>
        </w:rPr>
        <w:t xml:space="preserve">Our Gender, Ethnicity and Disability pay gap and bonus pay gap analysis is conducted in line with UK government </w:t>
      </w:r>
      <w:r w:rsidRPr="00011DA7">
        <w:rPr>
          <w:rFonts w:asciiTheme="minorHAnsi" w:hAnsiTheme="minorHAnsi"/>
          <w:szCs w:val="22"/>
        </w:rPr>
        <w:t xml:space="preserve">guidance by </w:t>
      </w:r>
      <w:hyperlink r:id="rId12" w:history="1">
        <w:r w:rsidRPr="00011DA7">
          <w:rPr>
            <w:rStyle w:val="Hyperlink"/>
            <w:rFonts w:asciiTheme="minorHAnsi" w:hAnsiTheme="minorHAnsi"/>
            <w:szCs w:val="22"/>
          </w:rPr>
          <w:t>Innecto</w:t>
        </w:r>
      </w:hyperlink>
      <w:r w:rsidRPr="00011DA7">
        <w:rPr>
          <w:rFonts w:asciiTheme="minorHAnsi" w:hAnsiTheme="minorHAnsi"/>
          <w:szCs w:val="22"/>
        </w:rPr>
        <w:t>, an</w:t>
      </w:r>
      <w:r>
        <w:rPr>
          <w:rFonts w:asciiTheme="minorHAnsi" w:hAnsiTheme="minorHAnsi"/>
          <w:szCs w:val="22"/>
        </w:rPr>
        <w:t xml:space="preserve"> independent UK pay and reward consultancy. </w:t>
      </w:r>
    </w:p>
    <w:p w14:paraId="3BA27606" w14:textId="77777777" w:rsidR="00BA4B34" w:rsidRDefault="00BA4B34" w:rsidP="00BA4B34">
      <w:pPr>
        <w:rPr>
          <w:rFonts w:asciiTheme="minorHAnsi" w:hAnsiTheme="minorHAnsi"/>
        </w:rPr>
      </w:pPr>
      <w:r w:rsidRPr="15A1F042">
        <w:rPr>
          <w:rFonts w:asciiTheme="minorHAnsi" w:hAnsiTheme="minorHAnsi"/>
        </w:rPr>
        <w:t>While there is currently no statutory requirement to publish ethnicity and disability pay gap data in the UK, Newcastle University choses to analyse this information to ensure maximum transparency, and to inform our activities in relation to protected characteristics.</w:t>
      </w:r>
      <w:r>
        <w:rPr>
          <w:rFonts w:asciiTheme="minorHAnsi" w:hAnsiTheme="minorHAnsi"/>
        </w:rPr>
        <w:t xml:space="preserve"> As there is currently no government guidance on ethnicity and disability pay gap reporting, we calculate these figures using the same approach taken in gender pay gap reporting. </w:t>
      </w:r>
    </w:p>
    <w:p w14:paraId="62968B82" w14:textId="77777777" w:rsidR="00BA4B34" w:rsidRDefault="00BA4B34" w:rsidP="00BA4B34">
      <w:pPr>
        <w:rPr>
          <w:rFonts w:asciiTheme="minorHAnsi" w:hAnsiTheme="minorHAnsi"/>
          <w:szCs w:val="22"/>
        </w:rPr>
      </w:pPr>
      <w:r>
        <w:rPr>
          <w:rFonts w:asciiTheme="minorHAnsi" w:hAnsiTheme="minorHAnsi"/>
          <w:szCs w:val="22"/>
        </w:rPr>
        <w:t xml:space="preserve">We are continuously working to address our existing pay gaps through the actions outlined earlier in this report and our wider EDI Strategy. In addition to the information shared below, we are also conducting deeper analysis by assessing how the experiences of different groups across the University vary and what might be causing these differences. </w:t>
      </w:r>
    </w:p>
    <w:p w14:paraId="4472F76F" w14:textId="77777777" w:rsidR="00BA4B34" w:rsidRDefault="00BA4B34" w:rsidP="00BA4B34">
      <w:pPr>
        <w:rPr>
          <w:rFonts w:asciiTheme="minorHAnsi" w:hAnsiTheme="minorHAnsi"/>
          <w:szCs w:val="22"/>
        </w:rPr>
      </w:pPr>
    </w:p>
    <w:p w14:paraId="098B24CF" w14:textId="77777777" w:rsidR="00BA4B34" w:rsidRDefault="00BA4B34" w:rsidP="00BA4B34">
      <w:pPr>
        <w:rPr>
          <w:rFonts w:asciiTheme="majorHAnsi" w:hAnsiTheme="majorHAnsi"/>
          <w:color w:val="0B769F" w:themeColor="accent4" w:themeShade="BF"/>
          <w:sz w:val="28"/>
          <w:szCs w:val="28"/>
        </w:rPr>
      </w:pPr>
      <w:r>
        <w:rPr>
          <w:rFonts w:asciiTheme="majorHAnsi" w:hAnsiTheme="majorHAnsi"/>
          <w:color w:val="0B769F" w:themeColor="accent4" w:themeShade="BF"/>
          <w:sz w:val="28"/>
          <w:szCs w:val="28"/>
        </w:rPr>
        <w:t>Summary Comparison 2024 to 2025</w:t>
      </w:r>
    </w:p>
    <w:tbl>
      <w:tblPr>
        <w:tblStyle w:val="TableGrid"/>
        <w:tblW w:w="9252" w:type="dxa"/>
        <w:jc w:val="cente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tblBorders>
        <w:tblLook w:val="04A0" w:firstRow="1" w:lastRow="0" w:firstColumn="1" w:lastColumn="0" w:noHBand="0" w:noVBand="1"/>
      </w:tblPr>
      <w:tblGrid>
        <w:gridCol w:w="1302"/>
        <w:gridCol w:w="905"/>
        <w:gridCol w:w="907"/>
        <w:gridCol w:w="349"/>
        <w:gridCol w:w="1077"/>
        <w:gridCol w:w="1302"/>
        <w:gridCol w:w="1020"/>
        <w:gridCol w:w="905"/>
        <w:gridCol w:w="351"/>
        <w:gridCol w:w="1134"/>
      </w:tblGrid>
      <w:tr w:rsidR="00724C31" w14:paraId="0CEE4C5D" w14:textId="77777777" w:rsidTr="00724C31">
        <w:trPr>
          <w:jc w:val="center"/>
        </w:trPr>
        <w:tc>
          <w:tcPr>
            <w:tcW w:w="1302" w:type="dxa"/>
            <w:shd w:val="clear" w:color="auto" w:fill="FFFFFF" w:themeFill="background1"/>
            <w:vAlign w:val="center"/>
          </w:tcPr>
          <w:p w14:paraId="3A0FD79D" w14:textId="77777777" w:rsidR="00724C31" w:rsidRPr="00367823" w:rsidRDefault="00724C31" w:rsidP="00DA4AE8">
            <w:pPr>
              <w:rPr>
                <w:rFonts w:asciiTheme="minorHAnsi" w:hAnsiTheme="minorHAnsi"/>
                <w:b/>
                <w:bCs/>
                <w:szCs w:val="22"/>
                <w:u w:val="single"/>
              </w:rPr>
            </w:pPr>
          </w:p>
        </w:tc>
        <w:tc>
          <w:tcPr>
            <w:tcW w:w="905" w:type="dxa"/>
            <w:tcBorders>
              <w:bottom w:val="single" w:sz="4" w:space="0" w:color="auto"/>
            </w:tcBorders>
            <w:shd w:val="clear" w:color="auto" w:fill="FFFFFF" w:themeFill="background1"/>
            <w:vAlign w:val="center"/>
          </w:tcPr>
          <w:p w14:paraId="0CCF87A4" w14:textId="77777777" w:rsidR="00724C31" w:rsidRPr="00D86B51" w:rsidRDefault="00724C31" w:rsidP="00DA4AE8">
            <w:pPr>
              <w:jc w:val="right"/>
              <w:rPr>
                <w:rFonts w:asciiTheme="minorHAnsi" w:hAnsiTheme="minorHAnsi"/>
                <w:b/>
                <w:bCs/>
                <w:szCs w:val="22"/>
              </w:rPr>
            </w:pPr>
          </w:p>
        </w:tc>
        <w:tc>
          <w:tcPr>
            <w:tcW w:w="907" w:type="dxa"/>
            <w:tcBorders>
              <w:bottom w:val="single" w:sz="4" w:space="0" w:color="auto"/>
            </w:tcBorders>
            <w:shd w:val="clear" w:color="auto" w:fill="FFFFFF" w:themeFill="background1"/>
            <w:vAlign w:val="center"/>
          </w:tcPr>
          <w:p w14:paraId="10935DBF" w14:textId="77777777" w:rsidR="00724C31" w:rsidRPr="00D86B51" w:rsidRDefault="00724C31" w:rsidP="00DA4AE8">
            <w:pPr>
              <w:jc w:val="right"/>
              <w:rPr>
                <w:rFonts w:asciiTheme="minorHAnsi" w:hAnsiTheme="minorHAnsi"/>
                <w:b/>
                <w:bCs/>
                <w:szCs w:val="22"/>
              </w:rPr>
            </w:pPr>
          </w:p>
        </w:tc>
        <w:tc>
          <w:tcPr>
            <w:tcW w:w="349" w:type="dxa"/>
            <w:shd w:val="clear" w:color="auto" w:fill="FFFFFF" w:themeFill="background1"/>
            <w:vAlign w:val="center"/>
          </w:tcPr>
          <w:p w14:paraId="00802096" w14:textId="77777777" w:rsidR="00724C31" w:rsidRPr="00D86B51" w:rsidRDefault="00724C31" w:rsidP="00DA4AE8">
            <w:pPr>
              <w:jc w:val="center"/>
              <w:rPr>
                <w:rFonts w:asciiTheme="minorHAnsi" w:hAnsiTheme="minorHAnsi"/>
                <w:b/>
                <w:bCs/>
                <w:szCs w:val="22"/>
              </w:rPr>
            </w:pPr>
          </w:p>
        </w:tc>
        <w:tc>
          <w:tcPr>
            <w:tcW w:w="1077" w:type="dxa"/>
            <w:shd w:val="clear" w:color="auto" w:fill="FFFFFF" w:themeFill="background1"/>
            <w:vAlign w:val="center"/>
          </w:tcPr>
          <w:p w14:paraId="4E6ED6CF" w14:textId="77777777" w:rsidR="00724C31" w:rsidRPr="0011057B" w:rsidRDefault="00724C31" w:rsidP="00DA4AE8">
            <w:pPr>
              <w:rPr>
                <w:rFonts w:asciiTheme="minorHAnsi" w:hAnsiTheme="minorHAnsi"/>
                <w:b/>
                <w:bCs/>
                <w:sz w:val="14"/>
                <w:szCs w:val="14"/>
              </w:rPr>
            </w:pPr>
          </w:p>
        </w:tc>
        <w:tc>
          <w:tcPr>
            <w:tcW w:w="1302" w:type="dxa"/>
            <w:shd w:val="clear" w:color="auto" w:fill="FFFFFF" w:themeFill="background1"/>
            <w:vAlign w:val="center"/>
          </w:tcPr>
          <w:p w14:paraId="11613728" w14:textId="77777777" w:rsidR="00724C31" w:rsidRPr="00367823" w:rsidRDefault="00724C31" w:rsidP="00DA4AE8">
            <w:pPr>
              <w:rPr>
                <w:rFonts w:asciiTheme="minorHAnsi" w:hAnsiTheme="minorHAnsi"/>
                <w:b/>
                <w:bCs/>
                <w:szCs w:val="22"/>
                <w:u w:val="single"/>
              </w:rPr>
            </w:pPr>
          </w:p>
        </w:tc>
        <w:tc>
          <w:tcPr>
            <w:tcW w:w="1020" w:type="dxa"/>
            <w:tcBorders>
              <w:bottom w:val="single" w:sz="4" w:space="0" w:color="auto"/>
            </w:tcBorders>
            <w:shd w:val="clear" w:color="auto" w:fill="FFFFFF" w:themeFill="background1"/>
            <w:vAlign w:val="center"/>
          </w:tcPr>
          <w:p w14:paraId="598DC595" w14:textId="77777777" w:rsidR="00724C31" w:rsidRPr="00D86B51" w:rsidRDefault="00724C31" w:rsidP="00DA4AE8">
            <w:pPr>
              <w:jc w:val="right"/>
              <w:rPr>
                <w:rFonts w:asciiTheme="minorHAnsi" w:hAnsiTheme="minorHAnsi"/>
                <w:b/>
                <w:bCs/>
                <w:szCs w:val="22"/>
              </w:rPr>
            </w:pPr>
          </w:p>
        </w:tc>
        <w:tc>
          <w:tcPr>
            <w:tcW w:w="905" w:type="dxa"/>
            <w:tcBorders>
              <w:bottom w:val="single" w:sz="4" w:space="0" w:color="auto"/>
            </w:tcBorders>
            <w:shd w:val="clear" w:color="auto" w:fill="FFFFFF" w:themeFill="background1"/>
            <w:vAlign w:val="center"/>
          </w:tcPr>
          <w:p w14:paraId="2EE1CCFB" w14:textId="77777777" w:rsidR="00724C31" w:rsidRPr="00D86B51" w:rsidRDefault="00724C31" w:rsidP="00DA4AE8">
            <w:pPr>
              <w:jc w:val="right"/>
              <w:rPr>
                <w:rFonts w:asciiTheme="minorHAnsi" w:hAnsiTheme="minorHAnsi"/>
                <w:b/>
                <w:bCs/>
                <w:szCs w:val="22"/>
              </w:rPr>
            </w:pPr>
          </w:p>
        </w:tc>
        <w:tc>
          <w:tcPr>
            <w:tcW w:w="351" w:type="dxa"/>
            <w:shd w:val="clear" w:color="auto" w:fill="FFFFFF" w:themeFill="background1"/>
            <w:vAlign w:val="center"/>
          </w:tcPr>
          <w:p w14:paraId="27818995" w14:textId="77777777" w:rsidR="00724C31" w:rsidRPr="00D86B51" w:rsidRDefault="00724C31" w:rsidP="00DA4AE8">
            <w:pPr>
              <w:rPr>
                <w:rFonts w:asciiTheme="minorHAnsi" w:hAnsiTheme="minorHAnsi"/>
                <w:b/>
                <w:bCs/>
                <w:szCs w:val="22"/>
              </w:rPr>
            </w:pPr>
          </w:p>
        </w:tc>
        <w:tc>
          <w:tcPr>
            <w:tcW w:w="1134" w:type="dxa"/>
            <w:shd w:val="clear" w:color="auto" w:fill="FFFFFF" w:themeFill="background1"/>
            <w:vAlign w:val="center"/>
          </w:tcPr>
          <w:p w14:paraId="2F87EF26" w14:textId="77777777" w:rsidR="00724C31" w:rsidRPr="0011057B" w:rsidRDefault="00724C31" w:rsidP="00DA4AE8">
            <w:pPr>
              <w:rPr>
                <w:rFonts w:asciiTheme="minorHAnsi" w:hAnsiTheme="minorHAnsi"/>
                <w:sz w:val="14"/>
                <w:szCs w:val="14"/>
              </w:rPr>
            </w:pPr>
          </w:p>
        </w:tc>
      </w:tr>
      <w:tr w:rsidR="00724C31" w14:paraId="3CF66BDD" w14:textId="77777777" w:rsidTr="00724C31">
        <w:trPr>
          <w:jc w:val="center"/>
        </w:trPr>
        <w:tc>
          <w:tcPr>
            <w:tcW w:w="1302" w:type="dxa"/>
            <w:tcBorders>
              <w:right w:val="single" w:sz="4" w:space="0" w:color="auto"/>
            </w:tcBorders>
            <w:shd w:val="clear" w:color="auto" w:fill="FFFFFF" w:themeFill="background1"/>
            <w:vAlign w:val="center"/>
          </w:tcPr>
          <w:p w14:paraId="2CF4512C" w14:textId="77777777" w:rsidR="00724C31" w:rsidRPr="00367823" w:rsidRDefault="00724C31" w:rsidP="00DA4AE8">
            <w:pPr>
              <w:rPr>
                <w:rFonts w:asciiTheme="minorHAnsi" w:hAnsiTheme="minorHAnsi"/>
                <w:b/>
                <w:bCs/>
                <w:szCs w:val="22"/>
                <w:u w:val="single"/>
              </w:rPr>
            </w:pPr>
            <w:r w:rsidRPr="00367823">
              <w:rPr>
                <w:rFonts w:asciiTheme="minorHAnsi" w:hAnsiTheme="minorHAnsi"/>
                <w:b/>
                <w:bCs/>
                <w:szCs w:val="22"/>
                <w:u w:val="single"/>
              </w:rPr>
              <w:t>Pay Gap</w:t>
            </w:r>
          </w:p>
        </w:tc>
        <w:tc>
          <w:tcPr>
            <w:tcW w:w="90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3DAC01B" w14:textId="77777777" w:rsidR="00724C31" w:rsidRPr="00937CF7" w:rsidRDefault="00724C31" w:rsidP="00DA4AE8">
            <w:pPr>
              <w:jc w:val="right"/>
              <w:rPr>
                <w:rFonts w:asciiTheme="minorHAnsi" w:hAnsiTheme="minorHAnsi"/>
                <w:b/>
                <w:bCs/>
                <w:sz w:val="20"/>
                <w:szCs w:val="20"/>
              </w:rPr>
            </w:pPr>
            <w:r w:rsidRPr="00937CF7">
              <w:rPr>
                <w:rFonts w:asciiTheme="minorHAnsi" w:hAnsiTheme="minorHAnsi"/>
                <w:b/>
                <w:bCs/>
                <w:sz w:val="20"/>
                <w:szCs w:val="20"/>
              </w:rPr>
              <w:t>2024</w:t>
            </w:r>
          </w:p>
        </w:tc>
        <w:tc>
          <w:tcPr>
            <w:tcW w:w="90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6A088B58" w14:textId="77777777" w:rsidR="00724C31" w:rsidRPr="00937CF7" w:rsidRDefault="00724C31" w:rsidP="00DA4AE8">
            <w:pPr>
              <w:jc w:val="right"/>
              <w:rPr>
                <w:rFonts w:asciiTheme="minorHAnsi" w:hAnsiTheme="minorHAnsi"/>
                <w:b/>
                <w:bCs/>
                <w:sz w:val="20"/>
                <w:szCs w:val="20"/>
              </w:rPr>
            </w:pPr>
            <w:r w:rsidRPr="00937CF7">
              <w:rPr>
                <w:rFonts w:asciiTheme="minorHAnsi" w:hAnsiTheme="minorHAnsi"/>
                <w:b/>
                <w:bCs/>
                <w:sz w:val="20"/>
                <w:szCs w:val="20"/>
              </w:rPr>
              <w:t>2025</w:t>
            </w:r>
          </w:p>
        </w:tc>
        <w:tc>
          <w:tcPr>
            <w:tcW w:w="349" w:type="dxa"/>
            <w:tcBorders>
              <w:left w:val="single" w:sz="4" w:space="0" w:color="auto"/>
            </w:tcBorders>
            <w:shd w:val="clear" w:color="auto" w:fill="FFFFFF" w:themeFill="background1"/>
            <w:vAlign w:val="center"/>
          </w:tcPr>
          <w:p w14:paraId="64D6B05E" w14:textId="77777777" w:rsidR="00724C31" w:rsidRPr="00D86B51" w:rsidRDefault="00724C31" w:rsidP="00DA4AE8">
            <w:pPr>
              <w:jc w:val="center"/>
              <w:rPr>
                <w:rFonts w:asciiTheme="minorHAnsi" w:hAnsiTheme="minorHAnsi"/>
                <w:b/>
                <w:bCs/>
                <w:szCs w:val="22"/>
              </w:rPr>
            </w:pPr>
          </w:p>
        </w:tc>
        <w:tc>
          <w:tcPr>
            <w:tcW w:w="1077" w:type="dxa"/>
            <w:shd w:val="clear" w:color="auto" w:fill="FFFFFF" w:themeFill="background1"/>
            <w:vAlign w:val="center"/>
          </w:tcPr>
          <w:p w14:paraId="1B38FA97" w14:textId="77777777" w:rsidR="00724C31" w:rsidRPr="0011057B" w:rsidRDefault="00724C31" w:rsidP="00DA4AE8">
            <w:pPr>
              <w:rPr>
                <w:rFonts w:asciiTheme="minorHAnsi" w:hAnsiTheme="minorHAnsi"/>
                <w:b/>
                <w:bCs/>
                <w:sz w:val="14"/>
                <w:szCs w:val="14"/>
              </w:rPr>
            </w:pPr>
          </w:p>
        </w:tc>
        <w:tc>
          <w:tcPr>
            <w:tcW w:w="1302" w:type="dxa"/>
            <w:tcBorders>
              <w:right w:val="single" w:sz="4" w:space="0" w:color="auto"/>
            </w:tcBorders>
            <w:shd w:val="clear" w:color="auto" w:fill="FFFFFF" w:themeFill="background1"/>
            <w:vAlign w:val="center"/>
          </w:tcPr>
          <w:p w14:paraId="2D420AB5" w14:textId="77777777" w:rsidR="00724C31" w:rsidRPr="00367823" w:rsidRDefault="00724C31" w:rsidP="00DA4AE8">
            <w:pPr>
              <w:rPr>
                <w:rFonts w:asciiTheme="minorHAnsi" w:hAnsiTheme="minorHAnsi"/>
                <w:b/>
                <w:bCs/>
                <w:szCs w:val="22"/>
                <w:u w:val="single"/>
              </w:rPr>
            </w:pPr>
            <w:r w:rsidRPr="00367823">
              <w:rPr>
                <w:rFonts w:asciiTheme="minorHAnsi" w:hAnsiTheme="minorHAnsi"/>
                <w:b/>
                <w:bCs/>
                <w:szCs w:val="22"/>
                <w:u w:val="single"/>
              </w:rPr>
              <w:t>Bonus Gap</w:t>
            </w:r>
          </w:p>
        </w:tc>
        <w:tc>
          <w:tcPr>
            <w:tcW w:w="10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9A17B86" w14:textId="77777777" w:rsidR="00724C31" w:rsidRPr="00937CF7" w:rsidRDefault="00724C31" w:rsidP="00DA4AE8">
            <w:pPr>
              <w:jc w:val="right"/>
              <w:rPr>
                <w:rFonts w:asciiTheme="minorHAnsi" w:hAnsiTheme="minorHAnsi"/>
                <w:b/>
                <w:bCs/>
                <w:sz w:val="20"/>
                <w:szCs w:val="20"/>
              </w:rPr>
            </w:pPr>
            <w:r w:rsidRPr="00937CF7">
              <w:rPr>
                <w:rFonts w:asciiTheme="minorHAnsi" w:hAnsiTheme="minorHAnsi"/>
                <w:b/>
                <w:bCs/>
                <w:sz w:val="20"/>
                <w:szCs w:val="20"/>
              </w:rPr>
              <w:t>2024</w:t>
            </w:r>
          </w:p>
        </w:tc>
        <w:tc>
          <w:tcPr>
            <w:tcW w:w="90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230C9F3F" w14:textId="77777777" w:rsidR="00724C31" w:rsidRPr="00937CF7" w:rsidRDefault="00724C31" w:rsidP="00DA4AE8">
            <w:pPr>
              <w:jc w:val="right"/>
              <w:rPr>
                <w:rFonts w:asciiTheme="minorHAnsi" w:hAnsiTheme="minorHAnsi"/>
                <w:b/>
                <w:bCs/>
                <w:sz w:val="20"/>
                <w:szCs w:val="20"/>
              </w:rPr>
            </w:pPr>
            <w:r w:rsidRPr="00937CF7">
              <w:rPr>
                <w:rFonts w:asciiTheme="minorHAnsi" w:hAnsiTheme="minorHAnsi"/>
                <w:b/>
                <w:bCs/>
                <w:sz w:val="20"/>
                <w:szCs w:val="20"/>
              </w:rPr>
              <w:t>2025</w:t>
            </w:r>
          </w:p>
        </w:tc>
        <w:tc>
          <w:tcPr>
            <w:tcW w:w="351" w:type="dxa"/>
            <w:tcBorders>
              <w:left w:val="single" w:sz="4" w:space="0" w:color="auto"/>
            </w:tcBorders>
            <w:shd w:val="clear" w:color="auto" w:fill="FFFFFF" w:themeFill="background1"/>
            <w:vAlign w:val="center"/>
          </w:tcPr>
          <w:p w14:paraId="3645E604" w14:textId="77777777" w:rsidR="00724C31" w:rsidRPr="00D86B51" w:rsidRDefault="00724C31" w:rsidP="00DA4AE8">
            <w:pPr>
              <w:rPr>
                <w:rFonts w:asciiTheme="minorHAnsi" w:hAnsiTheme="minorHAnsi"/>
                <w:b/>
                <w:bCs/>
                <w:szCs w:val="22"/>
              </w:rPr>
            </w:pPr>
          </w:p>
        </w:tc>
        <w:tc>
          <w:tcPr>
            <w:tcW w:w="1134" w:type="dxa"/>
            <w:shd w:val="clear" w:color="auto" w:fill="FFFFFF" w:themeFill="background1"/>
            <w:vAlign w:val="center"/>
          </w:tcPr>
          <w:p w14:paraId="3295EEC9" w14:textId="77777777" w:rsidR="00724C31" w:rsidRPr="0011057B" w:rsidRDefault="00724C31" w:rsidP="00DA4AE8">
            <w:pPr>
              <w:rPr>
                <w:rFonts w:asciiTheme="minorHAnsi" w:hAnsiTheme="minorHAnsi"/>
                <w:sz w:val="14"/>
                <w:szCs w:val="14"/>
              </w:rPr>
            </w:pPr>
          </w:p>
        </w:tc>
      </w:tr>
      <w:tr w:rsidR="00724C31" w14:paraId="61E0B88D" w14:textId="77777777" w:rsidTr="00724C31">
        <w:trPr>
          <w:jc w:val="center"/>
        </w:trPr>
        <w:tc>
          <w:tcPr>
            <w:tcW w:w="1302" w:type="dxa"/>
            <w:shd w:val="clear" w:color="auto" w:fill="FFFFFF" w:themeFill="background1"/>
            <w:vAlign w:val="center"/>
          </w:tcPr>
          <w:p w14:paraId="5494C4C4" w14:textId="77777777" w:rsidR="00724C31" w:rsidRDefault="00724C31" w:rsidP="00DA4AE8">
            <w:pPr>
              <w:rPr>
                <w:rFonts w:asciiTheme="minorHAnsi" w:hAnsiTheme="minorHAnsi"/>
                <w:szCs w:val="22"/>
              </w:rPr>
            </w:pPr>
          </w:p>
        </w:tc>
        <w:tc>
          <w:tcPr>
            <w:tcW w:w="905" w:type="dxa"/>
            <w:tcBorders>
              <w:top w:val="single" w:sz="4" w:space="0" w:color="auto"/>
            </w:tcBorders>
            <w:shd w:val="clear" w:color="auto" w:fill="FFFFFF" w:themeFill="background1"/>
            <w:vAlign w:val="center"/>
          </w:tcPr>
          <w:p w14:paraId="6A4D77FB" w14:textId="77777777" w:rsidR="00724C31" w:rsidRPr="00937CF7" w:rsidRDefault="00724C31" w:rsidP="00DA4AE8">
            <w:pPr>
              <w:jc w:val="right"/>
              <w:rPr>
                <w:rFonts w:asciiTheme="minorHAnsi" w:hAnsiTheme="minorHAnsi"/>
                <w:sz w:val="20"/>
                <w:szCs w:val="20"/>
              </w:rPr>
            </w:pPr>
          </w:p>
        </w:tc>
        <w:tc>
          <w:tcPr>
            <w:tcW w:w="907" w:type="dxa"/>
            <w:tcBorders>
              <w:top w:val="single" w:sz="4" w:space="0" w:color="auto"/>
            </w:tcBorders>
            <w:shd w:val="clear" w:color="auto" w:fill="FFFFFF" w:themeFill="background1"/>
            <w:vAlign w:val="center"/>
          </w:tcPr>
          <w:p w14:paraId="3900BDC9" w14:textId="77777777" w:rsidR="00724C31" w:rsidRPr="00937CF7" w:rsidRDefault="00724C31" w:rsidP="00DA4AE8">
            <w:pPr>
              <w:jc w:val="right"/>
              <w:rPr>
                <w:rFonts w:asciiTheme="minorHAnsi" w:hAnsiTheme="minorHAnsi"/>
                <w:sz w:val="20"/>
                <w:szCs w:val="20"/>
              </w:rPr>
            </w:pPr>
          </w:p>
        </w:tc>
        <w:tc>
          <w:tcPr>
            <w:tcW w:w="349" w:type="dxa"/>
            <w:shd w:val="clear" w:color="auto" w:fill="FFFFFF" w:themeFill="background1"/>
            <w:vAlign w:val="center"/>
          </w:tcPr>
          <w:p w14:paraId="6C7DAD8C" w14:textId="77777777" w:rsidR="00724C31" w:rsidRPr="00DA6A3D" w:rsidRDefault="00724C31" w:rsidP="00DA4AE8">
            <w:pPr>
              <w:jc w:val="center"/>
              <w:rPr>
                <w:rFonts w:asciiTheme="minorHAnsi" w:hAnsiTheme="minorHAnsi"/>
                <w:szCs w:val="22"/>
              </w:rPr>
            </w:pPr>
          </w:p>
        </w:tc>
        <w:tc>
          <w:tcPr>
            <w:tcW w:w="1077" w:type="dxa"/>
            <w:shd w:val="clear" w:color="auto" w:fill="FFFFFF" w:themeFill="background1"/>
            <w:vAlign w:val="center"/>
          </w:tcPr>
          <w:p w14:paraId="2C77B26C" w14:textId="77777777" w:rsidR="00724C31" w:rsidRPr="0011057B" w:rsidRDefault="00724C31" w:rsidP="00DA4AE8">
            <w:pPr>
              <w:rPr>
                <w:rFonts w:asciiTheme="minorHAnsi" w:hAnsiTheme="minorHAnsi"/>
                <w:sz w:val="14"/>
                <w:szCs w:val="14"/>
              </w:rPr>
            </w:pPr>
          </w:p>
        </w:tc>
        <w:tc>
          <w:tcPr>
            <w:tcW w:w="1302" w:type="dxa"/>
            <w:shd w:val="clear" w:color="auto" w:fill="FFFFFF" w:themeFill="background1"/>
            <w:vAlign w:val="center"/>
          </w:tcPr>
          <w:p w14:paraId="55EFE445" w14:textId="77777777" w:rsidR="00724C31" w:rsidRPr="00DA6A3D" w:rsidRDefault="00724C31" w:rsidP="00DA4AE8">
            <w:pPr>
              <w:rPr>
                <w:rFonts w:asciiTheme="minorHAnsi" w:hAnsiTheme="minorHAnsi"/>
                <w:szCs w:val="22"/>
              </w:rPr>
            </w:pPr>
          </w:p>
        </w:tc>
        <w:tc>
          <w:tcPr>
            <w:tcW w:w="1020" w:type="dxa"/>
            <w:tcBorders>
              <w:top w:val="single" w:sz="4" w:space="0" w:color="auto"/>
            </w:tcBorders>
            <w:shd w:val="clear" w:color="auto" w:fill="FFFFFF" w:themeFill="background1"/>
            <w:vAlign w:val="center"/>
          </w:tcPr>
          <w:p w14:paraId="6F1508A6" w14:textId="77777777" w:rsidR="00724C31" w:rsidRPr="00937CF7" w:rsidRDefault="00724C31" w:rsidP="00DA4AE8">
            <w:pPr>
              <w:jc w:val="right"/>
              <w:rPr>
                <w:rFonts w:asciiTheme="minorHAnsi" w:hAnsiTheme="minorHAnsi"/>
                <w:sz w:val="20"/>
                <w:szCs w:val="20"/>
              </w:rPr>
            </w:pPr>
          </w:p>
        </w:tc>
        <w:tc>
          <w:tcPr>
            <w:tcW w:w="905" w:type="dxa"/>
            <w:tcBorders>
              <w:top w:val="single" w:sz="4" w:space="0" w:color="auto"/>
            </w:tcBorders>
            <w:shd w:val="clear" w:color="auto" w:fill="FFFFFF" w:themeFill="background1"/>
            <w:vAlign w:val="center"/>
          </w:tcPr>
          <w:p w14:paraId="14F9C37D" w14:textId="77777777" w:rsidR="00724C31" w:rsidRPr="00937CF7" w:rsidRDefault="00724C31" w:rsidP="00DA4AE8">
            <w:pPr>
              <w:jc w:val="right"/>
              <w:rPr>
                <w:rFonts w:asciiTheme="minorHAnsi" w:hAnsiTheme="minorHAnsi"/>
                <w:sz w:val="20"/>
                <w:szCs w:val="20"/>
              </w:rPr>
            </w:pPr>
          </w:p>
        </w:tc>
        <w:tc>
          <w:tcPr>
            <w:tcW w:w="351" w:type="dxa"/>
            <w:shd w:val="clear" w:color="auto" w:fill="FFFFFF" w:themeFill="background1"/>
            <w:vAlign w:val="center"/>
          </w:tcPr>
          <w:p w14:paraId="4CCD5D90" w14:textId="77777777" w:rsidR="00724C31" w:rsidRDefault="00724C31" w:rsidP="00DA4AE8">
            <w:pPr>
              <w:rPr>
                <w:rFonts w:asciiTheme="minorHAnsi" w:hAnsiTheme="minorHAnsi"/>
                <w:szCs w:val="22"/>
              </w:rPr>
            </w:pPr>
          </w:p>
        </w:tc>
        <w:tc>
          <w:tcPr>
            <w:tcW w:w="1134" w:type="dxa"/>
            <w:shd w:val="clear" w:color="auto" w:fill="FFFFFF" w:themeFill="background1"/>
            <w:vAlign w:val="center"/>
          </w:tcPr>
          <w:p w14:paraId="7D8B3E44" w14:textId="77777777" w:rsidR="00724C31" w:rsidRPr="0011057B" w:rsidRDefault="00724C31" w:rsidP="00DA4AE8">
            <w:pPr>
              <w:rPr>
                <w:rFonts w:asciiTheme="minorHAnsi" w:hAnsiTheme="minorHAnsi"/>
                <w:sz w:val="14"/>
                <w:szCs w:val="14"/>
              </w:rPr>
            </w:pPr>
          </w:p>
        </w:tc>
      </w:tr>
      <w:tr w:rsidR="00724C31" w14:paraId="6F04B634" w14:textId="77777777" w:rsidTr="00724C31">
        <w:trPr>
          <w:jc w:val="center"/>
        </w:trPr>
        <w:tc>
          <w:tcPr>
            <w:tcW w:w="1302" w:type="dxa"/>
            <w:shd w:val="clear" w:color="auto" w:fill="FFFFFF" w:themeFill="background1"/>
            <w:vAlign w:val="center"/>
          </w:tcPr>
          <w:p w14:paraId="0514F130" w14:textId="77777777" w:rsidR="00724C31" w:rsidRPr="000E2885" w:rsidRDefault="00724C31" w:rsidP="00DA4AE8">
            <w:pPr>
              <w:rPr>
                <w:rFonts w:asciiTheme="minorHAnsi" w:hAnsiTheme="minorHAnsi"/>
                <w:b/>
                <w:bCs/>
                <w:szCs w:val="22"/>
              </w:rPr>
            </w:pPr>
            <w:r w:rsidRPr="000E2885">
              <w:rPr>
                <w:rFonts w:asciiTheme="minorHAnsi" w:hAnsiTheme="minorHAnsi"/>
                <w:b/>
                <w:bCs/>
                <w:szCs w:val="22"/>
              </w:rPr>
              <w:t>Gender</w:t>
            </w:r>
          </w:p>
        </w:tc>
        <w:tc>
          <w:tcPr>
            <w:tcW w:w="905" w:type="dxa"/>
            <w:tcBorders>
              <w:bottom w:val="single" w:sz="4" w:space="0" w:color="auto"/>
            </w:tcBorders>
            <w:shd w:val="clear" w:color="auto" w:fill="FFFFFF" w:themeFill="background1"/>
            <w:vAlign w:val="center"/>
          </w:tcPr>
          <w:p w14:paraId="0F756A80" w14:textId="77777777" w:rsidR="00724C31" w:rsidRPr="00937CF7" w:rsidRDefault="00724C31" w:rsidP="00DA4AE8">
            <w:pPr>
              <w:jc w:val="right"/>
              <w:rPr>
                <w:rFonts w:asciiTheme="minorHAnsi" w:hAnsiTheme="minorHAnsi"/>
                <w:b/>
                <w:bCs/>
                <w:sz w:val="20"/>
                <w:szCs w:val="20"/>
              </w:rPr>
            </w:pPr>
          </w:p>
        </w:tc>
        <w:tc>
          <w:tcPr>
            <w:tcW w:w="907" w:type="dxa"/>
            <w:tcBorders>
              <w:bottom w:val="single" w:sz="4" w:space="0" w:color="auto"/>
            </w:tcBorders>
            <w:shd w:val="clear" w:color="auto" w:fill="FFFFFF" w:themeFill="background1"/>
            <w:vAlign w:val="center"/>
          </w:tcPr>
          <w:p w14:paraId="26835C7C" w14:textId="77777777" w:rsidR="00724C31" w:rsidRPr="00937CF7" w:rsidRDefault="00724C31" w:rsidP="00DA4AE8">
            <w:pPr>
              <w:jc w:val="right"/>
              <w:rPr>
                <w:rFonts w:asciiTheme="minorHAnsi" w:hAnsiTheme="minorHAnsi"/>
                <w:b/>
                <w:bCs/>
                <w:sz w:val="20"/>
                <w:szCs w:val="20"/>
              </w:rPr>
            </w:pPr>
          </w:p>
        </w:tc>
        <w:tc>
          <w:tcPr>
            <w:tcW w:w="349" w:type="dxa"/>
            <w:shd w:val="clear" w:color="auto" w:fill="FFFFFF" w:themeFill="background1"/>
            <w:vAlign w:val="center"/>
          </w:tcPr>
          <w:p w14:paraId="187FCC6D" w14:textId="77777777" w:rsidR="00724C31" w:rsidRPr="00DA6A3D" w:rsidRDefault="00724C31" w:rsidP="00DA4AE8">
            <w:pPr>
              <w:jc w:val="center"/>
              <w:rPr>
                <w:rFonts w:asciiTheme="minorHAnsi" w:hAnsiTheme="minorHAnsi"/>
                <w:b/>
                <w:bCs/>
                <w:szCs w:val="22"/>
              </w:rPr>
            </w:pPr>
          </w:p>
        </w:tc>
        <w:tc>
          <w:tcPr>
            <w:tcW w:w="1077" w:type="dxa"/>
            <w:shd w:val="clear" w:color="auto" w:fill="FFFFFF" w:themeFill="background1"/>
            <w:vAlign w:val="center"/>
          </w:tcPr>
          <w:p w14:paraId="79D24118" w14:textId="77777777" w:rsidR="00724C31" w:rsidRPr="0011057B" w:rsidRDefault="00724C31" w:rsidP="00DA4AE8">
            <w:pPr>
              <w:rPr>
                <w:rFonts w:asciiTheme="minorHAnsi" w:hAnsiTheme="minorHAnsi"/>
                <w:b/>
                <w:bCs/>
                <w:sz w:val="14"/>
                <w:szCs w:val="14"/>
              </w:rPr>
            </w:pPr>
          </w:p>
        </w:tc>
        <w:tc>
          <w:tcPr>
            <w:tcW w:w="1302" w:type="dxa"/>
            <w:shd w:val="clear" w:color="auto" w:fill="FFFFFF" w:themeFill="background1"/>
            <w:vAlign w:val="center"/>
          </w:tcPr>
          <w:p w14:paraId="443E62E6" w14:textId="77777777" w:rsidR="00724C31" w:rsidRPr="00DA6A3D" w:rsidRDefault="00724C31" w:rsidP="00DA4AE8">
            <w:pPr>
              <w:rPr>
                <w:rFonts w:asciiTheme="minorHAnsi" w:hAnsiTheme="minorHAnsi"/>
                <w:b/>
                <w:bCs/>
                <w:szCs w:val="22"/>
              </w:rPr>
            </w:pPr>
            <w:r w:rsidRPr="00DA6A3D">
              <w:rPr>
                <w:rFonts w:asciiTheme="minorHAnsi" w:hAnsiTheme="minorHAnsi"/>
                <w:b/>
                <w:bCs/>
                <w:szCs w:val="22"/>
              </w:rPr>
              <w:t>Gender</w:t>
            </w:r>
          </w:p>
        </w:tc>
        <w:tc>
          <w:tcPr>
            <w:tcW w:w="1020" w:type="dxa"/>
            <w:tcBorders>
              <w:bottom w:val="single" w:sz="4" w:space="0" w:color="auto"/>
            </w:tcBorders>
            <w:shd w:val="clear" w:color="auto" w:fill="FFFFFF" w:themeFill="background1"/>
            <w:vAlign w:val="center"/>
          </w:tcPr>
          <w:p w14:paraId="2864F8CF" w14:textId="77777777" w:rsidR="00724C31" w:rsidRPr="00937CF7" w:rsidRDefault="00724C31" w:rsidP="00DA4AE8">
            <w:pPr>
              <w:jc w:val="right"/>
              <w:rPr>
                <w:rFonts w:asciiTheme="minorHAnsi" w:hAnsiTheme="minorHAnsi"/>
                <w:b/>
                <w:bCs/>
                <w:sz w:val="20"/>
                <w:szCs w:val="20"/>
              </w:rPr>
            </w:pPr>
          </w:p>
        </w:tc>
        <w:tc>
          <w:tcPr>
            <w:tcW w:w="905" w:type="dxa"/>
            <w:tcBorders>
              <w:bottom w:val="single" w:sz="4" w:space="0" w:color="auto"/>
            </w:tcBorders>
            <w:shd w:val="clear" w:color="auto" w:fill="FFFFFF" w:themeFill="background1"/>
            <w:vAlign w:val="center"/>
          </w:tcPr>
          <w:p w14:paraId="44A9DC37" w14:textId="77777777" w:rsidR="00724C31" w:rsidRPr="00937CF7" w:rsidRDefault="00724C31" w:rsidP="00DA4AE8">
            <w:pPr>
              <w:jc w:val="right"/>
              <w:rPr>
                <w:rFonts w:asciiTheme="minorHAnsi" w:hAnsiTheme="minorHAnsi"/>
                <w:b/>
                <w:bCs/>
                <w:sz w:val="20"/>
                <w:szCs w:val="20"/>
              </w:rPr>
            </w:pPr>
          </w:p>
        </w:tc>
        <w:tc>
          <w:tcPr>
            <w:tcW w:w="351" w:type="dxa"/>
            <w:shd w:val="clear" w:color="auto" w:fill="FFFFFF" w:themeFill="background1"/>
            <w:vAlign w:val="center"/>
          </w:tcPr>
          <w:p w14:paraId="4371FA9A" w14:textId="77777777" w:rsidR="00724C31" w:rsidRPr="000E2885" w:rsidRDefault="00724C31" w:rsidP="00DA4AE8">
            <w:pPr>
              <w:rPr>
                <w:rFonts w:asciiTheme="minorHAnsi" w:hAnsiTheme="minorHAnsi"/>
                <w:b/>
                <w:bCs/>
                <w:szCs w:val="22"/>
              </w:rPr>
            </w:pPr>
          </w:p>
        </w:tc>
        <w:tc>
          <w:tcPr>
            <w:tcW w:w="1134" w:type="dxa"/>
            <w:shd w:val="clear" w:color="auto" w:fill="FFFFFF" w:themeFill="background1"/>
            <w:vAlign w:val="center"/>
          </w:tcPr>
          <w:p w14:paraId="06A7D0DF" w14:textId="77777777" w:rsidR="00724C31" w:rsidRPr="0011057B" w:rsidRDefault="00724C31" w:rsidP="00DA4AE8">
            <w:pPr>
              <w:rPr>
                <w:rFonts w:asciiTheme="minorHAnsi" w:hAnsiTheme="minorHAnsi"/>
                <w:sz w:val="14"/>
                <w:szCs w:val="14"/>
              </w:rPr>
            </w:pPr>
          </w:p>
        </w:tc>
      </w:tr>
      <w:tr w:rsidR="00724C31" w14:paraId="26B4B0F9" w14:textId="77777777" w:rsidTr="00724C31">
        <w:trPr>
          <w:jc w:val="center"/>
        </w:trPr>
        <w:tc>
          <w:tcPr>
            <w:tcW w:w="1302" w:type="dxa"/>
            <w:tcBorders>
              <w:right w:val="single" w:sz="4" w:space="0" w:color="auto"/>
            </w:tcBorders>
            <w:shd w:val="clear" w:color="auto" w:fill="FFFFFF" w:themeFill="background1"/>
            <w:vAlign w:val="center"/>
          </w:tcPr>
          <w:p w14:paraId="22CED5C3" w14:textId="77777777" w:rsidR="00724C31" w:rsidRDefault="00724C31" w:rsidP="00DA4AE8">
            <w:pPr>
              <w:rPr>
                <w:rFonts w:asciiTheme="minorHAnsi" w:hAnsiTheme="minorHAnsi"/>
                <w:szCs w:val="22"/>
              </w:rPr>
            </w:pPr>
            <w:r>
              <w:rPr>
                <w:rFonts w:asciiTheme="minorHAnsi" w:hAnsiTheme="minorHAnsi"/>
                <w:szCs w:val="22"/>
              </w:rPr>
              <w:t>Mean</w:t>
            </w:r>
          </w:p>
        </w:tc>
        <w:tc>
          <w:tcPr>
            <w:tcW w:w="90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73EB70D4"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15.5%</w:t>
            </w:r>
          </w:p>
        </w:tc>
        <w:tc>
          <w:tcPr>
            <w:tcW w:w="90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2A5470CC"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14.4%</w:t>
            </w:r>
          </w:p>
        </w:tc>
        <w:tc>
          <w:tcPr>
            <w:tcW w:w="349" w:type="dxa"/>
            <w:tcBorders>
              <w:left w:val="single" w:sz="4" w:space="0" w:color="auto"/>
            </w:tcBorders>
            <w:shd w:val="clear" w:color="auto" w:fill="FFFFFF" w:themeFill="background1"/>
            <w:vAlign w:val="center"/>
          </w:tcPr>
          <w:p w14:paraId="04781EA6" w14:textId="77777777" w:rsidR="00724C31" w:rsidRPr="00D3204E" w:rsidRDefault="00724C31" w:rsidP="00DA4AE8">
            <w:pPr>
              <w:jc w:val="center"/>
              <w:rPr>
                <w:rFonts w:asciiTheme="minorHAnsi" w:hAnsiTheme="minorHAnsi"/>
                <w:b/>
                <w:bCs/>
                <w:color w:val="00B050"/>
                <w:szCs w:val="22"/>
              </w:rPr>
            </w:pPr>
            <w:r w:rsidRPr="00D3204E">
              <w:rPr>
                <w:rFonts w:asciiTheme="minorHAnsi" w:hAnsiTheme="minorHAnsi"/>
                <w:b/>
                <w:bCs/>
                <w:color w:val="00B050"/>
                <w:szCs w:val="22"/>
              </w:rPr>
              <w:t>↓</w:t>
            </w:r>
          </w:p>
        </w:tc>
        <w:tc>
          <w:tcPr>
            <w:tcW w:w="1077" w:type="dxa"/>
            <w:shd w:val="clear" w:color="auto" w:fill="FFFFFF" w:themeFill="background1"/>
            <w:vAlign w:val="center"/>
          </w:tcPr>
          <w:p w14:paraId="0F3C864C" w14:textId="77777777" w:rsidR="00724C31" w:rsidRPr="0011057B" w:rsidRDefault="00724C31" w:rsidP="00DA4AE8">
            <w:pPr>
              <w:rPr>
                <w:rFonts w:asciiTheme="minorHAnsi" w:hAnsiTheme="minorHAnsi"/>
                <w:sz w:val="14"/>
                <w:szCs w:val="14"/>
              </w:rPr>
            </w:pPr>
            <w:r>
              <w:rPr>
                <w:rFonts w:asciiTheme="minorHAnsi" w:hAnsiTheme="minorHAnsi"/>
                <w:sz w:val="14"/>
                <w:szCs w:val="14"/>
              </w:rPr>
              <w:t>1.1</w:t>
            </w:r>
            <w:r w:rsidRPr="0011057B">
              <w:rPr>
                <w:rFonts w:asciiTheme="minorHAnsi" w:hAnsiTheme="minorHAnsi"/>
                <w:sz w:val="14"/>
                <w:szCs w:val="14"/>
              </w:rPr>
              <w:t>%-points</w:t>
            </w:r>
          </w:p>
        </w:tc>
        <w:tc>
          <w:tcPr>
            <w:tcW w:w="1302" w:type="dxa"/>
            <w:tcBorders>
              <w:right w:val="single" w:sz="4" w:space="0" w:color="auto"/>
            </w:tcBorders>
            <w:shd w:val="clear" w:color="auto" w:fill="FFFFFF" w:themeFill="background1"/>
            <w:vAlign w:val="center"/>
          </w:tcPr>
          <w:p w14:paraId="265FE6A6" w14:textId="77777777" w:rsidR="00724C31" w:rsidRPr="00DA6A3D" w:rsidRDefault="00724C31" w:rsidP="00DA4AE8">
            <w:pPr>
              <w:rPr>
                <w:rFonts w:asciiTheme="minorHAnsi" w:hAnsiTheme="minorHAnsi"/>
                <w:szCs w:val="22"/>
              </w:rPr>
            </w:pPr>
            <w:r>
              <w:rPr>
                <w:rFonts w:asciiTheme="minorHAnsi" w:hAnsiTheme="minorHAnsi"/>
                <w:szCs w:val="22"/>
              </w:rPr>
              <w:t>Mean</w:t>
            </w:r>
          </w:p>
        </w:tc>
        <w:tc>
          <w:tcPr>
            <w:tcW w:w="10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8202E5E"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74.4%</w:t>
            </w:r>
          </w:p>
        </w:tc>
        <w:tc>
          <w:tcPr>
            <w:tcW w:w="90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159FB19B"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76.6%</w:t>
            </w:r>
          </w:p>
        </w:tc>
        <w:tc>
          <w:tcPr>
            <w:tcW w:w="351" w:type="dxa"/>
            <w:tcBorders>
              <w:left w:val="single" w:sz="4" w:space="0" w:color="auto"/>
            </w:tcBorders>
            <w:shd w:val="clear" w:color="auto" w:fill="FFFFFF" w:themeFill="background1"/>
            <w:vAlign w:val="center"/>
          </w:tcPr>
          <w:p w14:paraId="2A6D388A" w14:textId="77777777" w:rsidR="00724C31" w:rsidRPr="00293A4D" w:rsidRDefault="00724C31" w:rsidP="00DA4AE8">
            <w:pPr>
              <w:rPr>
                <w:rFonts w:asciiTheme="minorHAnsi" w:hAnsiTheme="minorHAnsi"/>
                <w:b/>
                <w:bCs/>
                <w:szCs w:val="22"/>
              </w:rPr>
            </w:pPr>
            <w:r w:rsidRPr="00D3204E">
              <w:rPr>
                <w:rFonts w:asciiTheme="minorHAnsi" w:hAnsiTheme="minorHAnsi"/>
                <w:b/>
                <w:bCs/>
                <w:color w:val="FF0000"/>
                <w:szCs w:val="22"/>
              </w:rPr>
              <w:t>↑</w:t>
            </w:r>
          </w:p>
        </w:tc>
        <w:tc>
          <w:tcPr>
            <w:tcW w:w="1134" w:type="dxa"/>
            <w:shd w:val="clear" w:color="auto" w:fill="FFFFFF" w:themeFill="background1"/>
            <w:vAlign w:val="center"/>
          </w:tcPr>
          <w:p w14:paraId="3B1EC692" w14:textId="77777777" w:rsidR="00724C31" w:rsidRPr="00293A4D" w:rsidRDefault="00724C31" w:rsidP="00DA4AE8">
            <w:pPr>
              <w:rPr>
                <w:rFonts w:asciiTheme="minorHAnsi" w:hAnsiTheme="minorHAnsi"/>
                <w:sz w:val="14"/>
                <w:szCs w:val="14"/>
              </w:rPr>
            </w:pPr>
            <w:r>
              <w:rPr>
                <w:rFonts w:asciiTheme="minorHAnsi" w:hAnsiTheme="minorHAnsi"/>
                <w:sz w:val="14"/>
                <w:szCs w:val="14"/>
              </w:rPr>
              <w:t>2.2</w:t>
            </w:r>
            <w:r w:rsidRPr="0011057B">
              <w:rPr>
                <w:rFonts w:asciiTheme="minorHAnsi" w:hAnsiTheme="minorHAnsi"/>
                <w:sz w:val="14"/>
                <w:szCs w:val="14"/>
              </w:rPr>
              <w:t>%-points</w:t>
            </w:r>
          </w:p>
        </w:tc>
      </w:tr>
      <w:tr w:rsidR="00724C31" w14:paraId="021AEECA" w14:textId="77777777" w:rsidTr="00724C31">
        <w:trPr>
          <w:jc w:val="center"/>
        </w:trPr>
        <w:tc>
          <w:tcPr>
            <w:tcW w:w="1302" w:type="dxa"/>
            <w:tcBorders>
              <w:right w:val="single" w:sz="4" w:space="0" w:color="auto"/>
            </w:tcBorders>
            <w:shd w:val="clear" w:color="auto" w:fill="FFFFFF" w:themeFill="background1"/>
            <w:vAlign w:val="center"/>
          </w:tcPr>
          <w:p w14:paraId="7CF60371" w14:textId="77777777" w:rsidR="00724C31" w:rsidRDefault="00724C31" w:rsidP="00DA4AE8">
            <w:pPr>
              <w:rPr>
                <w:rFonts w:asciiTheme="minorHAnsi" w:hAnsiTheme="minorHAnsi"/>
                <w:szCs w:val="22"/>
              </w:rPr>
            </w:pPr>
            <w:r>
              <w:rPr>
                <w:rFonts w:asciiTheme="minorHAnsi" w:hAnsiTheme="minorHAnsi"/>
                <w:szCs w:val="22"/>
              </w:rPr>
              <w:t>Median</w:t>
            </w:r>
          </w:p>
        </w:tc>
        <w:tc>
          <w:tcPr>
            <w:tcW w:w="90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4EEEEBB"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14.3%</w:t>
            </w:r>
          </w:p>
        </w:tc>
        <w:tc>
          <w:tcPr>
            <w:tcW w:w="90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5D4925F8"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13.3%</w:t>
            </w:r>
          </w:p>
        </w:tc>
        <w:tc>
          <w:tcPr>
            <w:tcW w:w="349" w:type="dxa"/>
            <w:tcBorders>
              <w:left w:val="single" w:sz="4" w:space="0" w:color="auto"/>
            </w:tcBorders>
            <w:shd w:val="clear" w:color="auto" w:fill="FFFFFF" w:themeFill="background1"/>
            <w:vAlign w:val="center"/>
          </w:tcPr>
          <w:p w14:paraId="5A42711C" w14:textId="77777777" w:rsidR="00724C31" w:rsidRPr="00D3204E" w:rsidRDefault="00724C31" w:rsidP="00DA4AE8">
            <w:pPr>
              <w:jc w:val="center"/>
              <w:rPr>
                <w:rFonts w:asciiTheme="minorHAnsi" w:hAnsiTheme="minorHAnsi"/>
                <w:b/>
                <w:bCs/>
                <w:color w:val="00B050"/>
                <w:szCs w:val="22"/>
              </w:rPr>
            </w:pPr>
            <w:r w:rsidRPr="00D3204E">
              <w:rPr>
                <w:rFonts w:asciiTheme="minorHAnsi" w:hAnsiTheme="minorHAnsi"/>
                <w:b/>
                <w:bCs/>
                <w:color w:val="00B050"/>
                <w:szCs w:val="22"/>
              </w:rPr>
              <w:t>↓</w:t>
            </w:r>
          </w:p>
        </w:tc>
        <w:tc>
          <w:tcPr>
            <w:tcW w:w="1077" w:type="dxa"/>
            <w:shd w:val="clear" w:color="auto" w:fill="FFFFFF" w:themeFill="background1"/>
            <w:vAlign w:val="center"/>
          </w:tcPr>
          <w:p w14:paraId="41FA2D18" w14:textId="77777777" w:rsidR="00724C31" w:rsidRPr="0011057B" w:rsidRDefault="00724C31" w:rsidP="00DA4AE8">
            <w:pPr>
              <w:rPr>
                <w:rFonts w:asciiTheme="minorHAnsi" w:hAnsiTheme="minorHAnsi"/>
                <w:sz w:val="14"/>
                <w:szCs w:val="14"/>
              </w:rPr>
            </w:pPr>
            <w:r>
              <w:rPr>
                <w:rFonts w:asciiTheme="minorHAnsi" w:hAnsiTheme="minorHAnsi"/>
                <w:sz w:val="14"/>
                <w:szCs w:val="14"/>
              </w:rPr>
              <w:t>1.0</w:t>
            </w:r>
            <w:r w:rsidRPr="0011057B">
              <w:rPr>
                <w:rFonts w:asciiTheme="minorHAnsi" w:hAnsiTheme="minorHAnsi"/>
                <w:sz w:val="14"/>
                <w:szCs w:val="14"/>
              </w:rPr>
              <w:t>%-points</w:t>
            </w:r>
          </w:p>
        </w:tc>
        <w:tc>
          <w:tcPr>
            <w:tcW w:w="1302" w:type="dxa"/>
            <w:tcBorders>
              <w:right w:val="single" w:sz="4" w:space="0" w:color="auto"/>
            </w:tcBorders>
            <w:shd w:val="clear" w:color="auto" w:fill="FFFFFF" w:themeFill="background1"/>
            <w:vAlign w:val="center"/>
          </w:tcPr>
          <w:p w14:paraId="719D41ED" w14:textId="77777777" w:rsidR="00724C31" w:rsidRPr="00DA6A3D" w:rsidRDefault="00724C31" w:rsidP="00DA4AE8">
            <w:pPr>
              <w:rPr>
                <w:rFonts w:asciiTheme="minorHAnsi" w:hAnsiTheme="minorHAnsi"/>
                <w:szCs w:val="22"/>
              </w:rPr>
            </w:pPr>
            <w:r>
              <w:rPr>
                <w:rFonts w:asciiTheme="minorHAnsi" w:hAnsiTheme="minorHAnsi"/>
                <w:szCs w:val="22"/>
              </w:rPr>
              <w:t>Median</w:t>
            </w:r>
          </w:p>
        </w:tc>
        <w:tc>
          <w:tcPr>
            <w:tcW w:w="10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38F70700"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50.0%</w:t>
            </w:r>
          </w:p>
        </w:tc>
        <w:tc>
          <w:tcPr>
            <w:tcW w:w="90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7D46609"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0.0%</w:t>
            </w:r>
          </w:p>
        </w:tc>
        <w:tc>
          <w:tcPr>
            <w:tcW w:w="351" w:type="dxa"/>
            <w:tcBorders>
              <w:left w:val="single" w:sz="4" w:space="0" w:color="auto"/>
            </w:tcBorders>
            <w:shd w:val="clear" w:color="auto" w:fill="FFFFFF" w:themeFill="background1"/>
            <w:vAlign w:val="center"/>
          </w:tcPr>
          <w:p w14:paraId="2A5B5BB6" w14:textId="77777777" w:rsidR="00724C31" w:rsidRPr="00293A4D" w:rsidRDefault="00724C31" w:rsidP="00DA4AE8">
            <w:pPr>
              <w:rPr>
                <w:rFonts w:asciiTheme="minorHAnsi" w:hAnsiTheme="minorHAnsi"/>
                <w:b/>
                <w:bCs/>
                <w:szCs w:val="22"/>
              </w:rPr>
            </w:pPr>
            <w:r w:rsidRPr="00D3204E">
              <w:rPr>
                <w:rFonts w:asciiTheme="minorHAnsi" w:hAnsiTheme="minorHAnsi"/>
                <w:b/>
                <w:bCs/>
                <w:color w:val="00B050"/>
                <w:szCs w:val="22"/>
              </w:rPr>
              <w:t>↓</w:t>
            </w:r>
          </w:p>
        </w:tc>
        <w:tc>
          <w:tcPr>
            <w:tcW w:w="1134" w:type="dxa"/>
            <w:shd w:val="clear" w:color="auto" w:fill="FFFFFF" w:themeFill="background1"/>
            <w:vAlign w:val="center"/>
          </w:tcPr>
          <w:p w14:paraId="0DDA1316" w14:textId="77777777" w:rsidR="00724C31" w:rsidRPr="00293A4D" w:rsidRDefault="00724C31" w:rsidP="00DA4AE8">
            <w:pPr>
              <w:rPr>
                <w:rFonts w:asciiTheme="minorHAnsi" w:hAnsiTheme="minorHAnsi"/>
                <w:sz w:val="14"/>
                <w:szCs w:val="14"/>
              </w:rPr>
            </w:pPr>
            <w:r>
              <w:rPr>
                <w:rFonts w:asciiTheme="minorHAnsi" w:hAnsiTheme="minorHAnsi"/>
                <w:sz w:val="14"/>
                <w:szCs w:val="14"/>
              </w:rPr>
              <w:t>50.0</w:t>
            </w:r>
            <w:r w:rsidRPr="0011057B">
              <w:rPr>
                <w:rFonts w:asciiTheme="minorHAnsi" w:hAnsiTheme="minorHAnsi"/>
                <w:sz w:val="14"/>
                <w:szCs w:val="14"/>
              </w:rPr>
              <w:t>%-points</w:t>
            </w:r>
          </w:p>
        </w:tc>
      </w:tr>
      <w:tr w:rsidR="00724C31" w14:paraId="75E1AC71" w14:textId="77777777" w:rsidTr="00724C31">
        <w:trPr>
          <w:jc w:val="center"/>
        </w:trPr>
        <w:tc>
          <w:tcPr>
            <w:tcW w:w="1302" w:type="dxa"/>
            <w:shd w:val="clear" w:color="auto" w:fill="FFFFFF" w:themeFill="background1"/>
            <w:vAlign w:val="center"/>
          </w:tcPr>
          <w:p w14:paraId="5E476CE9" w14:textId="77777777" w:rsidR="00724C31" w:rsidRDefault="00724C31" w:rsidP="00DA4AE8">
            <w:pPr>
              <w:rPr>
                <w:rFonts w:asciiTheme="minorHAnsi" w:hAnsiTheme="minorHAnsi"/>
                <w:szCs w:val="22"/>
              </w:rPr>
            </w:pPr>
          </w:p>
        </w:tc>
        <w:tc>
          <w:tcPr>
            <w:tcW w:w="905" w:type="dxa"/>
            <w:tcBorders>
              <w:top w:val="single" w:sz="4" w:space="0" w:color="auto"/>
            </w:tcBorders>
            <w:shd w:val="clear" w:color="auto" w:fill="FFFFFF" w:themeFill="background1"/>
            <w:vAlign w:val="center"/>
          </w:tcPr>
          <w:p w14:paraId="752A02F5" w14:textId="77777777" w:rsidR="00724C31" w:rsidRPr="00937CF7" w:rsidRDefault="00724C31" w:rsidP="00DA4AE8">
            <w:pPr>
              <w:jc w:val="right"/>
              <w:rPr>
                <w:rFonts w:asciiTheme="minorHAnsi" w:hAnsiTheme="minorHAnsi"/>
                <w:sz w:val="20"/>
                <w:szCs w:val="20"/>
              </w:rPr>
            </w:pPr>
          </w:p>
        </w:tc>
        <w:tc>
          <w:tcPr>
            <w:tcW w:w="907" w:type="dxa"/>
            <w:tcBorders>
              <w:top w:val="single" w:sz="4" w:space="0" w:color="auto"/>
            </w:tcBorders>
            <w:shd w:val="clear" w:color="auto" w:fill="FFFFFF" w:themeFill="background1"/>
            <w:vAlign w:val="center"/>
          </w:tcPr>
          <w:p w14:paraId="67C05974" w14:textId="77777777" w:rsidR="00724C31" w:rsidRPr="00937CF7" w:rsidRDefault="00724C31" w:rsidP="00DA4AE8">
            <w:pPr>
              <w:jc w:val="right"/>
              <w:rPr>
                <w:rFonts w:asciiTheme="minorHAnsi" w:hAnsiTheme="minorHAnsi"/>
                <w:sz w:val="20"/>
                <w:szCs w:val="20"/>
              </w:rPr>
            </w:pPr>
          </w:p>
        </w:tc>
        <w:tc>
          <w:tcPr>
            <w:tcW w:w="349" w:type="dxa"/>
            <w:shd w:val="clear" w:color="auto" w:fill="FFFFFF" w:themeFill="background1"/>
            <w:vAlign w:val="center"/>
          </w:tcPr>
          <w:p w14:paraId="59349912" w14:textId="77777777" w:rsidR="00724C31" w:rsidRPr="00D3204E" w:rsidRDefault="00724C31" w:rsidP="00DA4AE8">
            <w:pPr>
              <w:jc w:val="center"/>
              <w:rPr>
                <w:rFonts w:asciiTheme="minorHAnsi" w:hAnsiTheme="minorHAnsi"/>
                <w:b/>
                <w:bCs/>
                <w:szCs w:val="22"/>
              </w:rPr>
            </w:pPr>
          </w:p>
        </w:tc>
        <w:tc>
          <w:tcPr>
            <w:tcW w:w="1077" w:type="dxa"/>
            <w:shd w:val="clear" w:color="auto" w:fill="FFFFFF" w:themeFill="background1"/>
            <w:vAlign w:val="center"/>
          </w:tcPr>
          <w:p w14:paraId="51E130E3" w14:textId="77777777" w:rsidR="00724C31" w:rsidRPr="0011057B" w:rsidRDefault="00724C31" w:rsidP="00DA4AE8">
            <w:pPr>
              <w:rPr>
                <w:rFonts w:asciiTheme="minorHAnsi" w:hAnsiTheme="minorHAnsi"/>
                <w:sz w:val="14"/>
                <w:szCs w:val="14"/>
              </w:rPr>
            </w:pPr>
          </w:p>
        </w:tc>
        <w:tc>
          <w:tcPr>
            <w:tcW w:w="1302" w:type="dxa"/>
            <w:shd w:val="clear" w:color="auto" w:fill="FFFFFF" w:themeFill="background1"/>
            <w:vAlign w:val="center"/>
          </w:tcPr>
          <w:p w14:paraId="4C8AFE67" w14:textId="77777777" w:rsidR="00724C31" w:rsidRPr="00DA6A3D" w:rsidRDefault="00724C31" w:rsidP="00DA4AE8">
            <w:pPr>
              <w:rPr>
                <w:rFonts w:asciiTheme="minorHAnsi" w:hAnsiTheme="minorHAnsi"/>
                <w:szCs w:val="22"/>
              </w:rPr>
            </w:pPr>
          </w:p>
        </w:tc>
        <w:tc>
          <w:tcPr>
            <w:tcW w:w="1020" w:type="dxa"/>
            <w:tcBorders>
              <w:top w:val="single" w:sz="4" w:space="0" w:color="auto"/>
            </w:tcBorders>
            <w:shd w:val="clear" w:color="auto" w:fill="FFFFFF" w:themeFill="background1"/>
            <w:vAlign w:val="center"/>
          </w:tcPr>
          <w:p w14:paraId="0B4E8479" w14:textId="77777777" w:rsidR="00724C31" w:rsidRPr="00937CF7" w:rsidRDefault="00724C31" w:rsidP="00DA4AE8">
            <w:pPr>
              <w:jc w:val="right"/>
              <w:rPr>
                <w:rFonts w:asciiTheme="minorHAnsi" w:hAnsiTheme="minorHAnsi"/>
                <w:sz w:val="20"/>
                <w:szCs w:val="20"/>
              </w:rPr>
            </w:pPr>
          </w:p>
        </w:tc>
        <w:tc>
          <w:tcPr>
            <w:tcW w:w="905" w:type="dxa"/>
            <w:tcBorders>
              <w:top w:val="single" w:sz="4" w:space="0" w:color="auto"/>
            </w:tcBorders>
            <w:shd w:val="clear" w:color="auto" w:fill="FFFFFF" w:themeFill="background1"/>
            <w:vAlign w:val="center"/>
          </w:tcPr>
          <w:p w14:paraId="5E3CBB45" w14:textId="77777777" w:rsidR="00724C31" w:rsidRPr="00937CF7" w:rsidRDefault="00724C31" w:rsidP="00DA4AE8">
            <w:pPr>
              <w:jc w:val="right"/>
              <w:rPr>
                <w:rFonts w:asciiTheme="minorHAnsi" w:hAnsiTheme="minorHAnsi"/>
                <w:sz w:val="20"/>
                <w:szCs w:val="20"/>
              </w:rPr>
            </w:pPr>
          </w:p>
        </w:tc>
        <w:tc>
          <w:tcPr>
            <w:tcW w:w="351" w:type="dxa"/>
            <w:shd w:val="clear" w:color="auto" w:fill="FFFFFF" w:themeFill="background1"/>
            <w:vAlign w:val="center"/>
          </w:tcPr>
          <w:p w14:paraId="5AE93170" w14:textId="77777777" w:rsidR="00724C31" w:rsidRPr="00293A4D" w:rsidRDefault="00724C31" w:rsidP="00DA4AE8">
            <w:pPr>
              <w:rPr>
                <w:rFonts w:asciiTheme="minorHAnsi" w:hAnsiTheme="minorHAnsi"/>
                <w:b/>
                <w:bCs/>
                <w:szCs w:val="22"/>
              </w:rPr>
            </w:pPr>
          </w:p>
        </w:tc>
        <w:tc>
          <w:tcPr>
            <w:tcW w:w="1134" w:type="dxa"/>
            <w:shd w:val="clear" w:color="auto" w:fill="FFFFFF" w:themeFill="background1"/>
            <w:vAlign w:val="center"/>
          </w:tcPr>
          <w:p w14:paraId="3F1A7AB1" w14:textId="77777777" w:rsidR="00724C31" w:rsidRPr="00293A4D" w:rsidRDefault="00724C31" w:rsidP="00DA4AE8">
            <w:pPr>
              <w:rPr>
                <w:rFonts w:asciiTheme="minorHAnsi" w:hAnsiTheme="minorHAnsi"/>
                <w:sz w:val="14"/>
                <w:szCs w:val="14"/>
              </w:rPr>
            </w:pPr>
          </w:p>
        </w:tc>
      </w:tr>
      <w:tr w:rsidR="00724C31" w14:paraId="0AA7590A" w14:textId="77777777" w:rsidTr="00724C31">
        <w:trPr>
          <w:jc w:val="center"/>
        </w:trPr>
        <w:tc>
          <w:tcPr>
            <w:tcW w:w="1302" w:type="dxa"/>
            <w:shd w:val="clear" w:color="auto" w:fill="FFFFFF" w:themeFill="background1"/>
            <w:vAlign w:val="center"/>
          </w:tcPr>
          <w:p w14:paraId="6DA16A94" w14:textId="77777777" w:rsidR="00724C31" w:rsidRPr="000E2885" w:rsidRDefault="00724C31" w:rsidP="00DA4AE8">
            <w:pPr>
              <w:rPr>
                <w:rFonts w:asciiTheme="minorHAnsi" w:hAnsiTheme="minorHAnsi"/>
                <w:b/>
                <w:bCs/>
                <w:szCs w:val="22"/>
              </w:rPr>
            </w:pPr>
            <w:r w:rsidRPr="000E2885">
              <w:rPr>
                <w:rFonts w:asciiTheme="minorHAnsi" w:hAnsiTheme="minorHAnsi"/>
                <w:b/>
                <w:bCs/>
                <w:szCs w:val="22"/>
              </w:rPr>
              <w:t>Ethnicity</w:t>
            </w:r>
          </w:p>
        </w:tc>
        <w:tc>
          <w:tcPr>
            <w:tcW w:w="905" w:type="dxa"/>
            <w:tcBorders>
              <w:bottom w:val="single" w:sz="4" w:space="0" w:color="auto"/>
            </w:tcBorders>
            <w:shd w:val="clear" w:color="auto" w:fill="FFFFFF" w:themeFill="background1"/>
            <w:vAlign w:val="center"/>
          </w:tcPr>
          <w:p w14:paraId="64828F99" w14:textId="77777777" w:rsidR="00724C31" w:rsidRPr="00937CF7" w:rsidRDefault="00724C31" w:rsidP="00DA4AE8">
            <w:pPr>
              <w:jc w:val="right"/>
              <w:rPr>
                <w:rFonts w:asciiTheme="minorHAnsi" w:hAnsiTheme="minorHAnsi"/>
                <w:b/>
                <w:bCs/>
                <w:sz w:val="20"/>
                <w:szCs w:val="20"/>
              </w:rPr>
            </w:pPr>
          </w:p>
        </w:tc>
        <w:tc>
          <w:tcPr>
            <w:tcW w:w="907" w:type="dxa"/>
            <w:tcBorders>
              <w:bottom w:val="single" w:sz="4" w:space="0" w:color="auto"/>
            </w:tcBorders>
            <w:shd w:val="clear" w:color="auto" w:fill="FFFFFF" w:themeFill="background1"/>
            <w:vAlign w:val="center"/>
          </w:tcPr>
          <w:p w14:paraId="7FCBC6B5" w14:textId="77777777" w:rsidR="00724C31" w:rsidRPr="00937CF7" w:rsidRDefault="00724C31" w:rsidP="00DA4AE8">
            <w:pPr>
              <w:jc w:val="right"/>
              <w:rPr>
                <w:rFonts w:asciiTheme="minorHAnsi" w:hAnsiTheme="minorHAnsi"/>
                <w:b/>
                <w:bCs/>
                <w:sz w:val="20"/>
                <w:szCs w:val="20"/>
              </w:rPr>
            </w:pPr>
          </w:p>
        </w:tc>
        <w:tc>
          <w:tcPr>
            <w:tcW w:w="349" w:type="dxa"/>
            <w:shd w:val="clear" w:color="auto" w:fill="FFFFFF" w:themeFill="background1"/>
            <w:vAlign w:val="center"/>
          </w:tcPr>
          <w:p w14:paraId="4792FDB2" w14:textId="77777777" w:rsidR="00724C31" w:rsidRPr="00D3204E" w:rsidRDefault="00724C31" w:rsidP="00DA4AE8">
            <w:pPr>
              <w:jc w:val="center"/>
              <w:rPr>
                <w:rFonts w:asciiTheme="minorHAnsi" w:hAnsiTheme="minorHAnsi"/>
                <w:b/>
                <w:bCs/>
                <w:szCs w:val="22"/>
              </w:rPr>
            </w:pPr>
          </w:p>
        </w:tc>
        <w:tc>
          <w:tcPr>
            <w:tcW w:w="1077" w:type="dxa"/>
            <w:shd w:val="clear" w:color="auto" w:fill="FFFFFF" w:themeFill="background1"/>
            <w:vAlign w:val="center"/>
          </w:tcPr>
          <w:p w14:paraId="6D1B7DE3" w14:textId="77777777" w:rsidR="00724C31" w:rsidRPr="0011057B" w:rsidRDefault="00724C31" w:rsidP="00DA4AE8">
            <w:pPr>
              <w:rPr>
                <w:rFonts w:asciiTheme="minorHAnsi" w:hAnsiTheme="minorHAnsi"/>
                <w:b/>
                <w:bCs/>
                <w:sz w:val="14"/>
                <w:szCs w:val="14"/>
              </w:rPr>
            </w:pPr>
          </w:p>
        </w:tc>
        <w:tc>
          <w:tcPr>
            <w:tcW w:w="1302" w:type="dxa"/>
            <w:shd w:val="clear" w:color="auto" w:fill="FFFFFF" w:themeFill="background1"/>
            <w:vAlign w:val="center"/>
          </w:tcPr>
          <w:p w14:paraId="2CBFC151" w14:textId="77777777" w:rsidR="00724C31" w:rsidRPr="00DA6A3D" w:rsidRDefault="00724C31" w:rsidP="00DA4AE8">
            <w:pPr>
              <w:rPr>
                <w:rFonts w:asciiTheme="minorHAnsi" w:hAnsiTheme="minorHAnsi"/>
                <w:b/>
                <w:bCs/>
                <w:szCs w:val="22"/>
              </w:rPr>
            </w:pPr>
            <w:r w:rsidRPr="00DA6A3D">
              <w:rPr>
                <w:rFonts w:asciiTheme="minorHAnsi" w:hAnsiTheme="minorHAnsi"/>
                <w:b/>
                <w:bCs/>
                <w:szCs w:val="22"/>
              </w:rPr>
              <w:t>Ethnicity</w:t>
            </w:r>
          </w:p>
        </w:tc>
        <w:tc>
          <w:tcPr>
            <w:tcW w:w="1020" w:type="dxa"/>
            <w:tcBorders>
              <w:bottom w:val="single" w:sz="4" w:space="0" w:color="auto"/>
            </w:tcBorders>
            <w:shd w:val="clear" w:color="auto" w:fill="FFFFFF" w:themeFill="background1"/>
            <w:vAlign w:val="center"/>
          </w:tcPr>
          <w:p w14:paraId="536817CB" w14:textId="77777777" w:rsidR="00724C31" w:rsidRPr="00937CF7" w:rsidRDefault="00724C31" w:rsidP="00DA4AE8">
            <w:pPr>
              <w:jc w:val="right"/>
              <w:rPr>
                <w:rFonts w:asciiTheme="minorHAnsi" w:hAnsiTheme="minorHAnsi"/>
                <w:b/>
                <w:bCs/>
                <w:sz w:val="20"/>
                <w:szCs w:val="20"/>
              </w:rPr>
            </w:pPr>
          </w:p>
        </w:tc>
        <w:tc>
          <w:tcPr>
            <w:tcW w:w="905" w:type="dxa"/>
            <w:tcBorders>
              <w:bottom w:val="single" w:sz="4" w:space="0" w:color="auto"/>
            </w:tcBorders>
            <w:shd w:val="clear" w:color="auto" w:fill="FFFFFF" w:themeFill="background1"/>
            <w:vAlign w:val="center"/>
          </w:tcPr>
          <w:p w14:paraId="5B6598A4" w14:textId="77777777" w:rsidR="00724C31" w:rsidRPr="00937CF7" w:rsidRDefault="00724C31" w:rsidP="00DA4AE8">
            <w:pPr>
              <w:jc w:val="right"/>
              <w:rPr>
                <w:rFonts w:asciiTheme="minorHAnsi" w:hAnsiTheme="minorHAnsi"/>
                <w:b/>
                <w:bCs/>
                <w:sz w:val="20"/>
                <w:szCs w:val="20"/>
              </w:rPr>
            </w:pPr>
          </w:p>
        </w:tc>
        <w:tc>
          <w:tcPr>
            <w:tcW w:w="351" w:type="dxa"/>
            <w:shd w:val="clear" w:color="auto" w:fill="FFFFFF" w:themeFill="background1"/>
            <w:vAlign w:val="center"/>
          </w:tcPr>
          <w:p w14:paraId="639DB9DF" w14:textId="77777777" w:rsidR="00724C31" w:rsidRPr="00293A4D" w:rsidRDefault="00724C31" w:rsidP="00DA4AE8">
            <w:pPr>
              <w:rPr>
                <w:rFonts w:asciiTheme="minorHAnsi" w:hAnsiTheme="minorHAnsi"/>
                <w:b/>
                <w:bCs/>
                <w:szCs w:val="22"/>
              </w:rPr>
            </w:pPr>
          </w:p>
        </w:tc>
        <w:tc>
          <w:tcPr>
            <w:tcW w:w="1134" w:type="dxa"/>
            <w:shd w:val="clear" w:color="auto" w:fill="FFFFFF" w:themeFill="background1"/>
            <w:vAlign w:val="center"/>
          </w:tcPr>
          <w:p w14:paraId="34F0883D" w14:textId="77777777" w:rsidR="00724C31" w:rsidRPr="00293A4D" w:rsidRDefault="00724C31" w:rsidP="00DA4AE8">
            <w:pPr>
              <w:rPr>
                <w:rFonts w:asciiTheme="minorHAnsi" w:hAnsiTheme="minorHAnsi"/>
                <w:sz w:val="14"/>
                <w:szCs w:val="14"/>
              </w:rPr>
            </w:pPr>
          </w:p>
        </w:tc>
      </w:tr>
      <w:tr w:rsidR="00724C31" w14:paraId="24DD0870" w14:textId="77777777" w:rsidTr="00724C31">
        <w:trPr>
          <w:jc w:val="center"/>
        </w:trPr>
        <w:tc>
          <w:tcPr>
            <w:tcW w:w="1302" w:type="dxa"/>
            <w:tcBorders>
              <w:right w:val="single" w:sz="4" w:space="0" w:color="auto"/>
            </w:tcBorders>
            <w:shd w:val="clear" w:color="auto" w:fill="FFFFFF" w:themeFill="background1"/>
            <w:vAlign w:val="center"/>
          </w:tcPr>
          <w:p w14:paraId="510F960B" w14:textId="77777777" w:rsidR="00724C31" w:rsidRDefault="00724C31" w:rsidP="00DA4AE8">
            <w:pPr>
              <w:rPr>
                <w:rFonts w:asciiTheme="minorHAnsi" w:hAnsiTheme="minorHAnsi"/>
                <w:szCs w:val="22"/>
              </w:rPr>
            </w:pPr>
            <w:r>
              <w:rPr>
                <w:rFonts w:asciiTheme="minorHAnsi" w:hAnsiTheme="minorHAnsi"/>
                <w:szCs w:val="22"/>
              </w:rPr>
              <w:t>Mean</w:t>
            </w:r>
          </w:p>
        </w:tc>
        <w:tc>
          <w:tcPr>
            <w:tcW w:w="90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DFC13CA" w14:textId="77777777" w:rsidR="00724C31" w:rsidRPr="00937CF7" w:rsidRDefault="00724C31" w:rsidP="00DA4AE8">
            <w:pPr>
              <w:jc w:val="right"/>
              <w:rPr>
                <w:rFonts w:asciiTheme="minorHAnsi" w:hAnsiTheme="minorHAnsi"/>
                <w:sz w:val="20"/>
                <w:szCs w:val="20"/>
                <w:highlight w:val="yellow"/>
              </w:rPr>
            </w:pPr>
            <w:r w:rsidRPr="00937CF7">
              <w:rPr>
                <w:rFonts w:asciiTheme="minorHAnsi" w:hAnsiTheme="minorHAnsi"/>
                <w:sz w:val="20"/>
                <w:szCs w:val="20"/>
              </w:rPr>
              <w:t>*0.4%</w:t>
            </w:r>
          </w:p>
        </w:tc>
        <w:tc>
          <w:tcPr>
            <w:tcW w:w="90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2A900686"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1.0%</w:t>
            </w:r>
          </w:p>
        </w:tc>
        <w:tc>
          <w:tcPr>
            <w:tcW w:w="349" w:type="dxa"/>
            <w:tcBorders>
              <w:left w:val="single" w:sz="4" w:space="0" w:color="auto"/>
            </w:tcBorders>
            <w:shd w:val="clear" w:color="auto" w:fill="FFFFFF" w:themeFill="background1"/>
            <w:vAlign w:val="center"/>
          </w:tcPr>
          <w:p w14:paraId="725709DC" w14:textId="77777777" w:rsidR="00724C31" w:rsidRPr="00293A4D" w:rsidRDefault="00724C31" w:rsidP="00DA4AE8">
            <w:pPr>
              <w:jc w:val="center"/>
              <w:rPr>
                <w:rFonts w:asciiTheme="minorHAnsi" w:hAnsiTheme="minorHAnsi"/>
                <w:b/>
                <w:bCs/>
                <w:szCs w:val="22"/>
              </w:rPr>
            </w:pPr>
            <w:r w:rsidRPr="00D3204E">
              <w:rPr>
                <w:rFonts w:asciiTheme="minorHAnsi" w:hAnsiTheme="minorHAnsi"/>
                <w:b/>
                <w:bCs/>
                <w:color w:val="FF0000"/>
                <w:szCs w:val="22"/>
              </w:rPr>
              <w:t>↑</w:t>
            </w:r>
          </w:p>
        </w:tc>
        <w:tc>
          <w:tcPr>
            <w:tcW w:w="1077" w:type="dxa"/>
            <w:shd w:val="clear" w:color="auto" w:fill="FFFFFF" w:themeFill="background1"/>
            <w:vAlign w:val="center"/>
          </w:tcPr>
          <w:p w14:paraId="10222C32" w14:textId="77777777" w:rsidR="00724C31" w:rsidRPr="00293A4D" w:rsidRDefault="00724C31" w:rsidP="00DA4AE8">
            <w:pPr>
              <w:rPr>
                <w:rFonts w:asciiTheme="minorHAnsi" w:hAnsiTheme="minorHAnsi"/>
                <w:sz w:val="14"/>
                <w:szCs w:val="14"/>
              </w:rPr>
            </w:pPr>
            <w:r>
              <w:rPr>
                <w:rFonts w:asciiTheme="minorHAnsi" w:hAnsiTheme="minorHAnsi"/>
                <w:sz w:val="14"/>
                <w:szCs w:val="14"/>
              </w:rPr>
              <w:t>0.6</w:t>
            </w:r>
            <w:r w:rsidRPr="0011057B">
              <w:rPr>
                <w:rFonts w:asciiTheme="minorHAnsi" w:hAnsiTheme="minorHAnsi"/>
                <w:sz w:val="14"/>
                <w:szCs w:val="14"/>
              </w:rPr>
              <w:t xml:space="preserve"> %-points</w:t>
            </w:r>
          </w:p>
        </w:tc>
        <w:tc>
          <w:tcPr>
            <w:tcW w:w="1302" w:type="dxa"/>
            <w:tcBorders>
              <w:right w:val="single" w:sz="4" w:space="0" w:color="auto"/>
            </w:tcBorders>
            <w:shd w:val="clear" w:color="auto" w:fill="FFFFFF" w:themeFill="background1"/>
            <w:vAlign w:val="center"/>
          </w:tcPr>
          <w:p w14:paraId="28908F95" w14:textId="77777777" w:rsidR="00724C31" w:rsidRPr="00DA6A3D" w:rsidRDefault="00724C31" w:rsidP="00DA4AE8">
            <w:pPr>
              <w:rPr>
                <w:rFonts w:asciiTheme="minorHAnsi" w:hAnsiTheme="minorHAnsi"/>
                <w:szCs w:val="22"/>
              </w:rPr>
            </w:pPr>
            <w:r>
              <w:rPr>
                <w:rFonts w:asciiTheme="minorHAnsi" w:hAnsiTheme="minorHAnsi"/>
                <w:szCs w:val="22"/>
              </w:rPr>
              <w:t>Mean</w:t>
            </w:r>
          </w:p>
        </w:tc>
        <w:tc>
          <w:tcPr>
            <w:tcW w:w="10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CE1094A"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*-57.9%</w:t>
            </w:r>
          </w:p>
        </w:tc>
        <w:tc>
          <w:tcPr>
            <w:tcW w:w="90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02E44A1"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-95.8%</w:t>
            </w:r>
          </w:p>
        </w:tc>
        <w:tc>
          <w:tcPr>
            <w:tcW w:w="351" w:type="dxa"/>
            <w:tcBorders>
              <w:left w:val="single" w:sz="4" w:space="0" w:color="auto"/>
            </w:tcBorders>
            <w:shd w:val="clear" w:color="auto" w:fill="FFFFFF" w:themeFill="background1"/>
            <w:vAlign w:val="center"/>
          </w:tcPr>
          <w:p w14:paraId="3A0BD225" w14:textId="77777777" w:rsidR="00724C31" w:rsidRPr="00293A4D" w:rsidRDefault="00724C31" w:rsidP="00DA4AE8">
            <w:pPr>
              <w:rPr>
                <w:rFonts w:asciiTheme="minorHAnsi" w:hAnsiTheme="minorHAnsi"/>
                <w:b/>
                <w:bCs/>
                <w:szCs w:val="22"/>
              </w:rPr>
            </w:pPr>
            <w:r w:rsidRPr="00D3204E">
              <w:rPr>
                <w:rFonts w:asciiTheme="minorHAnsi" w:hAnsiTheme="minorHAnsi"/>
                <w:b/>
                <w:bCs/>
                <w:color w:val="FF0000"/>
                <w:szCs w:val="22"/>
              </w:rPr>
              <w:t>↑</w:t>
            </w:r>
          </w:p>
        </w:tc>
        <w:tc>
          <w:tcPr>
            <w:tcW w:w="1134" w:type="dxa"/>
            <w:shd w:val="clear" w:color="auto" w:fill="FFFFFF" w:themeFill="background1"/>
            <w:vAlign w:val="center"/>
          </w:tcPr>
          <w:p w14:paraId="7289A071" w14:textId="77777777" w:rsidR="00724C31" w:rsidRPr="00293A4D" w:rsidRDefault="00724C31" w:rsidP="00DA4AE8">
            <w:pPr>
              <w:rPr>
                <w:rFonts w:asciiTheme="minorHAnsi" w:hAnsiTheme="minorHAnsi"/>
                <w:sz w:val="14"/>
                <w:szCs w:val="14"/>
              </w:rPr>
            </w:pPr>
            <w:r>
              <w:rPr>
                <w:rFonts w:asciiTheme="minorHAnsi" w:hAnsiTheme="minorHAnsi"/>
                <w:sz w:val="14"/>
                <w:szCs w:val="14"/>
              </w:rPr>
              <w:t>37.9</w:t>
            </w:r>
            <w:r w:rsidRPr="0011057B">
              <w:rPr>
                <w:rFonts w:asciiTheme="minorHAnsi" w:hAnsiTheme="minorHAnsi"/>
                <w:sz w:val="14"/>
                <w:szCs w:val="14"/>
              </w:rPr>
              <w:t>%-points</w:t>
            </w:r>
          </w:p>
        </w:tc>
      </w:tr>
      <w:tr w:rsidR="00724C31" w14:paraId="52A74227" w14:textId="77777777" w:rsidTr="00724C31">
        <w:trPr>
          <w:jc w:val="center"/>
        </w:trPr>
        <w:tc>
          <w:tcPr>
            <w:tcW w:w="1302" w:type="dxa"/>
            <w:tcBorders>
              <w:right w:val="single" w:sz="4" w:space="0" w:color="auto"/>
            </w:tcBorders>
            <w:shd w:val="clear" w:color="auto" w:fill="FFFFFF" w:themeFill="background1"/>
            <w:vAlign w:val="center"/>
          </w:tcPr>
          <w:p w14:paraId="4E996E0E" w14:textId="77777777" w:rsidR="00724C31" w:rsidRDefault="00724C31" w:rsidP="00DA4AE8">
            <w:pPr>
              <w:rPr>
                <w:rFonts w:asciiTheme="minorHAnsi" w:hAnsiTheme="minorHAnsi"/>
                <w:szCs w:val="22"/>
              </w:rPr>
            </w:pPr>
            <w:r>
              <w:rPr>
                <w:rFonts w:asciiTheme="minorHAnsi" w:hAnsiTheme="minorHAnsi"/>
                <w:szCs w:val="22"/>
              </w:rPr>
              <w:t>Median</w:t>
            </w:r>
          </w:p>
        </w:tc>
        <w:tc>
          <w:tcPr>
            <w:tcW w:w="90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F1FDFDB"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-3.0%</w:t>
            </w:r>
          </w:p>
        </w:tc>
        <w:tc>
          <w:tcPr>
            <w:tcW w:w="90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34DBCD6B"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-2.4%</w:t>
            </w:r>
          </w:p>
        </w:tc>
        <w:tc>
          <w:tcPr>
            <w:tcW w:w="349" w:type="dxa"/>
            <w:tcBorders>
              <w:left w:val="single" w:sz="4" w:space="0" w:color="auto"/>
            </w:tcBorders>
            <w:shd w:val="clear" w:color="auto" w:fill="FFFFFF" w:themeFill="background1"/>
            <w:vAlign w:val="center"/>
          </w:tcPr>
          <w:p w14:paraId="6F645B42" w14:textId="77777777" w:rsidR="00724C31" w:rsidRPr="00293A4D" w:rsidRDefault="00724C31" w:rsidP="00DA4AE8">
            <w:pPr>
              <w:jc w:val="center"/>
              <w:rPr>
                <w:rFonts w:asciiTheme="minorHAnsi" w:hAnsiTheme="minorHAnsi"/>
                <w:b/>
                <w:bCs/>
                <w:szCs w:val="22"/>
              </w:rPr>
            </w:pPr>
            <w:r w:rsidRPr="00D3204E">
              <w:rPr>
                <w:rFonts w:asciiTheme="minorHAnsi" w:hAnsiTheme="minorHAnsi"/>
                <w:b/>
                <w:bCs/>
                <w:color w:val="00B050"/>
                <w:szCs w:val="22"/>
              </w:rPr>
              <w:t>↓</w:t>
            </w:r>
          </w:p>
        </w:tc>
        <w:tc>
          <w:tcPr>
            <w:tcW w:w="1077" w:type="dxa"/>
            <w:shd w:val="clear" w:color="auto" w:fill="FFFFFF" w:themeFill="background1"/>
            <w:vAlign w:val="center"/>
          </w:tcPr>
          <w:p w14:paraId="780DE790" w14:textId="77777777" w:rsidR="00724C31" w:rsidRPr="00293A4D" w:rsidRDefault="00724C31" w:rsidP="00DA4AE8">
            <w:pPr>
              <w:rPr>
                <w:rFonts w:asciiTheme="minorHAnsi" w:hAnsiTheme="minorHAnsi"/>
                <w:sz w:val="14"/>
                <w:szCs w:val="14"/>
              </w:rPr>
            </w:pPr>
            <w:r>
              <w:rPr>
                <w:rFonts w:asciiTheme="minorHAnsi" w:hAnsiTheme="minorHAnsi"/>
                <w:sz w:val="14"/>
                <w:szCs w:val="14"/>
              </w:rPr>
              <w:t>0.6</w:t>
            </w:r>
            <w:r w:rsidRPr="0011057B">
              <w:rPr>
                <w:rFonts w:asciiTheme="minorHAnsi" w:hAnsiTheme="minorHAnsi"/>
                <w:sz w:val="14"/>
                <w:szCs w:val="14"/>
              </w:rPr>
              <w:t>%-points</w:t>
            </w:r>
          </w:p>
        </w:tc>
        <w:tc>
          <w:tcPr>
            <w:tcW w:w="1302" w:type="dxa"/>
            <w:tcBorders>
              <w:right w:val="single" w:sz="4" w:space="0" w:color="auto"/>
            </w:tcBorders>
            <w:shd w:val="clear" w:color="auto" w:fill="FFFFFF" w:themeFill="background1"/>
            <w:vAlign w:val="center"/>
          </w:tcPr>
          <w:p w14:paraId="76015503" w14:textId="77777777" w:rsidR="00724C31" w:rsidRPr="00DA6A3D" w:rsidRDefault="00724C31" w:rsidP="00DA4AE8">
            <w:pPr>
              <w:rPr>
                <w:rFonts w:asciiTheme="minorHAnsi" w:hAnsiTheme="minorHAnsi"/>
                <w:szCs w:val="22"/>
              </w:rPr>
            </w:pPr>
            <w:r>
              <w:rPr>
                <w:rFonts w:asciiTheme="minorHAnsi" w:hAnsiTheme="minorHAnsi"/>
                <w:szCs w:val="22"/>
              </w:rPr>
              <w:t>Median</w:t>
            </w:r>
          </w:p>
        </w:tc>
        <w:tc>
          <w:tcPr>
            <w:tcW w:w="10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C273BF1"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-100.0%</w:t>
            </w:r>
          </w:p>
        </w:tc>
        <w:tc>
          <w:tcPr>
            <w:tcW w:w="90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8335D18"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-50.0%</w:t>
            </w:r>
          </w:p>
        </w:tc>
        <w:tc>
          <w:tcPr>
            <w:tcW w:w="351" w:type="dxa"/>
            <w:tcBorders>
              <w:left w:val="single" w:sz="4" w:space="0" w:color="auto"/>
            </w:tcBorders>
            <w:shd w:val="clear" w:color="auto" w:fill="FFFFFF" w:themeFill="background1"/>
            <w:vAlign w:val="center"/>
          </w:tcPr>
          <w:p w14:paraId="65876C09" w14:textId="77777777" w:rsidR="00724C31" w:rsidRPr="00293A4D" w:rsidRDefault="00724C31" w:rsidP="00DA4AE8">
            <w:pPr>
              <w:rPr>
                <w:rFonts w:asciiTheme="minorHAnsi" w:hAnsiTheme="minorHAnsi"/>
                <w:b/>
                <w:bCs/>
                <w:szCs w:val="22"/>
              </w:rPr>
            </w:pPr>
            <w:r w:rsidRPr="00D3204E">
              <w:rPr>
                <w:rFonts w:asciiTheme="minorHAnsi" w:hAnsiTheme="minorHAnsi"/>
                <w:b/>
                <w:bCs/>
                <w:color w:val="00B050"/>
                <w:szCs w:val="22"/>
              </w:rPr>
              <w:t>↓</w:t>
            </w:r>
          </w:p>
        </w:tc>
        <w:tc>
          <w:tcPr>
            <w:tcW w:w="1134" w:type="dxa"/>
            <w:shd w:val="clear" w:color="auto" w:fill="FFFFFF" w:themeFill="background1"/>
            <w:vAlign w:val="center"/>
          </w:tcPr>
          <w:p w14:paraId="17487B1A" w14:textId="77777777" w:rsidR="00724C31" w:rsidRPr="00293A4D" w:rsidRDefault="00724C31" w:rsidP="00DA4AE8">
            <w:pPr>
              <w:rPr>
                <w:rFonts w:asciiTheme="minorHAnsi" w:hAnsiTheme="minorHAnsi"/>
                <w:sz w:val="14"/>
                <w:szCs w:val="14"/>
              </w:rPr>
            </w:pPr>
            <w:r>
              <w:rPr>
                <w:rFonts w:asciiTheme="minorHAnsi" w:hAnsiTheme="minorHAnsi"/>
                <w:sz w:val="14"/>
                <w:szCs w:val="14"/>
              </w:rPr>
              <w:t>50.0</w:t>
            </w:r>
            <w:r w:rsidRPr="0011057B">
              <w:rPr>
                <w:rFonts w:asciiTheme="minorHAnsi" w:hAnsiTheme="minorHAnsi"/>
                <w:sz w:val="14"/>
                <w:szCs w:val="14"/>
              </w:rPr>
              <w:t>%-points</w:t>
            </w:r>
          </w:p>
        </w:tc>
      </w:tr>
      <w:tr w:rsidR="00724C31" w14:paraId="5B2CE947" w14:textId="77777777" w:rsidTr="00724C31">
        <w:trPr>
          <w:jc w:val="center"/>
        </w:trPr>
        <w:tc>
          <w:tcPr>
            <w:tcW w:w="1302" w:type="dxa"/>
            <w:shd w:val="clear" w:color="auto" w:fill="FFFFFF" w:themeFill="background1"/>
            <w:vAlign w:val="center"/>
          </w:tcPr>
          <w:p w14:paraId="75A1A45D" w14:textId="77777777" w:rsidR="00724C31" w:rsidRDefault="00724C31" w:rsidP="00DA4AE8">
            <w:pPr>
              <w:rPr>
                <w:rFonts w:asciiTheme="minorHAnsi" w:hAnsiTheme="minorHAnsi"/>
                <w:szCs w:val="22"/>
              </w:rPr>
            </w:pPr>
          </w:p>
        </w:tc>
        <w:tc>
          <w:tcPr>
            <w:tcW w:w="905" w:type="dxa"/>
            <w:tcBorders>
              <w:top w:val="single" w:sz="4" w:space="0" w:color="auto"/>
            </w:tcBorders>
            <w:shd w:val="clear" w:color="auto" w:fill="FFFFFF" w:themeFill="background1"/>
            <w:vAlign w:val="center"/>
          </w:tcPr>
          <w:p w14:paraId="552B6797" w14:textId="77777777" w:rsidR="00724C31" w:rsidRPr="00937CF7" w:rsidRDefault="00724C31" w:rsidP="00DA4AE8">
            <w:pPr>
              <w:jc w:val="right"/>
              <w:rPr>
                <w:rFonts w:asciiTheme="minorHAnsi" w:hAnsiTheme="minorHAnsi"/>
                <w:sz w:val="20"/>
                <w:szCs w:val="20"/>
              </w:rPr>
            </w:pPr>
          </w:p>
        </w:tc>
        <w:tc>
          <w:tcPr>
            <w:tcW w:w="907" w:type="dxa"/>
            <w:tcBorders>
              <w:top w:val="single" w:sz="4" w:space="0" w:color="auto"/>
            </w:tcBorders>
            <w:shd w:val="clear" w:color="auto" w:fill="FFFFFF" w:themeFill="background1"/>
            <w:vAlign w:val="center"/>
          </w:tcPr>
          <w:p w14:paraId="7D31E398" w14:textId="77777777" w:rsidR="00724C31" w:rsidRPr="00937CF7" w:rsidRDefault="00724C31" w:rsidP="00DA4AE8">
            <w:pPr>
              <w:jc w:val="right"/>
              <w:rPr>
                <w:rFonts w:asciiTheme="minorHAnsi" w:hAnsiTheme="minorHAnsi"/>
                <w:sz w:val="20"/>
                <w:szCs w:val="20"/>
              </w:rPr>
            </w:pPr>
          </w:p>
        </w:tc>
        <w:tc>
          <w:tcPr>
            <w:tcW w:w="349" w:type="dxa"/>
            <w:shd w:val="clear" w:color="auto" w:fill="FFFFFF" w:themeFill="background1"/>
            <w:vAlign w:val="center"/>
          </w:tcPr>
          <w:p w14:paraId="7DF532F4" w14:textId="77777777" w:rsidR="00724C31" w:rsidRPr="00293A4D" w:rsidRDefault="00724C31" w:rsidP="00DA4AE8">
            <w:pPr>
              <w:jc w:val="center"/>
              <w:rPr>
                <w:rFonts w:asciiTheme="minorHAnsi" w:hAnsiTheme="minorHAnsi"/>
                <w:b/>
                <w:bCs/>
                <w:szCs w:val="22"/>
              </w:rPr>
            </w:pPr>
          </w:p>
        </w:tc>
        <w:tc>
          <w:tcPr>
            <w:tcW w:w="1077" w:type="dxa"/>
            <w:shd w:val="clear" w:color="auto" w:fill="FFFFFF" w:themeFill="background1"/>
            <w:vAlign w:val="center"/>
          </w:tcPr>
          <w:p w14:paraId="42B0BAD8" w14:textId="77777777" w:rsidR="00724C31" w:rsidRPr="00293A4D" w:rsidRDefault="00724C31" w:rsidP="00DA4AE8">
            <w:pPr>
              <w:rPr>
                <w:rFonts w:asciiTheme="minorHAnsi" w:hAnsiTheme="minorHAnsi"/>
                <w:sz w:val="14"/>
                <w:szCs w:val="14"/>
              </w:rPr>
            </w:pPr>
          </w:p>
        </w:tc>
        <w:tc>
          <w:tcPr>
            <w:tcW w:w="1302" w:type="dxa"/>
            <w:shd w:val="clear" w:color="auto" w:fill="FFFFFF" w:themeFill="background1"/>
            <w:vAlign w:val="center"/>
          </w:tcPr>
          <w:p w14:paraId="4BB39856" w14:textId="77777777" w:rsidR="00724C31" w:rsidRPr="00DA6A3D" w:rsidRDefault="00724C31" w:rsidP="00DA4AE8">
            <w:pPr>
              <w:rPr>
                <w:rFonts w:asciiTheme="minorHAnsi" w:hAnsiTheme="minorHAnsi"/>
                <w:szCs w:val="22"/>
              </w:rPr>
            </w:pPr>
          </w:p>
        </w:tc>
        <w:tc>
          <w:tcPr>
            <w:tcW w:w="1020" w:type="dxa"/>
            <w:tcBorders>
              <w:top w:val="single" w:sz="4" w:space="0" w:color="auto"/>
            </w:tcBorders>
            <w:shd w:val="clear" w:color="auto" w:fill="FFFFFF" w:themeFill="background1"/>
            <w:vAlign w:val="center"/>
          </w:tcPr>
          <w:p w14:paraId="43E80BB6" w14:textId="77777777" w:rsidR="00724C31" w:rsidRPr="00937CF7" w:rsidRDefault="00724C31" w:rsidP="00DA4AE8">
            <w:pPr>
              <w:jc w:val="right"/>
              <w:rPr>
                <w:rFonts w:asciiTheme="minorHAnsi" w:hAnsiTheme="minorHAnsi"/>
                <w:sz w:val="20"/>
                <w:szCs w:val="20"/>
              </w:rPr>
            </w:pPr>
          </w:p>
        </w:tc>
        <w:tc>
          <w:tcPr>
            <w:tcW w:w="905" w:type="dxa"/>
            <w:tcBorders>
              <w:top w:val="single" w:sz="4" w:space="0" w:color="auto"/>
            </w:tcBorders>
            <w:shd w:val="clear" w:color="auto" w:fill="FFFFFF" w:themeFill="background1"/>
            <w:vAlign w:val="center"/>
          </w:tcPr>
          <w:p w14:paraId="3816113F" w14:textId="77777777" w:rsidR="00724C31" w:rsidRPr="00937CF7" w:rsidRDefault="00724C31" w:rsidP="00DA4AE8">
            <w:pPr>
              <w:jc w:val="right"/>
              <w:rPr>
                <w:rFonts w:asciiTheme="minorHAnsi" w:hAnsiTheme="minorHAnsi"/>
                <w:sz w:val="20"/>
                <w:szCs w:val="20"/>
              </w:rPr>
            </w:pPr>
          </w:p>
        </w:tc>
        <w:tc>
          <w:tcPr>
            <w:tcW w:w="351" w:type="dxa"/>
            <w:shd w:val="clear" w:color="auto" w:fill="FFFFFF" w:themeFill="background1"/>
            <w:vAlign w:val="center"/>
          </w:tcPr>
          <w:p w14:paraId="41A06658" w14:textId="77777777" w:rsidR="00724C31" w:rsidRPr="00293A4D" w:rsidRDefault="00724C31" w:rsidP="00DA4AE8">
            <w:pPr>
              <w:rPr>
                <w:rFonts w:asciiTheme="minorHAnsi" w:hAnsiTheme="minorHAnsi"/>
                <w:b/>
                <w:bCs/>
                <w:szCs w:val="22"/>
              </w:rPr>
            </w:pPr>
          </w:p>
        </w:tc>
        <w:tc>
          <w:tcPr>
            <w:tcW w:w="1134" w:type="dxa"/>
            <w:shd w:val="clear" w:color="auto" w:fill="FFFFFF" w:themeFill="background1"/>
            <w:vAlign w:val="center"/>
          </w:tcPr>
          <w:p w14:paraId="41830A3F" w14:textId="77777777" w:rsidR="00724C31" w:rsidRPr="00293A4D" w:rsidRDefault="00724C31" w:rsidP="00DA4AE8">
            <w:pPr>
              <w:rPr>
                <w:rFonts w:asciiTheme="minorHAnsi" w:hAnsiTheme="minorHAnsi"/>
                <w:sz w:val="14"/>
                <w:szCs w:val="14"/>
              </w:rPr>
            </w:pPr>
          </w:p>
        </w:tc>
      </w:tr>
      <w:tr w:rsidR="00724C31" w14:paraId="2997DACE" w14:textId="77777777" w:rsidTr="00724C31">
        <w:trPr>
          <w:jc w:val="center"/>
        </w:trPr>
        <w:tc>
          <w:tcPr>
            <w:tcW w:w="1302" w:type="dxa"/>
            <w:shd w:val="clear" w:color="auto" w:fill="FFFFFF" w:themeFill="background1"/>
            <w:vAlign w:val="center"/>
          </w:tcPr>
          <w:p w14:paraId="64FE3330" w14:textId="77777777" w:rsidR="00724C31" w:rsidRPr="000E2885" w:rsidRDefault="00724C31" w:rsidP="00DA4AE8">
            <w:pPr>
              <w:rPr>
                <w:rFonts w:asciiTheme="minorHAnsi" w:hAnsiTheme="minorHAnsi"/>
                <w:b/>
                <w:bCs/>
                <w:szCs w:val="22"/>
              </w:rPr>
            </w:pPr>
            <w:r w:rsidRPr="000E2885">
              <w:rPr>
                <w:rFonts w:asciiTheme="minorHAnsi" w:hAnsiTheme="minorHAnsi"/>
                <w:b/>
                <w:bCs/>
                <w:szCs w:val="22"/>
              </w:rPr>
              <w:t>Disability</w:t>
            </w:r>
          </w:p>
        </w:tc>
        <w:tc>
          <w:tcPr>
            <w:tcW w:w="905" w:type="dxa"/>
            <w:tcBorders>
              <w:bottom w:val="single" w:sz="4" w:space="0" w:color="auto"/>
            </w:tcBorders>
            <w:shd w:val="clear" w:color="auto" w:fill="FFFFFF" w:themeFill="background1"/>
            <w:vAlign w:val="center"/>
          </w:tcPr>
          <w:p w14:paraId="06FEB5F2" w14:textId="77777777" w:rsidR="00724C31" w:rsidRPr="00937CF7" w:rsidRDefault="00724C31" w:rsidP="00DA4AE8">
            <w:pPr>
              <w:jc w:val="right"/>
              <w:rPr>
                <w:rFonts w:asciiTheme="minorHAnsi" w:hAnsiTheme="minorHAnsi"/>
                <w:b/>
                <w:bCs/>
                <w:sz w:val="20"/>
                <w:szCs w:val="20"/>
              </w:rPr>
            </w:pPr>
          </w:p>
        </w:tc>
        <w:tc>
          <w:tcPr>
            <w:tcW w:w="907" w:type="dxa"/>
            <w:tcBorders>
              <w:bottom w:val="single" w:sz="4" w:space="0" w:color="auto"/>
            </w:tcBorders>
            <w:shd w:val="clear" w:color="auto" w:fill="FFFFFF" w:themeFill="background1"/>
            <w:vAlign w:val="center"/>
          </w:tcPr>
          <w:p w14:paraId="7496C1E7" w14:textId="77777777" w:rsidR="00724C31" w:rsidRPr="00937CF7" w:rsidRDefault="00724C31" w:rsidP="00DA4AE8">
            <w:pPr>
              <w:jc w:val="right"/>
              <w:rPr>
                <w:rFonts w:asciiTheme="minorHAnsi" w:hAnsiTheme="minorHAnsi"/>
                <w:b/>
                <w:bCs/>
                <w:sz w:val="20"/>
                <w:szCs w:val="20"/>
              </w:rPr>
            </w:pPr>
          </w:p>
        </w:tc>
        <w:tc>
          <w:tcPr>
            <w:tcW w:w="349" w:type="dxa"/>
            <w:shd w:val="clear" w:color="auto" w:fill="FFFFFF" w:themeFill="background1"/>
            <w:vAlign w:val="center"/>
          </w:tcPr>
          <w:p w14:paraId="5699B593" w14:textId="77777777" w:rsidR="00724C31" w:rsidRPr="00293A4D" w:rsidRDefault="00724C31" w:rsidP="00DA4AE8">
            <w:pPr>
              <w:jc w:val="center"/>
              <w:rPr>
                <w:rFonts w:asciiTheme="minorHAnsi" w:hAnsiTheme="minorHAnsi"/>
                <w:b/>
                <w:bCs/>
                <w:szCs w:val="22"/>
              </w:rPr>
            </w:pPr>
          </w:p>
        </w:tc>
        <w:tc>
          <w:tcPr>
            <w:tcW w:w="1077" w:type="dxa"/>
            <w:shd w:val="clear" w:color="auto" w:fill="FFFFFF" w:themeFill="background1"/>
            <w:vAlign w:val="center"/>
          </w:tcPr>
          <w:p w14:paraId="61D7AF94" w14:textId="77777777" w:rsidR="00724C31" w:rsidRPr="00293A4D" w:rsidRDefault="00724C31" w:rsidP="00DA4AE8">
            <w:pPr>
              <w:rPr>
                <w:rFonts w:asciiTheme="minorHAnsi" w:hAnsiTheme="minorHAnsi"/>
                <w:b/>
                <w:bCs/>
                <w:sz w:val="14"/>
                <w:szCs w:val="14"/>
              </w:rPr>
            </w:pPr>
          </w:p>
        </w:tc>
        <w:tc>
          <w:tcPr>
            <w:tcW w:w="1302" w:type="dxa"/>
            <w:shd w:val="clear" w:color="auto" w:fill="FFFFFF" w:themeFill="background1"/>
            <w:vAlign w:val="center"/>
          </w:tcPr>
          <w:p w14:paraId="4A225617" w14:textId="77777777" w:rsidR="00724C31" w:rsidRPr="00DA6A3D" w:rsidRDefault="00724C31" w:rsidP="00DA4AE8">
            <w:pPr>
              <w:rPr>
                <w:rFonts w:asciiTheme="minorHAnsi" w:hAnsiTheme="minorHAnsi"/>
                <w:b/>
                <w:bCs/>
                <w:szCs w:val="22"/>
              </w:rPr>
            </w:pPr>
            <w:r w:rsidRPr="00DA6A3D">
              <w:rPr>
                <w:rFonts w:asciiTheme="minorHAnsi" w:hAnsiTheme="minorHAnsi"/>
                <w:b/>
                <w:bCs/>
                <w:szCs w:val="22"/>
              </w:rPr>
              <w:t>Disability</w:t>
            </w:r>
          </w:p>
        </w:tc>
        <w:tc>
          <w:tcPr>
            <w:tcW w:w="1020" w:type="dxa"/>
            <w:tcBorders>
              <w:bottom w:val="single" w:sz="4" w:space="0" w:color="auto"/>
            </w:tcBorders>
            <w:shd w:val="clear" w:color="auto" w:fill="FFFFFF" w:themeFill="background1"/>
            <w:vAlign w:val="center"/>
          </w:tcPr>
          <w:p w14:paraId="224D9AE8" w14:textId="77777777" w:rsidR="00724C31" w:rsidRPr="00937CF7" w:rsidRDefault="00724C31" w:rsidP="00DA4AE8">
            <w:pPr>
              <w:jc w:val="right"/>
              <w:rPr>
                <w:rFonts w:asciiTheme="minorHAnsi" w:hAnsiTheme="minorHAnsi"/>
                <w:b/>
                <w:bCs/>
                <w:sz w:val="20"/>
                <w:szCs w:val="20"/>
              </w:rPr>
            </w:pPr>
          </w:p>
        </w:tc>
        <w:tc>
          <w:tcPr>
            <w:tcW w:w="905" w:type="dxa"/>
            <w:tcBorders>
              <w:bottom w:val="single" w:sz="4" w:space="0" w:color="auto"/>
            </w:tcBorders>
            <w:shd w:val="clear" w:color="auto" w:fill="FFFFFF" w:themeFill="background1"/>
            <w:vAlign w:val="center"/>
          </w:tcPr>
          <w:p w14:paraId="163C7500" w14:textId="77777777" w:rsidR="00724C31" w:rsidRPr="00937CF7" w:rsidRDefault="00724C31" w:rsidP="00DA4AE8">
            <w:pPr>
              <w:jc w:val="right"/>
              <w:rPr>
                <w:rFonts w:asciiTheme="minorHAnsi" w:hAnsiTheme="minorHAnsi"/>
                <w:b/>
                <w:bCs/>
                <w:sz w:val="20"/>
                <w:szCs w:val="20"/>
              </w:rPr>
            </w:pPr>
          </w:p>
        </w:tc>
        <w:tc>
          <w:tcPr>
            <w:tcW w:w="351" w:type="dxa"/>
            <w:shd w:val="clear" w:color="auto" w:fill="FFFFFF" w:themeFill="background1"/>
            <w:vAlign w:val="center"/>
          </w:tcPr>
          <w:p w14:paraId="286135C0" w14:textId="77777777" w:rsidR="00724C31" w:rsidRPr="00293A4D" w:rsidRDefault="00724C31" w:rsidP="00DA4AE8">
            <w:pPr>
              <w:rPr>
                <w:rFonts w:asciiTheme="minorHAnsi" w:hAnsiTheme="minorHAnsi"/>
                <w:b/>
                <w:bCs/>
                <w:szCs w:val="22"/>
              </w:rPr>
            </w:pPr>
          </w:p>
        </w:tc>
        <w:tc>
          <w:tcPr>
            <w:tcW w:w="1134" w:type="dxa"/>
            <w:shd w:val="clear" w:color="auto" w:fill="FFFFFF" w:themeFill="background1"/>
            <w:vAlign w:val="center"/>
          </w:tcPr>
          <w:p w14:paraId="3457DBCB" w14:textId="77777777" w:rsidR="00724C31" w:rsidRPr="00293A4D" w:rsidRDefault="00724C31" w:rsidP="00DA4AE8">
            <w:pPr>
              <w:rPr>
                <w:rFonts w:asciiTheme="minorHAnsi" w:hAnsiTheme="minorHAnsi"/>
                <w:sz w:val="14"/>
                <w:szCs w:val="14"/>
              </w:rPr>
            </w:pPr>
          </w:p>
        </w:tc>
      </w:tr>
      <w:tr w:rsidR="00724C31" w14:paraId="5046E084" w14:textId="77777777" w:rsidTr="00724C31">
        <w:trPr>
          <w:jc w:val="center"/>
        </w:trPr>
        <w:tc>
          <w:tcPr>
            <w:tcW w:w="1302" w:type="dxa"/>
            <w:tcBorders>
              <w:right w:val="single" w:sz="4" w:space="0" w:color="auto"/>
            </w:tcBorders>
            <w:shd w:val="clear" w:color="auto" w:fill="FFFFFF" w:themeFill="background1"/>
            <w:vAlign w:val="center"/>
          </w:tcPr>
          <w:p w14:paraId="41B1E56E" w14:textId="77777777" w:rsidR="00724C31" w:rsidRDefault="00724C31" w:rsidP="00DA4AE8">
            <w:pPr>
              <w:rPr>
                <w:rFonts w:asciiTheme="minorHAnsi" w:hAnsiTheme="minorHAnsi"/>
                <w:szCs w:val="22"/>
              </w:rPr>
            </w:pPr>
            <w:r>
              <w:rPr>
                <w:rFonts w:asciiTheme="minorHAnsi" w:hAnsiTheme="minorHAnsi"/>
                <w:szCs w:val="22"/>
              </w:rPr>
              <w:t>Mean</w:t>
            </w:r>
          </w:p>
        </w:tc>
        <w:tc>
          <w:tcPr>
            <w:tcW w:w="90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60BB8992"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10.5%</w:t>
            </w:r>
          </w:p>
        </w:tc>
        <w:tc>
          <w:tcPr>
            <w:tcW w:w="90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1599935D"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8.7%</w:t>
            </w:r>
          </w:p>
        </w:tc>
        <w:tc>
          <w:tcPr>
            <w:tcW w:w="349" w:type="dxa"/>
            <w:tcBorders>
              <w:left w:val="single" w:sz="4" w:space="0" w:color="auto"/>
            </w:tcBorders>
            <w:shd w:val="clear" w:color="auto" w:fill="FFFFFF" w:themeFill="background1"/>
            <w:vAlign w:val="center"/>
          </w:tcPr>
          <w:p w14:paraId="3FB70AC9" w14:textId="77777777" w:rsidR="00724C31" w:rsidRPr="00BA57F7" w:rsidRDefault="00724C31" w:rsidP="00DA4AE8">
            <w:pPr>
              <w:jc w:val="center"/>
              <w:rPr>
                <w:rFonts w:asciiTheme="minorHAnsi" w:hAnsiTheme="minorHAnsi"/>
                <w:b/>
                <w:bCs/>
                <w:szCs w:val="22"/>
              </w:rPr>
            </w:pPr>
            <w:r w:rsidRPr="00D3204E">
              <w:rPr>
                <w:rFonts w:asciiTheme="minorHAnsi" w:hAnsiTheme="minorHAnsi"/>
                <w:b/>
                <w:bCs/>
                <w:color w:val="00B050"/>
                <w:szCs w:val="22"/>
              </w:rPr>
              <w:t>↓</w:t>
            </w:r>
          </w:p>
        </w:tc>
        <w:tc>
          <w:tcPr>
            <w:tcW w:w="1077" w:type="dxa"/>
            <w:shd w:val="clear" w:color="auto" w:fill="FFFFFF" w:themeFill="background1"/>
            <w:vAlign w:val="center"/>
          </w:tcPr>
          <w:p w14:paraId="6C259D1B" w14:textId="670872B2" w:rsidR="00724C31" w:rsidRPr="00BA57F7" w:rsidRDefault="00756716" w:rsidP="00DA4AE8">
            <w:pPr>
              <w:rPr>
                <w:rFonts w:asciiTheme="minorHAnsi" w:hAnsiTheme="minorHAnsi"/>
                <w:sz w:val="14"/>
                <w:szCs w:val="14"/>
              </w:rPr>
            </w:pPr>
            <w:r>
              <w:rPr>
                <w:rFonts w:asciiTheme="minorHAnsi" w:hAnsiTheme="minorHAnsi"/>
                <w:sz w:val="14"/>
                <w:szCs w:val="14"/>
              </w:rPr>
              <w:t>1.8</w:t>
            </w:r>
            <w:r w:rsidR="00724C31" w:rsidRPr="0011057B">
              <w:rPr>
                <w:rFonts w:asciiTheme="minorHAnsi" w:hAnsiTheme="minorHAnsi"/>
                <w:sz w:val="14"/>
                <w:szCs w:val="14"/>
              </w:rPr>
              <w:t>%-points</w:t>
            </w:r>
          </w:p>
        </w:tc>
        <w:tc>
          <w:tcPr>
            <w:tcW w:w="1302" w:type="dxa"/>
            <w:tcBorders>
              <w:right w:val="single" w:sz="4" w:space="0" w:color="auto"/>
            </w:tcBorders>
            <w:shd w:val="clear" w:color="auto" w:fill="FFFFFF" w:themeFill="background1"/>
            <w:vAlign w:val="center"/>
          </w:tcPr>
          <w:p w14:paraId="4513F854" w14:textId="77777777" w:rsidR="00724C31" w:rsidRPr="00BA57F7" w:rsidRDefault="00724C31" w:rsidP="00DA4AE8">
            <w:pPr>
              <w:rPr>
                <w:rFonts w:asciiTheme="minorHAnsi" w:hAnsiTheme="minorHAnsi"/>
                <w:szCs w:val="22"/>
              </w:rPr>
            </w:pPr>
            <w:r w:rsidRPr="00BA57F7">
              <w:rPr>
                <w:rFonts w:asciiTheme="minorHAnsi" w:hAnsiTheme="minorHAnsi"/>
                <w:szCs w:val="22"/>
              </w:rPr>
              <w:t>Mean</w:t>
            </w:r>
          </w:p>
        </w:tc>
        <w:tc>
          <w:tcPr>
            <w:tcW w:w="10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A2A880E"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78.3%</w:t>
            </w:r>
          </w:p>
        </w:tc>
        <w:tc>
          <w:tcPr>
            <w:tcW w:w="90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3CB25D40"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80.4%</w:t>
            </w:r>
          </w:p>
        </w:tc>
        <w:tc>
          <w:tcPr>
            <w:tcW w:w="351" w:type="dxa"/>
            <w:tcBorders>
              <w:left w:val="single" w:sz="4" w:space="0" w:color="auto"/>
            </w:tcBorders>
            <w:shd w:val="clear" w:color="auto" w:fill="FFFFFF" w:themeFill="background1"/>
            <w:vAlign w:val="center"/>
          </w:tcPr>
          <w:p w14:paraId="21B023C3" w14:textId="77777777" w:rsidR="00724C31" w:rsidRPr="00BA57F7" w:rsidRDefault="00724C31" w:rsidP="00DA4AE8">
            <w:pPr>
              <w:rPr>
                <w:rFonts w:asciiTheme="minorHAnsi" w:hAnsiTheme="minorHAnsi"/>
                <w:b/>
                <w:bCs/>
                <w:szCs w:val="22"/>
              </w:rPr>
            </w:pPr>
            <w:r w:rsidRPr="00D3204E">
              <w:rPr>
                <w:rFonts w:asciiTheme="minorHAnsi" w:hAnsiTheme="minorHAnsi"/>
                <w:b/>
                <w:bCs/>
                <w:color w:val="FF0000"/>
                <w:szCs w:val="22"/>
              </w:rPr>
              <w:t>↑</w:t>
            </w:r>
          </w:p>
        </w:tc>
        <w:tc>
          <w:tcPr>
            <w:tcW w:w="1134" w:type="dxa"/>
            <w:shd w:val="clear" w:color="auto" w:fill="FFFFFF" w:themeFill="background1"/>
            <w:vAlign w:val="center"/>
          </w:tcPr>
          <w:p w14:paraId="7D58BC90" w14:textId="77777777" w:rsidR="00724C31" w:rsidRPr="00BA57F7" w:rsidRDefault="00724C31" w:rsidP="00DA4AE8">
            <w:pPr>
              <w:rPr>
                <w:rFonts w:asciiTheme="minorHAnsi" w:hAnsiTheme="minorHAnsi"/>
                <w:sz w:val="14"/>
                <w:szCs w:val="14"/>
              </w:rPr>
            </w:pPr>
            <w:r>
              <w:rPr>
                <w:rFonts w:asciiTheme="minorHAnsi" w:hAnsiTheme="minorHAnsi"/>
                <w:sz w:val="14"/>
                <w:szCs w:val="14"/>
              </w:rPr>
              <w:t>2.1</w:t>
            </w:r>
            <w:r w:rsidRPr="0011057B">
              <w:rPr>
                <w:rFonts w:asciiTheme="minorHAnsi" w:hAnsiTheme="minorHAnsi"/>
                <w:sz w:val="14"/>
                <w:szCs w:val="14"/>
              </w:rPr>
              <w:t>%-points</w:t>
            </w:r>
          </w:p>
        </w:tc>
      </w:tr>
      <w:tr w:rsidR="00724C31" w14:paraId="09D2E82C" w14:textId="77777777" w:rsidTr="00724C31">
        <w:trPr>
          <w:jc w:val="center"/>
        </w:trPr>
        <w:tc>
          <w:tcPr>
            <w:tcW w:w="1302" w:type="dxa"/>
            <w:tcBorders>
              <w:right w:val="single" w:sz="4" w:space="0" w:color="auto"/>
            </w:tcBorders>
            <w:shd w:val="clear" w:color="auto" w:fill="FFFFFF" w:themeFill="background1"/>
            <w:vAlign w:val="center"/>
          </w:tcPr>
          <w:p w14:paraId="4A1FF9B3" w14:textId="77777777" w:rsidR="00724C31" w:rsidRDefault="00724C31" w:rsidP="00DA4AE8">
            <w:pPr>
              <w:rPr>
                <w:rFonts w:asciiTheme="minorHAnsi" w:hAnsiTheme="minorHAnsi"/>
                <w:szCs w:val="22"/>
              </w:rPr>
            </w:pPr>
            <w:r>
              <w:rPr>
                <w:rFonts w:asciiTheme="minorHAnsi" w:hAnsiTheme="minorHAnsi"/>
                <w:szCs w:val="22"/>
              </w:rPr>
              <w:t>Median</w:t>
            </w:r>
          </w:p>
        </w:tc>
        <w:tc>
          <w:tcPr>
            <w:tcW w:w="905"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7BB2863"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6.1%</w:t>
            </w:r>
          </w:p>
        </w:tc>
        <w:tc>
          <w:tcPr>
            <w:tcW w:w="907"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2092811"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3.4%</w:t>
            </w:r>
          </w:p>
        </w:tc>
        <w:tc>
          <w:tcPr>
            <w:tcW w:w="349" w:type="dxa"/>
            <w:tcBorders>
              <w:left w:val="single" w:sz="4" w:space="0" w:color="auto"/>
            </w:tcBorders>
            <w:shd w:val="clear" w:color="auto" w:fill="FFFFFF" w:themeFill="background1"/>
            <w:vAlign w:val="center"/>
          </w:tcPr>
          <w:p w14:paraId="645306AA" w14:textId="77777777" w:rsidR="00724C31" w:rsidRPr="00BA57F7" w:rsidRDefault="00724C31" w:rsidP="00DA4AE8">
            <w:pPr>
              <w:jc w:val="center"/>
              <w:rPr>
                <w:rFonts w:asciiTheme="minorHAnsi" w:hAnsiTheme="minorHAnsi"/>
                <w:b/>
                <w:bCs/>
                <w:szCs w:val="22"/>
              </w:rPr>
            </w:pPr>
            <w:r w:rsidRPr="00D3204E">
              <w:rPr>
                <w:rFonts w:asciiTheme="minorHAnsi" w:hAnsiTheme="minorHAnsi"/>
                <w:b/>
                <w:bCs/>
                <w:color w:val="00B050"/>
                <w:szCs w:val="22"/>
              </w:rPr>
              <w:t>↓</w:t>
            </w:r>
          </w:p>
        </w:tc>
        <w:tc>
          <w:tcPr>
            <w:tcW w:w="1077" w:type="dxa"/>
            <w:shd w:val="clear" w:color="auto" w:fill="FFFFFF" w:themeFill="background1"/>
            <w:vAlign w:val="center"/>
          </w:tcPr>
          <w:p w14:paraId="60339693" w14:textId="77777777" w:rsidR="00724C31" w:rsidRPr="00BA57F7" w:rsidRDefault="00724C31" w:rsidP="00DA4AE8">
            <w:pPr>
              <w:rPr>
                <w:rFonts w:asciiTheme="minorHAnsi" w:hAnsiTheme="minorHAnsi"/>
                <w:sz w:val="14"/>
                <w:szCs w:val="14"/>
              </w:rPr>
            </w:pPr>
            <w:r>
              <w:rPr>
                <w:rFonts w:asciiTheme="minorHAnsi" w:hAnsiTheme="minorHAnsi"/>
                <w:sz w:val="14"/>
                <w:szCs w:val="14"/>
              </w:rPr>
              <w:t>2.7</w:t>
            </w:r>
            <w:r w:rsidRPr="0011057B">
              <w:rPr>
                <w:rFonts w:asciiTheme="minorHAnsi" w:hAnsiTheme="minorHAnsi"/>
                <w:sz w:val="14"/>
                <w:szCs w:val="14"/>
              </w:rPr>
              <w:t>%-points</w:t>
            </w:r>
          </w:p>
        </w:tc>
        <w:tc>
          <w:tcPr>
            <w:tcW w:w="1302" w:type="dxa"/>
            <w:tcBorders>
              <w:right w:val="single" w:sz="4" w:space="0" w:color="auto"/>
            </w:tcBorders>
            <w:shd w:val="clear" w:color="auto" w:fill="FFFFFF" w:themeFill="background1"/>
            <w:vAlign w:val="center"/>
          </w:tcPr>
          <w:p w14:paraId="301E1464" w14:textId="77777777" w:rsidR="00724C31" w:rsidRPr="00BA57F7" w:rsidRDefault="00724C31" w:rsidP="00DA4AE8">
            <w:pPr>
              <w:rPr>
                <w:rFonts w:asciiTheme="minorHAnsi" w:hAnsiTheme="minorHAnsi"/>
                <w:szCs w:val="22"/>
              </w:rPr>
            </w:pPr>
            <w:r w:rsidRPr="00BA57F7">
              <w:rPr>
                <w:rFonts w:asciiTheme="minorHAnsi" w:hAnsiTheme="minorHAnsi"/>
                <w:szCs w:val="22"/>
              </w:rPr>
              <w:t>Median</w:t>
            </w:r>
          </w:p>
        </w:tc>
        <w:tc>
          <w:tcPr>
            <w:tcW w:w="102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D01045E"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11.3%</w:t>
            </w:r>
          </w:p>
        </w:tc>
        <w:tc>
          <w:tcPr>
            <w:tcW w:w="905" w:type="dxa"/>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tcPr>
          <w:p w14:paraId="7B113AEC" w14:textId="77777777" w:rsidR="00724C31" w:rsidRPr="00937CF7" w:rsidRDefault="00724C31" w:rsidP="00DA4AE8">
            <w:pPr>
              <w:jc w:val="right"/>
              <w:rPr>
                <w:rFonts w:asciiTheme="minorHAnsi" w:hAnsiTheme="minorHAnsi"/>
                <w:sz w:val="20"/>
                <w:szCs w:val="20"/>
              </w:rPr>
            </w:pPr>
            <w:r w:rsidRPr="00937CF7">
              <w:rPr>
                <w:rFonts w:asciiTheme="minorHAnsi" w:hAnsiTheme="minorHAnsi"/>
                <w:sz w:val="20"/>
                <w:szCs w:val="20"/>
              </w:rPr>
              <w:t>0.0%</w:t>
            </w:r>
          </w:p>
        </w:tc>
        <w:tc>
          <w:tcPr>
            <w:tcW w:w="351" w:type="dxa"/>
            <w:tcBorders>
              <w:left w:val="single" w:sz="4" w:space="0" w:color="auto"/>
            </w:tcBorders>
            <w:shd w:val="clear" w:color="auto" w:fill="FFFFFF" w:themeFill="background1"/>
            <w:vAlign w:val="center"/>
          </w:tcPr>
          <w:p w14:paraId="5F0E7973" w14:textId="77777777" w:rsidR="00724C31" w:rsidRPr="00BA57F7" w:rsidRDefault="00724C31" w:rsidP="00DA4AE8">
            <w:pPr>
              <w:rPr>
                <w:rFonts w:asciiTheme="minorHAnsi" w:hAnsiTheme="minorHAnsi"/>
                <w:b/>
                <w:bCs/>
                <w:szCs w:val="22"/>
              </w:rPr>
            </w:pPr>
            <w:r w:rsidRPr="00D3204E">
              <w:rPr>
                <w:rFonts w:asciiTheme="minorHAnsi" w:hAnsiTheme="minorHAnsi"/>
                <w:b/>
                <w:bCs/>
                <w:color w:val="00B050"/>
                <w:szCs w:val="22"/>
              </w:rPr>
              <w:t>↓</w:t>
            </w:r>
          </w:p>
        </w:tc>
        <w:tc>
          <w:tcPr>
            <w:tcW w:w="1134" w:type="dxa"/>
            <w:shd w:val="clear" w:color="auto" w:fill="FFFFFF" w:themeFill="background1"/>
            <w:vAlign w:val="center"/>
          </w:tcPr>
          <w:p w14:paraId="49562B96" w14:textId="77777777" w:rsidR="00724C31" w:rsidRPr="00BA57F7" w:rsidRDefault="00724C31" w:rsidP="00DA4AE8">
            <w:pPr>
              <w:rPr>
                <w:rFonts w:asciiTheme="minorHAnsi" w:hAnsiTheme="minorHAnsi"/>
                <w:sz w:val="14"/>
                <w:szCs w:val="14"/>
              </w:rPr>
            </w:pPr>
            <w:r>
              <w:rPr>
                <w:rFonts w:asciiTheme="minorHAnsi" w:hAnsiTheme="minorHAnsi"/>
                <w:sz w:val="14"/>
                <w:szCs w:val="14"/>
              </w:rPr>
              <w:t>11.3</w:t>
            </w:r>
            <w:r w:rsidRPr="0011057B">
              <w:rPr>
                <w:rFonts w:asciiTheme="minorHAnsi" w:hAnsiTheme="minorHAnsi"/>
                <w:sz w:val="14"/>
                <w:szCs w:val="14"/>
              </w:rPr>
              <w:t>%-points</w:t>
            </w:r>
          </w:p>
        </w:tc>
      </w:tr>
      <w:tr w:rsidR="00724C31" w14:paraId="4F544433" w14:textId="77777777" w:rsidTr="00724C31">
        <w:trPr>
          <w:jc w:val="center"/>
        </w:trPr>
        <w:tc>
          <w:tcPr>
            <w:tcW w:w="1302" w:type="dxa"/>
            <w:shd w:val="clear" w:color="auto" w:fill="FFFFFF" w:themeFill="background1"/>
            <w:vAlign w:val="center"/>
          </w:tcPr>
          <w:p w14:paraId="7B2188D1" w14:textId="77777777" w:rsidR="00724C31" w:rsidRDefault="00724C31" w:rsidP="00DA4AE8">
            <w:pPr>
              <w:rPr>
                <w:rFonts w:asciiTheme="minorHAnsi" w:hAnsiTheme="minorHAnsi"/>
                <w:szCs w:val="22"/>
              </w:rPr>
            </w:pPr>
          </w:p>
        </w:tc>
        <w:tc>
          <w:tcPr>
            <w:tcW w:w="905" w:type="dxa"/>
            <w:tcBorders>
              <w:top w:val="single" w:sz="4" w:space="0" w:color="auto"/>
            </w:tcBorders>
            <w:shd w:val="clear" w:color="auto" w:fill="FFFFFF" w:themeFill="background1"/>
            <w:vAlign w:val="center"/>
          </w:tcPr>
          <w:p w14:paraId="508AB9E7" w14:textId="77777777" w:rsidR="00724C31" w:rsidRDefault="00724C31" w:rsidP="00DA4AE8">
            <w:pPr>
              <w:jc w:val="right"/>
              <w:rPr>
                <w:rFonts w:asciiTheme="minorHAnsi" w:hAnsiTheme="minorHAnsi"/>
                <w:szCs w:val="22"/>
              </w:rPr>
            </w:pPr>
          </w:p>
        </w:tc>
        <w:tc>
          <w:tcPr>
            <w:tcW w:w="907" w:type="dxa"/>
            <w:tcBorders>
              <w:top w:val="single" w:sz="4" w:space="0" w:color="auto"/>
            </w:tcBorders>
            <w:shd w:val="clear" w:color="auto" w:fill="FFFFFF" w:themeFill="background1"/>
            <w:vAlign w:val="center"/>
          </w:tcPr>
          <w:p w14:paraId="750AB60C" w14:textId="77777777" w:rsidR="00724C31" w:rsidRDefault="00724C31" w:rsidP="00DA4AE8">
            <w:pPr>
              <w:jc w:val="right"/>
              <w:rPr>
                <w:rFonts w:asciiTheme="minorHAnsi" w:hAnsiTheme="minorHAnsi"/>
                <w:szCs w:val="22"/>
              </w:rPr>
            </w:pPr>
          </w:p>
        </w:tc>
        <w:tc>
          <w:tcPr>
            <w:tcW w:w="349" w:type="dxa"/>
            <w:shd w:val="clear" w:color="auto" w:fill="FFFFFF" w:themeFill="background1"/>
            <w:vAlign w:val="center"/>
          </w:tcPr>
          <w:p w14:paraId="36F6D01D" w14:textId="77777777" w:rsidR="00724C31" w:rsidRPr="00D3204E" w:rsidRDefault="00724C31" w:rsidP="00DA4AE8">
            <w:pPr>
              <w:jc w:val="center"/>
              <w:rPr>
                <w:rFonts w:asciiTheme="minorHAnsi" w:hAnsiTheme="minorHAnsi"/>
                <w:b/>
                <w:bCs/>
                <w:color w:val="00B050"/>
                <w:szCs w:val="22"/>
              </w:rPr>
            </w:pPr>
          </w:p>
        </w:tc>
        <w:tc>
          <w:tcPr>
            <w:tcW w:w="1077" w:type="dxa"/>
            <w:shd w:val="clear" w:color="auto" w:fill="FFFFFF" w:themeFill="background1"/>
            <w:vAlign w:val="center"/>
          </w:tcPr>
          <w:p w14:paraId="359AB5CA" w14:textId="77777777" w:rsidR="00724C31" w:rsidRDefault="00724C31" w:rsidP="00DA4AE8">
            <w:pPr>
              <w:rPr>
                <w:rFonts w:asciiTheme="minorHAnsi" w:hAnsiTheme="minorHAnsi"/>
                <w:sz w:val="14"/>
                <w:szCs w:val="14"/>
              </w:rPr>
            </w:pPr>
          </w:p>
        </w:tc>
        <w:tc>
          <w:tcPr>
            <w:tcW w:w="1302" w:type="dxa"/>
            <w:shd w:val="clear" w:color="auto" w:fill="FFFFFF" w:themeFill="background1"/>
            <w:vAlign w:val="center"/>
          </w:tcPr>
          <w:p w14:paraId="35428C9E" w14:textId="77777777" w:rsidR="00724C31" w:rsidRPr="00BA57F7" w:rsidRDefault="00724C31" w:rsidP="00DA4AE8">
            <w:pPr>
              <w:rPr>
                <w:rFonts w:asciiTheme="minorHAnsi" w:hAnsiTheme="minorHAnsi"/>
                <w:szCs w:val="22"/>
              </w:rPr>
            </w:pPr>
          </w:p>
        </w:tc>
        <w:tc>
          <w:tcPr>
            <w:tcW w:w="1020" w:type="dxa"/>
            <w:tcBorders>
              <w:top w:val="single" w:sz="4" w:space="0" w:color="auto"/>
            </w:tcBorders>
            <w:shd w:val="clear" w:color="auto" w:fill="FFFFFF" w:themeFill="background1"/>
            <w:vAlign w:val="center"/>
          </w:tcPr>
          <w:p w14:paraId="55196569" w14:textId="77777777" w:rsidR="00724C31" w:rsidRDefault="00724C31" w:rsidP="00DA4AE8">
            <w:pPr>
              <w:jc w:val="right"/>
              <w:rPr>
                <w:rFonts w:asciiTheme="minorHAnsi" w:hAnsiTheme="minorHAnsi"/>
                <w:szCs w:val="22"/>
              </w:rPr>
            </w:pPr>
          </w:p>
        </w:tc>
        <w:tc>
          <w:tcPr>
            <w:tcW w:w="905" w:type="dxa"/>
            <w:tcBorders>
              <w:top w:val="single" w:sz="4" w:space="0" w:color="auto"/>
            </w:tcBorders>
            <w:shd w:val="clear" w:color="auto" w:fill="FFFFFF" w:themeFill="background1"/>
            <w:vAlign w:val="center"/>
          </w:tcPr>
          <w:p w14:paraId="4A544915" w14:textId="77777777" w:rsidR="00724C31" w:rsidRDefault="00724C31" w:rsidP="00DA4AE8">
            <w:pPr>
              <w:jc w:val="right"/>
              <w:rPr>
                <w:rFonts w:asciiTheme="minorHAnsi" w:hAnsiTheme="minorHAnsi"/>
                <w:szCs w:val="22"/>
              </w:rPr>
            </w:pPr>
          </w:p>
        </w:tc>
        <w:tc>
          <w:tcPr>
            <w:tcW w:w="351" w:type="dxa"/>
            <w:shd w:val="clear" w:color="auto" w:fill="FFFFFF" w:themeFill="background1"/>
            <w:vAlign w:val="center"/>
          </w:tcPr>
          <w:p w14:paraId="1E847F9A" w14:textId="77777777" w:rsidR="00724C31" w:rsidRPr="00D3204E" w:rsidRDefault="00724C31" w:rsidP="00DA4AE8">
            <w:pPr>
              <w:rPr>
                <w:rFonts w:asciiTheme="minorHAnsi" w:hAnsiTheme="minorHAnsi"/>
                <w:b/>
                <w:bCs/>
                <w:color w:val="00B050"/>
                <w:szCs w:val="22"/>
              </w:rPr>
            </w:pPr>
          </w:p>
        </w:tc>
        <w:tc>
          <w:tcPr>
            <w:tcW w:w="1134" w:type="dxa"/>
            <w:shd w:val="clear" w:color="auto" w:fill="FFFFFF" w:themeFill="background1"/>
            <w:vAlign w:val="center"/>
          </w:tcPr>
          <w:p w14:paraId="5C1FE9AC" w14:textId="77777777" w:rsidR="00724C31" w:rsidRDefault="00724C31" w:rsidP="00DA4AE8">
            <w:pPr>
              <w:rPr>
                <w:rFonts w:asciiTheme="minorHAnsi" w:hAnsiTheme="minorHAnsi"/>
                <w:sz w:val="14"/>
                <w:szCs w:val="14"/>
              </w:rPr>
            </w:pPr>
          </w:p>
        </w:tc>
      </w:tr>
    </w:tbl>
    <w:p w14:paraId="6EC934C3" w14:textId="77777777" w:rsidR="00BA4B34" w:rsidRDefault="00BA4B34" w:rsidP="00BA4B34">
      <w:pPr>
        <w:spacing w:after="0"/>
        <w:rPr>
          <w:rFonts w:asciiTheme="minorHAnsi" w:hAnsiTheme="minorHAnsi"/>
          <w:sz w:val="18"/>
          <w:szCs w:val="18"/>
        </w:rPr>
      </w:pPr>
    </w:p>
    <w:p w14:paraId="37FA0DAF" w14:textId="77777777" w:rsidR="00BA4B34" w:rsidRPr="00AC2388" w:rsidRDefault="00BA4B34" w:rsidP="00BA4B34">
      <w:pPr>
        <w:rPr>
          <w:rFonts w:asciiTheme="minorHAnsi" w:hAnsiTheme="minorHAnsi"/>
          <w:sz w:val="18"/>
          <w:szCs w:val="18"/>
        </w:rPr>
      </w:pPr>
      <w:r w:rsidRPr="00AC2388">
        <w:rPr>
          <w:rFonts w:asciiTheme="minorHAnsi" w:hAnsiTheme="minorHAnsi"/>
          <w:sz w:val="18"/>
          <w:szCs w:val="18"/>
        </w:rPr>
        <w:t>*These figures have been corrected from the comparison tables in our 2024 Annual EDI &amp; GPG Report.</w:t>
      </w:r>
    </w:p>
    <w:p w14:paraId="0EEBBB55" w14:textId="77777777" w:rsidR="00BA4B34" w:rsidRDefault="00BA4B34" w:rsidP="00BA4B34">
      <w:pPr>
        <w:rPr>
          <w:rFonts w:asciiTheme="minorHAnsi" w:hAnsiTheme="minorHAnsi"/>
          <w:szCs w:val="22"/>
        </w:rPr>
      </w:pPr>
    </w:p>
    <w:p w14:paraId="047E6DAB" w14:textId="77777777" w:rsidR="00BA4B34" w:rsidRDefault="00BA4B34" w:rsidP="00BA4B34">
      <w:pPr>
        <w:rPr>
          <w:rFonts w:asciiTheme="majorHAnsi" w:hAnsiTheme="majorHAnsi"/>
          <w:color w:val="0B769F" w:themeColor="accent4" w:themeShade="BF"/>
          <w:sz w:val="28"/>
          <w:szCs w:val="28"/>
        </w:rPr>
      </w:pPr>
      <w:r>
        <w:rPr>
          <w:rFonts w:asciiTheme="majorHAnsi" w:hAnsiTheme="majorHAnsi"/>
          <w:color w:val="0B769F" w:themeColor="accent4" w:themeShade="BF"/>
          <w:sz w:val="28"/>
          <w:szCs w:val="28"/>
        </w:rPr>
        <w:t>Gender</w:t>
      </w:r>
    </w:p>
    <w:p w14:paraId="0141FF09" w14:textId="77777777" w:rsidR="00BA4B34" w:rsidRPr="00A85850" w:rsidRDefault="00BA4B34" w:rsidP="00BA4B34">
      <w:pPr>
        <w:rPr>
          <w:rFonts w:asciiTheme="minorHAnsi" w:hAnsiTheme="minorHAnsi"/>
          <w:b/>
          <w:bCs/>
          <w:szCs w:val="22"/>
        </w:rPr>
      </w:pPr>
      <w:r>
        <w:rPr>
          <w:rFonts w:asciiTheme="minorHAnsi" w:hAnsiTheme="minorHAnsi"/>
          <w:b/>
          <w:bCs/>
          <w:szCs w:val="22"/>
        </w:rPr>
        <w:t>Gender Pay Gap</w:t>
      </w:r>
    </w:p>
    <w:p w14:paraId="5BE19B70" w14:textId="77777777" w:rsidR="00BA4B34" w:rsidRDefault="00BA4B34" w:rsidP="00BA4B34">
      <w:pPr>
        <w:rPr>
          <w:rFonts w:asciiTheme="minorHAnsi" w:hAnsiTheme="minorHAnsi"/>
          <w:szCs w:val="22"/>
        </w:rPr>
      </w:pPr>
      <w:r>
        <w:rPr>
          <w:rFonts w:asciiTheme="minorHAnsi" w:hAnsiTheme="minorHAnsi"/>
          <w:szCs w:val="22"/>
        </w:rPr>
        <w:t xml:space="preserve">The mean and median gender pay gaps have decreased from previous years, with the mean pay gap reducing 1.1%-points from 15.5% in 2024 to 14.4% in 2025 and the median pay gap reducing 1.0%-points from 14.3% in 2024 to 13.3% in 2025. While both pay gaps remain in favour of male colleagues, these figures represent the lowest mean gender pay gap and the second lowest median gender pay gap since 2021. </w:t>
      </w:r>
    </w:p>
    <w:p w14:paraId="7915071B" w14:textId="77777777" w:rsidR="00BA4B34" w:rsidRDefault="00BA4B34" w:rsidP="00BA4B34">
      <w:pPr>
        <w:jc w:val="center"/>
        <w:rPr>
          <w:rFonts w:asciiTheme="minorHAnsi" w:hAnsiTheme="minorHAnsi"/>
          <w:szCs w:val="22"/>
        </w:rPr>
      </w:pPr>
      <w:r>
        <w:rPr>
          <w:rFonts w:asciiTheme="minorHAnsi" w:hAnsiTheme="minorHAnsi"/>
          <w:noProof/>
          <w:szCs w:val="22"/>
        </w:rPr>
        <w:lastRenderedPageBreak/>
        <w:drawing>
          <wp:inline distT="0" distB="0" distL="0" distR="0" wp14:anchorId="7C7B9C78" wp14:editId="2D2EA10E">
            <wp:extent cx="3865983" cy="2268000"/>
            <wp:effectExtent l="0" t="0" r="1270" b="0"/>
            <wp:docPr id="801678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5983" cy="2268000"/>
                    </a:xfrm>
                    <a:prstGeom prst="rect">
                      <a:avLst/>
                    </a:prstGeom>
                    <a:noFill/>
                  </pic:spPr>
                </pic:pic>
              </a:graphicData>
            </a:graphic>
          </wp:inline>
        </w:drawing>
      </w:r>
    </w:p>
    <w:p w14:paraId="36BE7FEF" w14:textId="77777777" w:rsidR="00BA4B34" w:rsidRDefault="00BA4B34" w:rsidP="00BA4B34">
      <w:pPr>
        <w:rPr>
          <w:rFonts w:asciiTheme="minorHAnsi" w:hAnsiTheme="minorHAnsi"/>
          <w:b/>
          <w:bCs/>
          <w:szCs w:val="22"/>
        </w:rPr>
      </w:pPr>
    </w:p>
    <w:p w14:paraId="453EC7AB" w14:textId="77777777" w:rsidR="00BA4B34" w:rsidRPr="00CF1717" w:rsidRDefault="00BA4B34" w:rsidP="00BA4B34">
      <w:pPr>
        <w:rPr>
          <w:rFonts w:asciiTheme="minorHAnsi" w:hAnsiTheme="minorHAnsi"/>
          <w:szCs w:val="22"/>
        </w:rPr>
      </w:pPr>
      <w:r>
        <w:rPr>
          <w:rFonts w:asciiTheme="minorHAnsi" w:hAnsiTheme="minorHAnsi"/>
          <w:b/>
          <w:bCs/>
          <w:szCs w:val="22"/>
        </w:rPr>
        <w:t>Gender Bonus Gap</w:t>
      </w:r>
    </w:p>
    <w:p w14:paraId="147ECEC7" w14:textId="758D7FDB" w:rsidR="00BA4B34" w:rsidRDefault="00BA4B34" w:rsidP="00BA4B34">
      <w:pPr>
        <w:rPr>
          <w:rFonts w:asciiTheme="minorHAnsi" w:hAnsiTheme="minorHAnsi"/>
          <w:szCs w:val="22"/>
        </w:rPr>
      </w:pPr>
      <w:r>
        <w:rPr>
          <w:rFonts w:asciiTheme="minorHAnsi" w:hAnsiTheme="minorHAnsi"/>
          <w:szCs w:val="22"/>
        </w:rPr>
        <w:t xml:space="preserve">When including National Clinical Impact Awards (NCIA), formerly Clinical Excellence Awards (CEA) payments, the mean gender bonus gap is 76.6% in favour of male colleagues and there is no median bonus gap in 2025. This represents a 2.2%-point increase in the mean bonus gap, and a 50.0%-point decrease in the median bonus gap, in comparison to 2024. </w:t>
      </w:r>
    </w:p>
    <w:p w14:paraId="5FCF7219" w14:textId="77777777" w:rsidR="00BA4B34" w:rsidRDefault="00BA4B34" w:rsidP="00BA4B34">
      <w:pPr>
        <w:rPr>
          <w:rFonts w:asciiTheme="minorHAnsi" w:hAnsiTheme="minorHAnsi"/>
          <w:szCs w:val="22"/>
        </w:rPr>
      </w:pPr>
      <w:r>
        <w:rPr>
          <w:rFonts w:asciiTheme="minorHAnsi" w:hAnsiTheme="minorHAnsi"/>
          <w:szCs w:val="22"/>
        </w:rPr>
        <w:t xml:space="preserve">In total, 42 colleagues received NCIA bonus payments, comprised of 35 male colleagues and 7 female colleagues. The mean bonus gap is driven by 13 male colleagues receiving NCIA bonus payouts greater than £10,000, compared to only 5 female colleagues. </w:t>
      </w:r>
    </w:p>
    <w:p w14:paraId="3458FFB3" w14:textId="77777777" w:rsidR="00BA4B34" w:rsidRDefault="00BA4B34" w:rsidP="00BA4B34">
      <w:pPr>
        <w:rPr>
          <w:rFonts w:asciiTheme="minorHAnsi" w:hAnsiTheme="minorHAnsi"/>
          <w:szCs w:val="22"/>
        </w:rPr>
      </w:pPr>
      <w:r>
        <w:rPr>
          <w:rFonts w:asciiTheme="minorHAnsi" w:hAnsiTheme="minorHAnsi"/>
          <w:szCs w:val="22"/>
        </w:rPr>
        <w:t xml:space="preserve">When excluding NCIA payments, the mean gender bonus pay gap is 20.8% in favour of male colleagues and the median gender bonus pay gap remains at 0%. </w:t>
      </w:r>
    </w:p>
    <w:p w14:paraId="55564EF7" w14:textId="77777777" w:rsidR="00BA4B34" w:rsidRDefault="00BA4B34" w:rsidP="00BA4B34">
      <w:pPr>
        <w:rPr>
          <w:rFonts w:asciiTheme="minorHAnsi" w:hAnsiTheme="minorHAnsi"/>
          <w:b/>
          <w:bCs/>
          <w:szCs w:val="22"/>
        </w:rPr>
      </w:pPr>
    </w:p>
    <w:p w14:paraId="6B204ADF" w14:textId="77777777" w:rsidR="00BA4B34" w:rsidRDefault="00BA4B34" w:rsidP="00BA4B34">
      <w:pPr>
        <w:rPr>
          <w:rFonts w:asciiTheme="minorHAnsi" w:hAnsiTheme="minorHAnsi"/>
          <w:b/>
          <w:bCs/>
          <w:szCs w:val="22"/>
        </w:rPr>
      </w:pPr>
      <w:r>
        <w:rPr>
          <w:rFonts w:asciiTheme="minorHAnsi" w:hAnsiTheme="minorHAnsi"/>
          <w:b/>
          <w:bCs/>
          <w:szCs w:val="22"/>
        </w:rPr>
        <w:t>Pay Quartiles</w:t>
      </w:r>
    </w:p>
    <w:p w14:paraId="50E5317D" w14:textId="77777777" w:rsidR="00BA4B34" w:rsidRDefault="00BA4B34" w:rsidP="00BA4B34">
      <w:pPr>
        <w:rPr>
          <w:rFonts w:asciiTheme="minorHAnsi" w:hAnsiTheme="minorHAnsi"/>
          <w:szCs w:val="22"/>
        </w:rPr>
      </w:pPr>
      <w:r>
        <w:rPr>
          <w:rFonts w:asciiTheme="minorHAnsi" w:hAnsiTheme="minorHAnsi"/>
          <w:szCs w:val="22"/>
        </w:rPr>
        <w:t>Our overall gender distribution is 44.9% male and 55.1% female. This distribution is most closely represented in the upper middle quartile, with the largest deviation most evident in the upper quartile, which shows a 12%-point variation.</w:t>
      </w:r>
    </w:p>
    <w:p w14:paraId="066A5F1A" w14:textId="61402F65" w:rsidR="002B61BB" w:rsidRDefault="00BA4B34" w:rsidP="002B61BB">
      <w:pPr>
        <w:jc w:val="center"/>
        <w:rPr>
          <w:rFonts w:asciiTheme="minorHAnsi" w:hAnsiTheme="minorHAnsi"/>
          <w:szCs w:val="22"/>
        </w:rPr>
      </w:pPr>
      <w:r>
        <w:rPr>
          <w:rFonts w:asciiTheme="minorHAnsi" w:hAnsiTheme="minorHAnsi"/>
          <w:noProof/>
          <w:szCs w:val="22"/>
        </w:rPr>
        <w:drawing>
          <wp:inline distT="0" distB="0" distL="0" distR="0" wp14:anchorId="70E55A7E" wp14:editId="29CD8DC2">
            <wp:extent cx="3797229" cy="2268000"/>
            <wp:effectExtent l="0" t="0" r="0" b="0"/>
            <wp:docPr id="1450074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7229" cy="2268000"/>
                    </a:xfrm>
                    <a:prstGeom prst="rect">
                      <a:avLst/>
                    </a:prstGeom>
                    <a:noFill/>
                  </pic:spPr>
                </pic:pic>
              </a:graphicData>
            </a:graphic>
          </wp:inline>
        </w:drawing>
      </w:r>
    </w:p>
    <w:p w14:paraId="71269C61" w14:textId="77777777" w:rsidR="00BA4B34" w:rsidRDefault="00BA4B34" w:rsidP="00BA4B34">
      <w:pPr>
        <w:rPr>
          <w:rFonts w:asciiTheme="minorHAnsi" w:hAnsiTheme="minorHAnsi"/>
          <w:szCs w:val="22"/>
        </w:rPr>
      </w:pPr>
      <w:r>
        <w:rPr>
          <w:rFonts w:asciiTheme="minorHAnsi" w:hAnsiTheme="minorHAnsi"/>
          <w:szCs w:val="22"/>
        </w:rPr>
        <w:lastRenderedPageBreak/>
        <w:t>This year, all pay quartiles saw shifts in gender distribution except the upper middle quartile, which remained unchanged. No quartile saw movements greater than 2%-points, however these marginal shifts are likely to have contributed to a reduction in the overall mean gender pay gap.</w:t>
      </w:r>
    </w:p>
    <w:p w14:paraId="714A348A" w14:textId="77777777" w:rsidR="00BA4B34" w:rsidRDefault="00BA4B34" w:rsidP="00BA4B34">
      <w:pPr>
        <w:rPr>
          <w:rFonts w:asciiTheme="minorHAnsi" w:hAnsiTheme="minorHAnsi"/>
          <w:b/>
          <w:bCs/>
          <w:szCs w:val="22"/>
        </w:rPr>
      </w:pPr>
    </w:p>
    <w:p w14:paraId="46CE8359" w14:textId="77777777" w:rsidR="00BA4B34" w:rsidRDefault="00BA4B34" w:rsidP="00BA4B34">
      <w:pPr>
        <w:rPr>
          <w:rFonts w:asciiTheme="minorHAnsi" w:hAnsiTheme="minorHAnsi"/>
          <w:b/>
          <w:bCs/>
          <w:szCs w:val="22"/>
        </w:rPr>
      </w:pPr>
      <w:r>
        <w:rPr>
          <w:rFonts w:asciiTheme="minorHAnsi" w:hAnsiTheme="minorHAnsi"/>
          <w:b/>
          <w:bCs/>
          <w:szCs w:val="22"/>
        </w:rPr>
        <w:t>Addressing our Gender Pay Gap</w:t>
      </w:r>
    </w:p>
    <w:p w14:paraId="7B91D8DA" w14:textId="77777777" w:rsidR="00BA4B34" w:rsidRDefault="00BA4B34" w:rsidP="00BA4B34">
      <w:pPr>
        <w:rPr>
          <w:rFonts w:asciiTheme="minorHAnsi" w:hAnsiTheme="minorHAnsi"/>
          <w:szCs w:val="22"/>
        </w:rPr>
      </w:pPr>
      <w:r>
        <w:rPr>
          <w:rFonts w:asciiTheme="minorHAnsi" w:hAnsiTheme="minorHAnsi"/>
          <w:szCs w:val="22"/>
        </w:rPr>
        <w:t xml:space="preserve">While both the mean and median gender pay gaps have shown a downward trend since 2021, we recognise that there is still more work to be done to reduce the gap further, and more consistently. We are confident that our actions to create a more family-friendly organisation will continue to have a positive impact and our work to build more representative university governance will address the gender disparities at the most senior levels, which we expect to influence both our pay gap and bonus pay gap. Our Athena Swan Action Plan continues to focus on wide-ranging key activities that contribute towards a reduction in the gender pay gap as a priority outcome. </w:t>
      </w:r>
    </w:p>
    <w:p w14:paraId="1A1308C5" w14:textId="77777777" w:rsidR="00BA4B34" w:rsidRDefault="00BA4B34" w:rsidP="00BA4B34">
      <w:pPr>
        <w:rPr>
          <w:rFonts w:asciiTheme="minorHAnsi" w:hAnsiTheme="minorHAnsi"/>
          <w:szCs w:val="22"/>
        </w:rPr>
      </w:pPr>
    </w:p>
    <w:p w14:paraId="67442F0D" w14:textId="77777777" w:rsidR="00BA4B34" w:rsidRDefault="00BA4B34" w:rsidP="00BA4B34">
      <w:pPr>
        <w:rPr>
          <w:rFonts w:asciiTheme="majorHAnsi" w:hAnsiTheme="majorHAnsi"/>
          <w:color w:val="0B769F" w:themeColor="accent4" w:themeShade="BF"/>
          <w:sz w:val="28"/>
          <w:szCs w:val="28"/>
        </w:rPr>
      </w:pPr>
      <w:r>
        <w:rPr>
          <w:rFonts w:asciiTheme="majorHAnsi" w:hAnsiTheme="majorHAnsi"/>
          <w:color w:val="0B769F" w:themeColor="accent4" w:themeShade="BF"/>
          <w:sz w:val="28"/>
          <w:szCs w:val="28"/>
        </w:rPr>
        <w:t>Ethnicity</w:t>
      </w:r>
    </w:p>
    <w:p w14:paraId="3DCDFC7C" w14:textId="77777777" w:rsidR="00BA4B34" w:rsidRPr="00A85850" w:rsidRDefault="00BA4B34" w:rsidP="00BA4B34">
      <w:pPr>
        <w:rPr>
          <w:rFonts w:asciiTheme="minorHAnsi" w:hAnsiTheme="minorHAnsi"/>
          <w:b/>
          <w:bCs/>
          <w:szCs w:val="22"/>
        </w:rPr>
      </w:pPr>
      <w:r>
        <w:rPr>
          <w:rFonts w:asciiTheme="minorHAnsi" w:hAnsiTheme="minorHAnsi"/>
          <w:b/>
          <w:bCs/>
          <w:szCs w:val="22"/>
        </w:rPr>
        <w:t>Ethnicity Pay Gap</w:t>
      </w:r>
    </w:p>
    <w:p w14:paraId="225BF711" w14:textId="77777777" w:rsidR="00BA4B34" w:rsidRDefault="00BA4B34" w:rsidP="00BA4B34">
      <w:pPr>
        <w:rPr>
          <w:rFonts w:asciiTheme="minorHAnsi" w:hAnsiTheme="minorHAnsi"/>
          <w:szCs w:val="22"/>
        </w:rPr>
      </w:pPr>
      <w:r>
        <w:rPr>
          <w:rFonts w:asciiTheme="minorHAnsi" w:hAnsiTheme="minorHAnsi"/>
          <w:szCs w:val="22"/>
        </w:rPr>
        <w:t xml:space="preserve">The mean ethnicity pay gap increased by 0.6%-points to 0.96%, in favour of white colleagues. The median ethnicity pay gap decreased by 0.6%-points to 2.4%, in favour of minoritised ethnic colleagues. An increase of 1%-points in the population of minoritised ethnic colleagues has likely contributed to reducing the median ethnicity pay gap. </w:t>
      </w:r>
    </w:p>
    <w:p w14:paraId="3D220EBC" w14:textId="77777777" w:rsidR="00BA4B34" w:rsidRPr="008129AE" w:rsidRDefault="00BA4B34" w:rsidP="00BA4B34">
      <w:pPr>
        <w:jc w:val="center"/>
        <w:rPr>
          <w:rFonts w:asciiTheme="minorHAnsi" w:hAnsiTheme="minorHAnsi"/>
          <w:szCs w:val="22"/>
        </w:rPr>
      </w:pPr>
      <w:r w:rsidRPr="007D7FBE">
        <w:rPr>
          <w:rFonts w:asciiTheme="minorHAnsi" w:hAnsiTheme="minorHAnsi"/>
          <w:noProof/>
          <w:szCs w:val="22"/>
        </w:rPr>
        <w:drawing>
          <wp:inline distT="0" distB="0" distL="0" distR="0" wp14:anchorId="4DC41A3A" wp14:editId="772EF93C">
            <wp:extent cx="4287116" cy="2268000"/>
            <wp:effectExtent l="0" t="0" r="0" b="0"/>
            <wp:docPr id="652161242" name="Picture 11" descr="A graph of the ethnic gap trend&#10;&#10;AI-generated content may be incorrect.">
              <a:extLst xmlns:a="http://schemas.openxmlformats.org/drawingml/2006/main">
                <a:ext uri="{FF2B5EF4-FFF2-40B4-BE49-F238E27FC236}">
                  <a16:creationId xmlns:a16="http://schemas.microsoft.com/office/drawing/2014/main" id="{25BF8AA4-49CB-16C0-88F1-D31C04B42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graph of the ethnic gap trend&#10;&#10;AI-generated content may be incorrect.">
                      <a:extLst>
                        <a:ext uri="{FF2B5EF4-FFF2-40B4-BE49-F238E27FC236}">
                          <a16:creationId xmlns:a16="http://schemas.microsoft.com/office/drawing/2014/main" id="{25BF8AA4-49CB-16C0-88F1-D31C04B42344}"/>
                        </a:ext>
                      </a:extLst>
                    </pic:cNvPr>
                    <pic:cNvPicPr>
                      <a:picLocks noChangeAspect="1"/>
                    </pic:cNvPicPr>
                  </pic:nvPicPr>
                  <pic:blipFill>
                    <a:blip r:embed="rId15">
                      <a:extLst>
                        <a:ext uri="{28A0092B-C50C-407E-A947-70E740481C1C}">
                          <a14:useLocalDpi xmlns:a14="http://schemas.microsoft.com/office/drawing/2010/main"/>
                        </a:ext>
                      </a:extLst>
                    </a:blip>
                    <a:srcRect/>
                    <a:stretch/>
                  </pic:blipFill>
                  <pic:spPr>
                    <a:xfrm>
                      <a:off x="0" y="0"/>
                      <a:ext cx="4287116" cy="2268000"/>
                    </a:xfrm>
                    <a:prstGeom prst="rect">
                      <a:avLst/>
                    </a:prstGeom>
                  </pic:spPr>
                </pic:pic>
              </a:graphicData>
            </a:graphic>
          </wp:inline>
        </w:drawing>
      </w:r>
    </w:p>
    <w:p w14:paraId="5E9C07AE" w14:textId="77777777" w:rsidR="00BA4B34" w:rsidRDefault="00BA4B34" w:rsidP="00BA4B34">
      <w:pPr>
        <w:rPr>
          <w:rFonts w:asciiTheme="minorHAnsi" w:hAnsiTheme="minorHAnsi"/>
          <w:b/>
          <w:bCs/>
          <w:szCs w:val="22"/>
        </w:rPr>
      </w:pPr>
    </w:p>
    <w:p w14:paraId="22DF7FB2" w14:textId="77777777" w:rsidR="00BA4B34" w:rsidRPr="00A85850" w:rsidRDefault="00BA4B34" w:rsidP="00BA4B34">
      <w:pPr>
        <w:rPr>
          <w:rFonts w:asciiTheme="minorHAnsi" w:hAnsiTheme="minorHAnsi"/>
          <w:b/>
          <w:bCs/>
          <w:szCs w:val="22"/>
        </w:rPr>
      </w:pPr>
      <w:r>
        <w:rPr>
          <w:rFonts w:asciiTheme="minorHAnsi" w:hAnsiTheme="minorHAnsi"/>
          <w:b/>
          <w:bCs/>
          <w:szCs w:val="22"/>
        </w:rPr>
        <w:t>Ethnicity Bonus Pay Gap</w:t>
      </w:r>
    </w:p>
    <w:p w14:paraId="73328F33" w14:textId="77777777" w:rsidR="00BA4B34" w:rsidRDefault="00BA4B34" w:rsidP="00BA4B34">
      <w:pPr>
        <w:rPr>
          <w:rFonts w:asciiTheme="minorHAnsi" w:hAnsiTheme="minorHAnsi"/>
          <w:szCs w:val="22"/>
        </w:rPr>
      </w:pPr>
      <w:r>
        <w:rPr>
          <w:rFonts w:asciiTheme="minorHAnsi" w:hAnsiTheme="minorHAnsi"/>
          <w:szCs w:val="22"/>
        </w:rPr>
        <w:t xml:space="preserve">When including NCIA, the mean ethnicity bonus gap has increased from 57.9% in 2024 to 95.8% in 2025, in favour of minoritised ethnic colleagues. The median gap has reduced from 100.0% in 2024 to 50.0% in 2025, also in favour of minoritised ethnic colleagues. Of the 42 </w:t>
      </w:r>
      <w:r>
        <w:rPr>
          <w:rFonts w:asciiTheme="minorHAnsi" w:hAnsiTheme="minorHAnsi"/>
          <w:szCs w:val="22"/>
        </w:rPr>
        <w:lastRenderedPageBreak/>
        <w:t xml:space="preserve">colleagues who received NCIA payments, 3 did not share their ethnicity. Of the remaining recipients, 6 were from a minoritised ethnic background in comparison to 33 white colleagues. </w:t>
      </w:r>
    </w:p>
    <w:p w14:paraId="75AC98ED" w14:textId="77777777" w:rsidR="00BA4B34" w:rsidRDefault="00BA4B34" w:rsidP="00BA4B34">
      <w:pPr>
        <w:rPr>
          <w:rFonts w:asciiTheme="minorHAnsi" w:hAnsiTheme="minorHAnsi"/>
          <w:szCs w:val="22"/>
        </w:rPr>
      </w:pPr>
      <w:r>
        <w:rPr>
          <w:rFonts w:asciiTheme="minorHAnsi" w:hAnsiTheme="minorHAnsi"/>
          <w:szCs w:val="22"/>
        </w:rPr>
        <w:t>When excluding NCIA payments, the mean ethnicity bonus gap falls to 10.2% in favour of minoritised ethnic colleagues and the median ethnicity bonus gap falls to 0%.</w:t>
      </w:r>
    </w:p>
    <w:p w14:paraId="7973B09C" w14:textId="77777777" w:rsidR="00BA4B34" w:rsidRDefault="00BA4B34" w:rsidP="00BA4B34">
      <w:pPr>
        <w:rPr>
          <w:rFonts w:asciiTheme="minorHAnsi" w:hAnsiTheme="minorHAnsi"/>
          <w:szCs w:val="22"/>
        </w:rPr>
      </w:pPr>
    </w:p>
    <w:p w14:paraId="664B3BE4" w14:textId="77777777" w:rsidR="00BA4B34" w:rsidRDefault="00BA4B34" w:rsidP="00BA4B34">
      <w:pPr>
        <w:rPr>
          <w:rFonts w:asciiTheme="minorHAnsi" w:hAnsiTheme="minorHAnsi"/>
          <w:b/>
          <w:bCs/>
          <w:szCs w:val="22"/>
        </w:rPr>
      </w:pPr>
      <w:r>
        <w:rPr>
          <w:rFonts w:asciiTheme="minorHAnsi" w:hAnsiTheme="minorHAnsi"/>
          <w:b/>
          <w:bCs/>
          <w:szCs w:val="22"/>
        </w:rPr>
        <w:t>Ethnicity Pay Quartiles</w:t>
      </w:r>
    </w:p>
    <w:p w14:paraId="6F459755" w14:textId="77777777" w:rsidR="00BA4B34" w:rsidRDefault="00BA4B34" w:rsidP="00BA4B34">
      <w:pPr>
        <w:rPr>
          <w:rFonts w:asciiTheme="minorHAnsi" w:hAnsiTheme="minorHAnsi"/>
          <w:szCs w:val="22"/>
        </w:rPr>
      </w:pPr>
      <w:r>
        <w:rPr>
          <w:rFonts w:asciiTheme="minorHAnsi" w:hAnsiTheme="minorHAnsi"/>
          <w:szCs w:val="22"/>
        </w:rPr>
        <w:t xml:space="preserve">When reviewing the change in population distribution from 2024 to 2025, there is a clear trend of the population of white colleagues across all pay quartiles reducing. The largest pay gap is seen in the upper quartile with the mean ethnicity pay gap at 5.4% and the median ethnicity pay gap at 6.0%, both in favour of white colleagues. The remaining quartiles have pay gaps of less than 5.0% for both the mean and median. </w:t>
      </w:r>
    </w:p>
    <w:p w14:paraId="5BCB7B3C" w14:textId="77777777" w:rsidR="00BA4B34" w:rsidRDefault="00BA4B34" w:rsidP="00BA4B34">
      <w:pPr>
        <w:jc w:val="center"/>
        <w:rPr>
          <w:rFonts w:asciiTheme="minorHAnsi" w:hAnsiTheme="minorHAnsi"/>
          <w:szCs w:val="22"/>
        </w:rPr>
      </w:pPr>
      <w:r>
        <w:rPr>
          <w:rFonts w:asciiTheme="minorHAnsi" w:hAnsiTheme="minorHAnsi"/>
          <w:noProof/>
          <w:szCs w:val="22"/>
        </w:rPr>
        <w:drawing>
          <wp:inline distT="0" distB="0" distL="0" distR="0" wp14:anchorId="601C6EA7" wp14:editId="3DCDE040">
            <wp:extent cx="3797229" cy="2268000"/>
            <wp:effectExtent l="0" t="0" r="0" b="0"/>
            <wp:docPr id="3636578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7229" cy="2268000"/>
                    </a:xfrm>
                    <a:prstGeom prst="rect">
                      <a:avLst/>
                    </a:prstGeom>
                    <a:noFill/>
                  </pic:spPr>
                </pic:pic>
              </a:graphicData>
            </a:graphic>
          </wp:inline>
        </w:drawing>
      </w:r>
    </w:p>
    <w:p w14:paraId="2843813E" w14:textId="77777777" w:rsidR="00BA4B34" w:rsidRDefault="00BA4B34" w:rsidP="00BA4B34">
      <w:pPr>
        <w:rPr>
          <w:rFonts w:asciiTheme="minorHAnsi" w:hAnsiTheme="minorHAnsi"/>
          <w:szCs w:val="22"/>
        </w:rPr>
      </w:pPr>
    </w:p>
    <w:p w14:paraId="40C1F633" w14:textId="77777777" w:rsidR="00BA4B34" w:rsidRDefault="00BA4B34" w:rsidP="00BA4B34">
      <w:pPr>
        <w:rPr>
          <w:rFonts w:asciiTheme="minorHAnsi" w:hAnsiTheme="minorHAnsi"/>
          <w:b/>
          <w:bCs/>
          <w:szCs w:val="22"/>
        </w:rPr>
      </w:pPr>
      <w:r>
        <w:rPr>
          <w:rFonts w:asciiTheme="minorHAnsi" w:hAnsiTheme="minorHAnsi"/>
          <w:b/>
          <w:bCs/>
          <w:szCs w:val="22"/>
        </w:rPr>
        <w:t>Addressing our Ethnicity Pay Gap</w:t>
      </w:r>
    </w:p>
    <w:p w14:paraId="6C0ED1B9" w14:textId="77777777" w:rsidR="00BA4B34" w:rsidRPr="0032522E" w:rsidRDefault="00BA4B34" w:rsidP="00BA4B34">
      <w:pPr>
        <w:rPr>
          <w:rFonts w:asciiTheme="minorHAnsi" w:hAnsiTheme="minorHAnsi"/>
          <w:szCs w:val="22"/>
        </w:rPr>
      </w:pPr>
      <w:r>
        <w:rPr>
          <w:rFonts w:asciiTheme="minorHAnsi" w:hAnsiTheme="minorHAnsi"/>
          <w:szCs w:val="22"/>
        </w:rPr>
        <w:t xml:space="preserve">While minoritised ethnic groups remain underrepresented across the university, marginal progress continues to be made across all pay quartiles, which have seen a decrease in the population of white colleagues in 2025. Our work to address underrepresentation of protected characteristics at the most senior levels will continue to impact our ethnicity pay gap, alongside targeted efforts through the Race Equality Charter Action Plan. </w:t>
      </w:r>
    </w:p>
    <w:p w14:paraId="3B443C34" w14:textId="77777777" w:rsidR="00BA4B34" w:rsidRDefault="00BA4B34" w:rsidP="00BA4B34">
      <w:pPr>
        <w:rPr>
          <w:rFonts w:asciiTheme="minorHAnsi" w:hAnsiTheme="minorHAnsi"/>
          <w:szCs w:val="22"/>
        </w:rPr>
      </w:pPr>
    </w:p>
    <w:p w14:paraId="43C67CA5" w14:textId="77777777" w:rsidR="00BA4B34" w:rsidRDefault="00BA4B34" w:rsidP="00BA4B34">
      <w:pPr>
        <w:rPr>
          <w:rFonts w:asciiTheme="majorHAnsi" w:hAnsiTheme="majorHAnsi"/>
          <w:color w:val="0B769F" w:themeColor="accent4" w:themeShade="BF"/>
          <w:sz w:val="28"/>
          <w:szCs w:val="28"/>
        </w:rPr>
      </w:pPr>
      <w:r>
        <w:rPr>
          <w:rFonts w:asciiTheme="majorHAnsi" w:hAnsiTheme="majorHAnsi"/>
          <w:color w:val="0B769F" w:themeColor="accent4" w:themeShade="BF"/>
          <w:sz w:val="28"/>
          <w:szCs w:val="28"/>
        </w:rPr>
        <w:t>Disability</w:t>
      </w:r>
    </w:p>
    <w:p w14:paraId="30A8930B" w14:textId="77777777" w:rsidR="00BA4B34" w:rsidRPr="00A85850" w:rsidRDefault="00BA4B34" w:rsidP="00BA4B34">
      <w:pPr>
        <w:rPr>
          <w:rFonts w:asciiTheme="minorHAnsi" w:hAnsiTheme="minorHAnsi"/>
          <w:b/>
          <w:bCs/>
          <w:szCs w:val="22"/>
        </w:rPr>
      </w:pPr>
      <w:r>
        <w:rPr>
          <w:rFonts w:asciiTheme="minorHAnsi" w:hAnsiTheme="minorHAnsi"/>
          <w:b/>
          <w:bCs/>
          <w:szCs w:val="22"/>
        </w:rPr>
        <w:t>Disability Pay Gap</w:t>
      </w:r>
    </w:p>
    <w:p w14:paraId="6BA6577D" w14:textId="3F7C15CA" w:rsidR="00BA4B34" w:rsidRDefault="00BA4B34" w:rsidP="00BA4B34">
      <w:pPr>
        <w:rPr>
          <w:rFonts w:asciiTheme="minorHAnsi" w:hAnsiTheme="minorHAnsi"/>
          <w:szCs w:val="22"/>
        </w:rPr>
      </w:pPr>
      <w:r>
        <w:rPr>
          <w:rFonts w:asciiTheme="minorHAnsi" w:hAnsiTheme="minorHAnsi"/>
          <w:szCs w:val="22"/>
        </w:rPr>
        <w:t xml:space="preserve">Both the mean and median disability pay gaps reduced in 2025. The mean disability pay gap reduced </w:t>
      </w:r>
      <w:r w:rsidR="007F1ED8">
        <w:rPr>
          <w:rFonts w:asciiTheme="minorHAnsi" w:hAnsiTheme="minorHAnsi"/>
          <w:szCs w:val="22"/>
        </w:rPr>
        <w:t>1.8</w:t>
      </w:r>
      <w:r>
        <w:rPr>
          <w:rFonts w:asciiTheme="minorHAnsi" w:hAnsiTheme="minorHAnsi"/>
          <w:szCs w:val="22"/>
        </w:rPr>
        <w:t>%-points to 8.</w:t>
      </w:r>
      <w:r w:rsidR="0075009F">
        <w:rPr>
          <w:rFonts w:asciiTheme="minorHAnsi" w:hAnsiTheme="minorHAnsi"/>
          <w:szCs w:val="22"/>
        </w:rPr>
        <w:t>7</w:t>
      </w:r>
      <w:r>
        <w:rPr>
          <w:rFonts w:asciiTheme="minorHAnsi" w:hAnsiTheme="minorHAnsi"/>
          <w:szCs w:val="22"/>
        </w:rPr>
        <w:t>% and the median disability pay gap reduced 2.7%-points to 3.4%,</w:t>
      </w:r>
      <w:r w:rsidR="00E7421E">
        <w:rPr>
          <w:rFonts w:asciiTheme="minorHAnsi" w:hAnsiTheme="minorHAnsi"/>
          <w:szCs w:val="22"/>
        </w:rPr>
        <w:t xml:space="preserve"> </w:t>
      </w:r>
      <w:r>
        <w:rPr>
          <w:rFonts w:asciiTheme="minorHAnsi" w:hAnsiTheme="minorHAnsi"/>
          <w:szCs w:val="22"/>
        </w:rPr>
        <w:t xml:space="preserve">both remaining in favour of non-disabled colleagues. </w:t>
      </w:r>
    </w:p>
    <w:p w14:paraId="67775809" w14:textId="77777777" w:rsidR="00BA4B34" w:rsidRDefault="00BA4B34" w:rsidP="00BA4B34">
      <w:pPr>
        <w:jc w:val="center"/>
        <w:rPr>
          <w:rFonts w:asciiTheme="minorHAnsi" w:hAnsiTheme="minorHAnsi"/>
          <w:szCs w:val="22"/>
        </w:rPr>
      </w:pPr>
      <w:r w:rsidRPr="00097E79">
        <w:rPr>
          <w:rFonts w:asciiTheme="minorHAnsi" w:hAnsiTheme="minorHAnsi"/>
          <w:noProof/>
          <w:szCs w:val="22"/>
        </w:rPr>
        <w:lastRenderedPageBreak/>
        <w:drawing>
          <wp:inline distT="0" distB="0" distL="0" distR="0" wp14:anchorId="1E20BA17" wp14:editId="688FB8BA">
            <wp:extent cx="4422328" cy="2268000"/>
            <wp:effectExtent l="0" t="0" r="0" b="0"/>
            <wp:docPr id="57392408" name="Picture 11">
              <a:extLst xmlns:a="http://schemas.openxmlformats.org/drawingml/2006/main">
                <a:ext uri="{FF2B5EF4-FFF2-40B4-BE49-F238E27FC236}">
                  <a16:creationId xmlns:a16="http://schemas.microsoft.com/office/drawing/2014/main" id="{026AC044-4717-131D-D34A-8BDEF7CF64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026AC044-4717-131D-D34A-8BDEF7CF645C}"/>
                        </a:ext>
                      </a:extLst>
                    </pic:cNvPr>
                    <pic:cNvPicPr>
                      <a:picLocks noChangeAspect="1"/>
                    </pic:cNvPicPr>
                  </pic:nvPicPr>
                  <pic:blipFill>
                    <a:blip r:embed="rId17" cstate="email">
                      <a:extLst>
                        <a:ext uri="{28A0092B-C50C-407E-A947-70E740481C1C}">
                          <a14:useLocalDpi xmlns:a14="http://schemas.microsoft.com/office/drawing/2010/main"/>
                        </a:ext>
                      </a:extLst>
                    </a:blip>
                    <a:srcRect/>
                    <a:stretch/>
                  </pic:blipFill>
                  <pic:spPr>
                    <a:xfrm>
                      <a:off x="0" y="0"/>
                      <a:ext cx="4422328" cy="2268000"/>
                    </a:xfrm>
                    <a:prstGeom prst="rect">
                      <a:avLst/>
                    </a:prstGeom>
                  </pic:spPr>
                </pic:pic>
              </a:graphicData>
            </a:graphic>
          </wp:inline>
        </w:drawing>
      </w:r>
    </w:p>
    <w:p w14:paraId="68793466" w14:textId="77777777" w:rsidR="00BA4B34" w:rsidRDefault="00BA4B34" w:rsidP="00BA4B34">
      <w:pPr>
        <w:jc w:val="center"/>
        <w:rPr>
          <w:rFonts w:asciiTheme="minorHAnsi" w:hAnsiTheme="minorHAnsi"/>
          <w:szCs w:val="22"/>
        </w:rPr>
      </w:pPr>
    </w:p>
    <w:p w14:paraId="0CDC12D0" w14:textId="77777777" w:rsidR="00BA4B34" w:rsidRPr="00A85850" w:rsidRDefault="00BA4B34" w:rsidP="00BA4B34">
      <w:pPr>
        <w:rPr>
          <w:rFonts w:asciiTheme="minorHAnsi" w:hAnsiTheme="minorHAnsi"/>
          <w:b/>
          <w:bCs/>
          <w:szCs w:val="22"/>
        </w:rPr>
      </w:pPr>
      <w:r>
        <w:rPr>
          <w:rFonts w:asciiTheme="minorHAnsi" w:hAnsiTheme="minorHAnsi"/>
          <w:b/>
          <w:bCs/>
          <w:szCs w:val="22"/>
        </w:rPr>
        <w:t>Disability Bonus Pay Gap</w:t>
      </w:r>
    </w:p>
    <w:p w14:paraId="71CA5C4C" w14:textId="77777777" w:rsidR="00BA4B34" w:rsidRDefault="00BA4B34" w:rsidP="00BA4B34">
      <w:pPr>
        <w:rPr>
          <w:rFonts w:asciiTheme="minorHAnsi" w:hAnsiTheme="minorHAnsi"/>
          <w:szCs w:val="22"/>
        </w:rPr>
      </w:pPr>
      <w:r>
        <w:rPr>
          <w:rFonts w:asciiTheme="minorHAnsi" w:hAnsiTheme="minorHAnsi"/>
          <w:szCs w:val="22"/>
        </w:rPr>
        <w:t xml:space="preserve">When including NCIA, the mean disability bonus pay gap has increased from 78.3% in 2024 to 80.4% in 2025, in favour of non-disabled colleagues, while the median disability bonus pay gap has reduced from 11.3% in 2024 to 0.0% in 2025. The increase in the mean disability bonus pay gap is primarily driven by outliers, with the top 60 bonus payments being made only to non-disabled colleagues. The lower proportion of disabled colleagues receiving a bonus has also contributed to the mean disability bonus pay gap. </w:t>
      </w:r>
    </w:p>
    <w:p w14:paraId="7B43CC49" w14:textId="77777777" w:rsidR="00BA4B34" w:rsidRDefault="00BA4B34" w:rsidP="00BA4B34">
      <w:pPr>
        <w:rPr>
          <w:rFonts w:asciiTheme="minorHAnsi" w:hAnsiTheme="minorHAnsi"/>
          <w:szCs w:val="22"/>
        </w:rPr>
      </w:pPr>
      <w:r>
        <w:rPr>
          <w:rFonts w:asciiTheme="minorHAnsi" w:hAnsiTheme="minorHAnsi"/>
          <w:szCs w:val="22"/>
        </w:rPr>
        <w:t xml:space="preserve">When excluding NCIA payments, the mean disability bonus gap falls to 13.6% and the median disability bonus gap remains unchanged. Of the 42 NCIA bonus recipients, 41 shared that they have no known disability and 1 did not share their disability status. This accounts for the decrease in the mean disability bonus gap. </w:t>
      </w:r>
    </w:p>
    <w:p w14:paraId="7301164F" w14:textId="77777777" w:rsidR="00BA4B34" w:rsidRDefault="00BA4B34" w:rsidP="00BA4B34">
      <w:pPr>
        <w:rPr>
          <w:rFonts w:asciiTheme="minorHAnsi" w:hAnsiTheme="minorHAnsi"/>
          <w:szCs w:val="22"/>
        </w:rPr>
      </w:pPr>
    </w:p>
    <w:p w14:paraId="0BC1D667" w14:textId="77777777" w:rsidR="00BA4B34" w:rsidRDefault="00BA4B34" w:rsidP="00BA4B34">
      <w:pPr>
        <w:rPr>
          <w:rFonts w:asciiTheme="minorHAnsi" w:hAnsiTheme="minorHAnsi"/>
          <w:b/>
          <w:bCs/>
          <w:szCs w:val="22"/>
        </w:rPr>
      </w:pPr>
      <w:r>
        <w:rPr>
          <w:rFonts w:asciiTheme="minorHAnsi" w:hAnsiTheme="minorHAnsi"/>
          <w:b/>
          <w:bCs/>
          <w:szCs w:val="22"/>
        </w:rPr>
        <w:t>Disability Pay Quartiles</w:t>
      </w:r>
    </w:p>
    <w:p w14:paraId="264AF115" w14:textId="77777777" w:rsidR="00BA4B34" w:rsidRDefault="00BA4B34" w:rsidP="00BA4B34">
      <w:pPr>
        <w:rPr>
          <w:rFonts w:asciiTheme="minorHAnsi" w:hAnsiTheme="minorHAnsi"/>
          <w:szCs w:val="22"/>
        </w:rPr>
      </w:pPr>
      <w:r>
        <w:rPr>
          <w:rFonts w:asciiTheme="minorHAnsi" w:hAnsiTheme="minorHAnsi"/>
          <w:szCs w:val="22"/>
        </w:rPr>
        <w:t xml:space="preserve">The population distribution of disabled and non-disabled colleagues across the pay quartiles has remained consistent in comparison to 2024. The upper quartile sees the highest mean disability pay gap of 10.3% in favour of non-disabled colleagues. The upper middle and lower quartiles report low mean and median pay gaps in favour of non-disabled colleagues, while the lower middle quartile reports a marginal pay gap of 0.3% in favour of disabled colleagues.  </w:t>
      </w:r>
    </w:p>
    <w:p w14:paraId="240F66EE" w14:textId="77777777" w:rsidR="00BA4B34" w:rsidRDefault="00BA4B34" w:rsidP="00BA4B34">
      <w:pPr>
        <w:jc w:val="center"/>
        <w:rPr>
          <w:rFonts w:asciiTheme="minorHAnsi" w:hAnsiTheme="minorHAnsi"/>
          <w:szCs w:val="22"/>
        </w:rPr>
      </w:pPr>
      <w:r>
        <w:rPr>
          <w:rFonts w:asciiTheme="minorHAnsi" w:hAnsiTheme="minorHAnsi"/>
          <w:noProof/>
          <w:szCs w:val="22"/>
        </w:rPr>
        <w:lastRenderedPageBreak/>
        <w:drawing>
          <wp:inline distT="0" distB="0" distL="0" distR="0" wp14:anchorId="6CAEB67F" wp14:editId="059C1ACE">
            <wp:extent cx="3805187" cy="2268000"/>
            <wp:effectExtent l="0" t="0" r="5080" b="0"/>
            <wp:docPr id="1006752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05187" cy="2268000"/>
                    </a:xfrm>
                    <a:prstGeom prst="rect">
                      <a:avLst/>
                    </a:prstGeom>
                    <a:noFill/>
                  </pic:spPr>
                </pic:pic>
              </a:graphicData>
            </a:graphic>
          </wp:inline>
        </w:drawing>
      </w:r>
    </w:p>
    <w:p w14:paraId="7DEC8A0E" w14:textId="77777777" w:rsidR="00BA4B34" w:rsidRDefault="00BA4B34" w:rsidP="00BA4B34">
      <w:pPr>
        <w:rPr>
          <w:rFonts w:asciiTheme="minorHAnsi" w:hAnsiTheme="minorHAnsi"/>
          <w:szCs w:val="22"/>
        </w:rPr>
      </w:pPr>
    </w:p>
    <w:p w14:paraId="767933DE" w14:textId="77777777" w:rsidR="00BA4B34" w:rsidRDefault="00BA4B34" w:rsidP="00BA4B34">
      <w:pPr>
        <w:rPr>
          <w:rFonts w:asciiTheme="minorHAnsi" w:hAnsiTheme="minorHAnsi"/>
          <w:b/>
          <w:bCs/>
          <w:szCs w:val="22"/>
        </w:rPr>
      </w:pPr>
      <w:r>
        <w:rPr>
          <w:rFonts w:asciiTheme="minorHAnsi" w:hAnsiTheme="minorHAnsi"/>
          <w:b/>
          <w:bCs/>
          <w:szCs w:val="22"/>
        </w:rPr>
        <w:t>Addressing our Disability Pay Gap</w:t>
      </w:r>
    </w:p>
    <w:p w14:paraId="22C7C45C" w14:textId="77777777" w:rsidR="00BA4B34" w:rsidRDefault="00BA4B34" w:rsidP="00BA4B34">
      <w:pPr>
        <w:rPr>
          <w:rFonts w:asciiTheme="minorHAnsi" w:hAnsiTheme="minorHAnsi"/>
          <w:szCs w:val="22"/>
        </w:rPr>
      </w:pPr>
      <w:r>
        <w:rPr>
          <w:rFonts w:asciiTheme="minorHAnsi" w:hAnsiTheme="minorHAnsi"/>
          <w:szCs w:val="22"/>
        </w:rPr>
        <w:t xml:space="preserve">We have seen an overall downward trend in the disability pay gap and representation of disabled colleagues remained consistent across all quartiles in 2025. In addition to our commitment to expand the scope of our diversity data collection practices, we will also carry out a data disclosure project to improve the sharing rate for data relating to all protected characteristics. We hope that this will improve the accuracy of the data set relating to disability status, which we currently believe to have a low disclosure rate and may therefore lead to limitations with the disability pay gap data. </w:t>
      </w:r>
    </w:p>
    <w:p w14:paraId="0A02FA91" w14:textId="00D197B8" w:rsidR="007F31FA" w:rsidRPr="00BA4B34" w:rsidRDefault="007F31FA"/>
    <w:p w14:paraId="7D7994D6" w14:textId="77777777" w:rsidR="00724C31" w:rsidRDefault="00724C31">
      <w:pPr>
        <w:rPr>
          <w:rFonts w:asciiTheme="majorHAnsi" w:hAnsiTheme="majorHAnsi"/>
          <w:color w:val="0B769F" w:themeColor="accent4" w:themeShade="BF"/>
          <w:sz w:val="40"/>
          <w:szCs w:val="44"/>
        </w:rPr>
      </w:pPr>
      <w:r>
        <w:rPr>
          <w:rFonts w:asciiTheme="majorHAnsi" w:hAnsiTheme="majorHAnsi"/>
          <w:color w:val="0B769F" w:themeColor="accent4" w:themeShade="BF"/>
          <w:sz w:val="40"/>
          <w:szCs w:val="44"/>
        </w:rPr>
        <w:br w:type="page"/>
      </w:r>
    </w:p>
    <w:p w14:paraId="5CD37009" w14:textId="2C01CC8B" w:rsidR="00A14927" w:rsidRPr="009D1F13" w:rsidRDefault="00F32937" w:rsidP="009D3BAB">
      <w:pPr>
        <w:rPr>
          <w:rFonts w:asciiTheme="majorHAnsi" w:hAnsiTheme="majorHAnsi"/>
          <w:color w:val="0B769F" w:themeColor="accent4" w:themeShade="BF"/>
          <w:sz w:val="40"/>
          <w:szCs w:val="44"/>
        </w:rPr>
      </w:pPr>
      <w:r w:rsidRPr="00D15B19">
        <w:rPr>
          <w:rFonts w:asciiTheme="majorHAnsi" w:hAnsiTheme="majorHAnsi"/>
          <w:color w:val="0B769F" w:themeColor="accent4" w:themeShade="BF"/>
          <w:sz w:val="40"/>
          <w:szCs w:val="44"/>
        </w:rPr>
        <w:lastRenderedPageBreak/>
        <w:t>Appendices</w:t>
      </w:r>
    </w:p>
    <w:p w14:paraId="57A129B2" w14:textId="240E8A11" w:rsidR="009D3BAB" w:rsidRPr="00694B32" w:rsidRDefault="009D3BAB" w:rsidP="009D3BAB">
      <w:pPr>
        <w:rPr>
          <w:color w:val="0B769F"/>
          <w:sz w:val="24"/>
          <w:szCs w:val="28"/>
        </w:rPr>
      </w:pPr>
      <w:r w:rsidRPr="00694B32">
        <w:rPr>
          <w:rFonts w:asciiTheme="majorHAnsi" w:hAnsiTheme="majorHAnsi"/>
          <w:color w:val="0B769F"/>
          <w:sz w:val="40"/>
          <w:szCs w:val="44"/>
        </w:rPr>
        <w:t>Appendix 1: Key</w:t>
      </w:r>
    </w:p>
    <w:p w14:paraId="1339C2E6" w14:textId="77777777" w:rsidR="009D3BAB" w:rsidRDefault="009D3BAB" w:rsidP="009D3BAB"/>
    <w:p w14:paraId="5B680BB7" w14:textId="163750DB" w:rsidR="00694B32" w:rsidRPr="00694B32" w:rsidRDefault="00694B32" w:rsidP="00694B32">
      <w:pPr>
        <w:pStyle w:val="ListParagraph"/>
        <w:numPr>
          <w:ilvl w:val="1"/>
          <w:numId w:val="12"/>
        </w:numPr>
        <w:rPr>
          <w:color w:val="0B769F"/>
          <w:sz w:val="28"/>
          <w:szCs w:val="32"/>
        </w:rPr>
      </w:pPr>
      <w:r w:rsidRPr="00694B32">
        <w:rPr>
          <w:color w:val="0B769F"/>
          <w:sz w:val="28"/>
          <w:szCs w:val="32"/>
        </w:rPr>
        <w:t>Protected Characteristics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D3BAB" w14:paraId="76F98882" w14:textId="77777777" w:rsidTr="00331DD2">
        <w:trPr>
          <w:cantSplit/>
        </w:trPr>
        <w:tc>
          <w:tcPr>
            <w:tcW w:w="2830" w:type="dxa"/>
          </w:tcPr>
          <w:p w14:paraId="67BC0496" w14:textId="77777777" w:rsidR="009D3BAB" w:rsidRPr="00500F13" w:rsidRDefault="009D3BAB" w:rsidP="00F45359">
            <w:pPr>
              <w:rPr>
                <w:rFonts w:asciiTheme="minorHAnsi" w:hAnsiTheme="minorHAnsi"/>
                <w:b/>
                <w:bCs/>
                <w:szCs w:val="22"/>
              </w:rPr>
            </w:pPr>
            <w:r w:rsidRPr="00500F13">
              <w:rPr>
                <w:rFonts w:asciiTheme="minorHAnsi" w:hAnsiTheme="minorHAnsi"/>
                <w:b/>
                <w:bCs/>
                <w:szCs w:val="22"/>
              </w:rPr>
              <w:t>Age</w:t>
            </w:r>
          </w:p>
        </w:tc>
        <w:tc>
          <w:tcPr>
            <w:tcW w:w="6186" w:type="dxa"/>
          </w:tcPr>
          <w:p w14:paraId="3308E302" w14:textId="4BAE3FC5"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age, calculated at the snapshot date (31</w:t>
            </w:r>
            <w:r w:rsidRPr="00500F13">
              <w:rPr>
                <w:rFonts w:asciiTheme="minorHAnsi" w:hAnsiTheme="minorHAnsi"/>
                <w:szCs w:val="22"/>
                <w:vertAlign w:val="superscript"/>
              </w:rPr>
              <w:t>st</w:t>
            </w:r>
            <w:r w:rsidRPr="00500F13">
              <w:rPr>
                <w:rFonts w:asciiTheme="minorHAnsi" w:hAnsiTheme="minorHAnsi"/>
                <w:szCs w:val="22"/>
              </w:rPr>
              <w:t xml:space="preserve"> July 2025)</w:t>
            </w:r>
            <w:r w:rsidR="00035A63">
              <w:rPr>
                <w:rFonts w:asciiTheme="minorHAnsi" w:hAnsiTheme="minorHAnsi"/>
                <w:szCs w:val="22"/>
              </w:rPr>
              <w:t>.</w:t>
            </w:r>
          </w:p>
        </w:tc>
      </w:tr>
      <w:tr w:rsidR="009D3BAB" w14:paraId="37E86E54" w14:textId="77777777" w:rsidTr="00331DD2">
        <w:trPr>
          <w:cantSplit/>
        </w:trPr>
        <w:tc>
          <w:tcPr>
            <w:tcW w:w="2830" w:type="dxa"/>
          </w:tcPr>
          <w:p w14:paraId="5DF6D9B0" w14:textId="77777777" w:rsidR="009D3BAB" w:rsidRPr="00500F13" w:rsidRDefault="009D3BAB" w:rsidP="00F45359">
            <w:pPr>
              <w:rPr>
                <w:rFonts w:asciiTheme="minorHAnsi" w:hAnsiTheme="minorHAnsi"/>
                <w:b/>
                <w:bCs/>
                <w:szCs w:val="22"/>
              </w:rPr>
            </w:pPr>
            <w:r w:rsidRPr="00500F13">
              <w:rPr>
                <w:rFonts w:asciiTheme="minorHAnsi" w:hAnsiTheme="minorHAnsi"/>
                <w:b/>
                <w:bCs/>
                <w:szCs w:val="22"/>
              </w:rPr>
              <w:t>Disability Status</w:t>
            </w:r>
          </w:p>
        </w:tc>
        <w:tc>
          <w:tcPr>
            <w:tcW w:w="6186" w:type="dxa"/>
          </w:tcPr>
          <w:p w14:paraId="620A1585" w14:textId="76D1525D"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disability status, calculated at the snapshot date (31</w:t>
            </w:r>
            <w:r w:rsidRPr="00500F13">
              <w:rPr>
                <w:rFonts w:asciiTheme="minorHAnsi" w:hAnsiTheme="minorHAnsi"/>
                <w:szCs w:val="22"/>
                <w:vertAlign w:val="superscript"/>
              </w:rPr>
              <w:t>st</w:t>
            </w:r>
            <w:r w:rsidRPr="00500F13">
              <w:rPr>
                <w:rFonts w:asciiTheme="minorHAnsi" w:hAnsiTheme="minorHAnsi"/>
                <w:szCs w:val="22"/>
              </w:rPr>
              <w:t xml:space="preserve"> July 2025)</w:t>
            </w:r>
            <w:r w:rsidR="00035A63">
              <w:rPr>
                <w:rFonts w:asciiTheme="minorHAnsi" w:hAnsiTheme="minorHAnsi"/>
                <w:szCs w:val="22"/>
              </w:rPr>
              <w:t>.</w:t>
            </w:r>
          </w:p>
        </w:tc>
      </w:tr>
      <w:tr w:rsidR="009D3BAB" w14:paraId="6F682785" w14:textId="77777777" w:rsidTr="00331DD2">
        <w:trPr>
          <w:cantSplit/>
        </w:trPr>
        <w:tc>
          <w:tcPr>
            <w:tcW w:w="2830" w:type="dxa"/>
          </w:tcPr>
          <w:p w14:paraId="6ADD4C47" w14:textId="77777777" w:rsidR="009D3BAB" w:rsidRPr="00500F13" w:rsidRDefault="009D3BAB" w:rsidP="00F45359">
            <w:pPr>
              <w:rPr>
                <w:rFonts w:asciiTheme="minorHAnsi" w:hAnsiTheme="minorHAnsi"/>
                <w:szCs w:val="22"/>
              </w:rPr>
            </w:pPr>
            <w:r w:rsidRPr="00500F13">
              <w:rPr>
                <w:rFonts w:asciiTheme="minorHAnsi" w:hAnsiTheme="minorHAnsi"/>
                <w:szCs w:val="22"/>
              </w:rPr>
              <w:t>Disabled</w:t>
            </w:r>
          </w:p>
        </w:tc>
        <w:tc>
          <w:tcPr>
            <w:tcW w:w="6186" w:type="dxa"/>
          </w:tcPr>
          <w:p w14:paraId="46C42FBC" w14:textId="77777777" w:rsidR="009D3BAB" w:rsidRPr="00500F13" w:rsidRDefault="009D3BAB" w:rsidP="00F45359">
            <w:pPr>
              <w:rPr>
                <w:rFonts w:asciiTheme="minorHAnsi" w:hAnsiTheme="minorHAnsi"/>
                <w:szCs w:val="22"/>
              </w:rPr>
            </w:pPr>
            <w:r w:rsidRPr="00500F13">
              <w:rPr>
                <w:rFonts w:asciiTheme="minorHAnsi" w:hAnsiTheme="minorHAnsi"/>
                <w:szCs w:val="22"/>
              </w:rPr>
              <w:t xml:space="preserve">Referring to colleagues who have disclosed a disability, impairment, health condition or learning difference on their staff record. </w:t>
            </w:r>
          </w:p>
        </w:tc>
      </w:tr>
      <w:tr w:rsidR="009D3BAB" w14:paraId="3F45BCD9" w14:textId="77777777" w:rsidTr="00331DD2">
        <w:trPr>
          <w:cantSplit/>
        </w:trPr>
        <w:tc>
          <w:tcPr>
            <w:tcW w:w="2830" w:type="dxa"/>
          </w:tcPr>
          <w:p w14:paraId="09C10C8F" w14:textId="77777777" w:rsidR="009D3BAB" w:rsidRPr="00500F13" w:rsidRDefault="009D3BAB" w:rsidP="00F45359">
            <w:pPr>
              <w:rPr>
                <w:rFonts w:asciiTheme="minorHAnsi" w:hAnsiTheme="minorHAnsi"/>
                <w:szCs w:val="22"/>
              </w:rPr>
            </w:pPr>
            <w:r w:rsidRPr="00500F13">
              <w:rPr>
                <w:rFonts w:asciiTheme="minorHAnsi" w:hAnsiTheme="minorHAnsi"/>
                <w:szCs w:val="22"/>
              </w:rPr>
              <w:t>No known disability</w:t>
            </w:r>
          </w:p>
        </w:tc>
        <w:tc>
          <w:tcPr>
            <w:tcW w:w="6186" w:type="dxa"/>
          </w:tcPr>
          <w:p w14:paraId="4E0B8B83" w14:textId="77777777" w:rsidR="009D3BAB" w:rsidRPr="00500F13" w:rsidRDefault="009D3BAB" w:rsidP="00F45359">
            <w:pPr>
              <w:rPr>
                <w:rFonts w:asciiTheme="minorHAnsi" w:hAnsiTheme="minorHAnsi"/>
                <w:szCs w:val="22"/>
              </w:rPr>
            </w:pPr>
            <w:r w:rsidRPr="00500F13">
              <w:rPr>
                <w:rFonts w:asciiTheme="minorHAnsi" w:hAnsiTheme="minorHAnsi"/>
                <w:szCs w:val="22"/>
              </w:rPr>
              <w:t xml:space="preserve">Referring to colleagues who have disclosed that they have no known disability, impairment, health condition or learning difference on their staff record. </w:t>
            </w:r>
          </w:p>
          <w:p w14:paraId="2BF3F7F5" w14:textId="77777777" w:rsidR="009D3BAB" w:rsidRPr="00500F13" w:rsidRDefault="009D3BAB" w:rsidP="00F45359">
            <w:pPr>
              <w:rPr>
                <w:rFonts w:asciiTheme="minorHAnsi" w:hAnsiTheme="minorHAnsi"/>
                <w:szCs w:val="22"/>
              </w:rPr>
            </w:pPr>
          </w:p>
          <w:p w14:paraId="497C43E6" w14:textId="77777777" w:rsidR="009D3BAB" w:rsidRPr="00500F13" w:rsidRDefault="009D3BAB" w:rsidP="00F45359">
            <w:pPr>
              <w:rPr>
                <w:rFonts w:asciiTheme="minorHAnsi" w:hAnsiTheme="minorHAnsi"/>
                <w:szCs w:val="22"/>
              </w:rPr>
            </w:pPr>
            <w:r w:rsidRPr="00500F13">
              <w:rPr>
                <w:rFonts w:asciiTheme="minorHAnsi" w:hAnsiTheme="minorHAnsi"/>
                <w:szCs w:val="22"/>
              </w:rPr>
              <w:t xml:space="preserve">We do not aggregate colleagues who chose the response ‘Prefer not to say’ into this category. </w:t>
            </w:r>
          </w:p>
        </w:tc>
      </w:tr>
      <w:tr w:rsidR="009D3BAB" w14:paraId="09B8F515" w14:textId="77777777" w:rsidTr="00331DD2">
        <w:trPr>
          <w:cantSplit/>
        </w:trPr>
        <w:tc>
          <w:tcPr>
            <w:tcW w:w="2830" w:type="dxa"/>
          </w:tcPr>
          <w:p w14:paraId="716AB90E" w14:textId="77777777" w:rsidR="009D3BAB" w:rsidRPr="00500F13" w:rsidRDefault="009D3BAB" w:rsidP="00F45359">
            <w:pPr>
              <w:rPr>
                <w:rFonts w:asciiTheme="minorHAnsi" w:hAnsiTheme="minorHAnsi"/>
                <w:b/>
                <w:bCs/>
                <w:szCs w:val="22"/>
              </w:rPr>
            </w:pPr>
            <w:r w:rsidRPr="00500F13">
              <w:rPr>
                <w:rFonts w:asciiTheme="minorHAnsi" w:hAnsiTheme="minorHAnsi"/>
                <w:b/>
                <w:bCs/>
                <w:szCs w:val="22"/>
              </w:rPr>
              <w:t>Ethnicity</w:t>
            </w:r>
          </w:p>
        </w:tc>
        <w:tc>
          <w:tcPr>
            <w:tcW w:w="6186" w:type="dxa"/>
          </w:tcPr>
          <w:p w14:paraId="264A4154" w14:textId="77777777"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ethnicity or ethnic group, calculated at the snapshot date (31</w:t>
            </w:r>
            <w:r w:rsidRPr="00500F13">
              <w:rPr>
                <w:rFonts w:asciiTheme="minorHAnsi" w:hAnsiTheme="minorHAnsi"/>
                <w:szCs w:val="22"/>
                <w:vertAlign w:val="superscript"/>
              </w:rPr>
              <w:t>st</w:t>
            </w:r>
            <w:r w:rsidRPr="00500F13">
              <w:rPr>
                <w:rFonts w:asciiTheme="minorHAnsi" w:hAnsiTheme="minorHAnsi"/>
                <w:szCs w:val="22"/>
              </w:rPr>
              <w:t xml:space="preserve"> July 2025).</w:t>
            </w:r>
          </w:p>
        </w:tc>
      </w:tr>
      <w:tr w:rsidR="009D3BAB" w14:paraId="50E97890" w14:textId="77777777" w:rsidTr="00331DD2">
        <w:trPr>
          <w:cantSplit/>
        </w:trPr>
        <w:tc>
          <w:tcPr>
            <w:tcW w:w="2830" w:type="dxa"/>
          </w:tcPr>
          <w:p w14:paraId="179ED7A3" w14:textId="77777777" w:rsidR="009D3BAB" w:rsidRPr="00500F13" w:rsidRDefault="009D3BAB" w:rsidP="00F45359">
            <w:pPr>
              <w:rPr>
                <w:rFonts w:asciiTheme="minorHAnsi" w:hAnsiTheme="minorHAnsi"/>
                <w:szCs w:val="22"/>
              </w:rPr>
            </w:pPr>
            <w:r w:rsidRPr="00500F13">
              <w:rPr>
                <w:rFonts w:asciiTheme="minorHAnsi" w:hAnsiTheme="minorHAnsi"/>
                <w:szCs w:val="22"/>
              </w:rPr>
              <w:t>Minoritised Ethnic Group</w:t>
            </w:r>
          </w:p>
        </w:tc>
        <w:tc>
          <w:tcPr>
            <w:tcW w:w="6186" w:type="dxa"/>
          </w:tcPr>
          <w:p w14:paraId="43C333C0" w14:textId="77777777" w:rsidR="009D3BAB" w:rsidRPr="00500F13" w:rsidRDefault="009D3BAB" w:rsidP="00F45359">
            <w:pPr>
              <w:rPr>
                <w:rFonts w:asciiTheme="minorHAnsi" w:hAnsiTheme="minorHAnsi"/>
                <w:szCs w:val="22"/>
              </w:rPr>
            </w:pPr>
            <w:r w:rsidRPr="00500F13">
              <w:rPr>
                <w:rFonts w:asciiTheme="minorHAnsi" w:hAnsiTheme="minorHAnsi"/>
                <w:szCs w:val="22"/>
              </w:rPr>
              <w:t xml:space="preserve">Referring to all colleagues who identify as being from an ethnicity other than ‘White’. </w:t>
            </w:r>
          </w:p>
          <w:p w14:paraId="32A514AF" w14:textId="77777777" w:rsidR="009D3BAB" w:rsidRPr="00500F13" w:rsidRDefault="009D3BAB" w:rsidP="00F45359">
            <w:pPr>
              <w:rPr>
                <w:rFonts w:asciiTheme="minorHAnsi" w:hAnsiTheme="minorHAnsi"/>
                <w:szCs w:val="22"/>
              </w:rPr>
            </w:pPr>
          </w:p>
          <w:p w14:paraId="02173F71" w14:textId="77777777" w:rsidR="009D3BAB" w:rsidRPr="00500F13" w:rsidRDefault="009D3BAB" w:rsidP="00F45359">
            <w:pPr>
              <w:rPr>
                <w:rFonts w:asciiTheme="minorHAnsi" w:hAnsiTheme="minorHAnsi"/>
                <w:szCs w:val="22"/>
              </w:rPr>
            </w:pPr>
            <w:r w:rsidRPr="00500F13">
              <w:rPr>
                <w:rFonts w:asciiTheme="minorHAnsi" w:hAnsiTheme="minorHAnsi"/>
                <w:szCs w:val="22"/>
              </w:rPr>
              <w:t>We acknowledge the limitations of an assumption that minority ethnic colleagues are a homogenous group and aim to analyse by combined ethnic groups in future.</w:t>
            </w:r>
          </w:p>
        </w:tc>
      </w:tr>
      <w:tr w:rsidR="009D3BAB" w14:paraId="06339476" w14:textId="77777777" w:rsidTr="00331DD2">
        <w:trPr>
          <w:cantSplit/>
        </w:trPr>
        <w:tc>
          <w:tcPr>
            <w:tcW w:w="2830" w:type="dxa"/>
          </w:tcPr>
          <w:p w14:paraId="27C31418" w14:textId="77777777" w:rsidR="009D3BAB" w:rsidRPr="00500F13" w:rsidRDefault="009D3BAB" w:rsidP="00F45359">
            <w:pPr>
              <w:rPr>
                <w:rFonts w:asciiTheme="minorHAnsi" w:hAnsiTheme="minorHAnsi"/>
                <w:szCs w:val="22"/>
              </w:rPr>
            </w:pPr>
            <w:r w:rsidRPr="00500F13">
              <w:rPr>
                <w:rFonts w:asciiTheme="minorHAnsi" w:hAnsiTheme="minorHAnsi"/>
                <w:szCs w:val="22"/>
              </w:rPr>
              <w:t>Combined ethnic groups:</w:t>
            </w:r>
          </w:p>
        </w:tc>
        <w:tc>
          <w:tcPr>
            <w:tcW w:w="6186" w:type="dxa"/>
          </w:tcPr>
          <w:p w14:paraId="01E696CB" w14:textId="77777777" w:rsidR="009D3BAB" w:rsidRPr="00500F13" w:rsidRDefault="009D3BAB" w:rsidP="00F45359">
            <w:pPr>
              <w:rPr>
                <w:rFonts w:asciiTheme="minorHAnsi" w:hAnsiTheme="minorHAnsi"/>
                <w:szCs w:val="22"/>
              </w:rPr>
            </w:pPr>
            <w:r w:rsidRPr="00500F13">
              <w:rPr>
                <w:rFonts w:asciiTheme="minorHAnsi" w:hAnsiTheme="minorHAnsi"/>
                <w:szCs w:val="22"/>
              </w:rPr>
              <w:t>Where numbers allow, we report on the following mid-level combined categories of ethnicity.</w:t>
            </w:r>
          </w:p>
        </w:tc>
      </w:tr>
      <w:tr w:rsidR="009D3BAB" w14:paraId="0B904A4E" w14:textId="77777777" w:rsidTr="00331DD2">
        <w:trPr>
          <w:cantSplit/>
        </w:trPr>
        <w:tc>
          <w:tcPr>
            <w:tcW w:w="2830" w:type="dxa"/>
          </w:tcPr>
          <w:p w14:paraId="03D31484" w14:textId="77777777" w:rsidR="009D3BAB" w:rsidRPr="00500F13" w:rsidRDefault="009D3BAB" w:rsidP="00F45359">
            <w:pPr>
              <w:ind w:left="315"/>
              <w:rPr>
                <w:rFonts w:asciiTheme="minorHAnsi" w:hAnsiTheme="minorHAnsi"/>
                <w:szCs w:val="22"/>
              </w:rPr>
            </w:pPr>
            <w:r w:rsidRPr="00500F13">
              <w:rPr>
                <w:rFonts w:asciiTheme="minorHAnsi" w:hAnsiTheme="minorHAnsi"/>
                <w:szCs w:val="22"/>
              </w:rPr>
              <w:t>Black/ African/ Caribbean/ Black British</w:t>
            </w:r>
          </w:p>
        </w:tc>
        <w:tc>
          <w:tcPr>
            <w:tcW w:w="6186" w:type="dxa"/>
          </w:tcPr>
          <w:p w14:paraId="53C6C56A" w14:textId="77777777" w:rsidR="009D3BAB" w:rsidRPr="00500F13" w:rsidRDefault="009D3BAB" w:rsidP="00F45359">
            <w:pPr>
              <w:rPr>
                <w:rFonts w:asciiTheme="minorHAnsi" w:hAnsiTheme="minorHAnsi"/>
                <w:szCs w:val="22"/>
              </w:rPr>
            </w:pPr>
            <w:r w:rsidRPr="00500F13">
              <w:rPr>
                <w:rFonts w:asciiTheme="minorHAnsi" w:hAnsiTheme="minorHAnsi"/>
                <w:szCs w:val="22"/>
              </w:rPr>
              <w:t>Black or Black British – African, Black or Black British – Caribbean, Other Black Background</w:t>
            </w:r>
          </w:p>
        </w:tc>
      </w:tr>
      <w:tr w:rsidR="009D3BAB" w14:paraId="3093D957" w14:textId="77777777" w:rsidTr="00331DD2">
        <w:trPr>
          <w:cantSplit/>
        </w:trPr>
        <w:tc>
          <w:tcPr>
            <w:tcW w:w="2830" w:type="dxa"/>
          </w:tcPr>
          <w:p w14:paraId="397F5A45" w14:textId="77777777" w:rsidR="009D3BAB" w:rsidRPr="00500F13" w:rsidRDefault="009D3BAB" w:rsidP="00F45359">
            <w:pPr>
              <w:ind w:left="315"/>
              <w:rPr>
                <w:rFonts w:asciiTheme="minorHAnsi" w:hAnsiTheme="minorHAnsi"/>
                <w:szCs w:val="22"/>
              </w:rPr>
            </w:pPr>
            <w:r w:rsidRPr="00500F13">
              <w:rPr>
                <w:rFonts w:asciiTheme="minorHAnsi" w:hAnsiTheme="minorHAnsi"/>
                <w:szCs w:val="22"/>
              </w:rPr>
              <w:t>East Asian/ East Asian British</w:t>
            </w:r>
          </w:p>
        </w:tc>
        <w:tc>
          <w:tcPr>
            <w:tcW w:w="6186" w:type="dxa"/>
          </w:tcPr>
          <w:p w14:paraId="65B6CAED" w14:textId="77777777" w:rsidR="009D3BAB" w:rsidRPr="00500F13" w:rsidRDefault="009D3BAB" w:rsidP="00F45359">
            <w:pPr>
              <w:rPr>
                <w:rFonts w:asciiTheme="minorHAnsi" w:hAnsiTheme="minorHAnsi"/>
                <w:szCs w:val="22"/>
              </w:rPr>
            </w:pPr>
            <w:r w:rsidRPr="00500F13">
              <w:rPr>
                <w:rFonts w:asciiTheme="minorHAnsi" w:hAnsiTheme="minorHAnsi"/>
                <w:szCs w:val="22"/>
              </w:rPr>
              <w:t>Chinese, Other Asian Background</w:t>
            </w:r>
          </w:p>
        </w:tc>
      </w:tr>
      <w:tr w:rsidR="009D3BAB" w14:paraId="07E1B007" w14:textId="77777777" w:rsidTr="00331DD2">
        <w:trPr>
          <w:cantSplit/>
        </w:trPr>
        <w:tc>
          <w:tcPr>
            <w:tcW w:w="2830" w:type="dxa"/>
          </w:tcPr>
          <w:p w14:paraId="3305A005" w14:textId="77777777" w:rsidR="009D3BAB" w:rsidRPr="00500F13" w:rsidRDefault="009D3BAB" w:rsidP="00F45359">
            <w:pPr>
              <w:ind w:left="315"/>
              <w:rPr>
                <w:rFonts w:asciiTheme="minorHAnsi" w:hAnsiTheme="minorHAnsi"/>
                <w:szCs w:val="22"/>
              </w:rPr>
            </w:pPr>
            <w:r w:rsidRPr="00500F13">
              <w:rPr>
                <w:rFonts w:asciiTheme="minorHAnsi" w:hAnsiTheme="minorHAnsi"/>
                <w:szCs w:val="22"/>
              </w:rPr>
              <w:t>South &amp; Southeast Asian/ South &amp; Southeast Asian British</w:t>
            </w:r>
          </w:p>
        </w:tc>
        <w:tc>
          <w:tcPr>
            <w:tcW w:w="6186" w:type="dxa"/>
          </w:tcPr>
          <w:p w14:paraId="79D8A93E" w14:textId="77777777" w:rsidR="009D3BAB" w:rsidRPr="00500F13" w:rsidRDefault="009D3BAB" w:rsidP="00F45359">
            <w:pPr>
              <w:rPr>
                <w:rFonts w:asciiTheme="minorHAnsi" w:hAnsiTheme="minorHAnsi"/>
                <w:szCs w:val="22"/>
              </w:rPr>
            </w:pPr>
            <w:r w:rsidRPr="00500F13">
              <w:rPr>
                <w:rFonts w:asciiTheme="minorHAnsi" w:hAnsiTheme="minorHAnsi"/>
                <w:szCs w:val="22"/>
              </w:rPr>
              <w:t>Asian or Asian British – Bangladeshi, Asian or Asian British – Indian, Asian or Asian British – Pakistani</w:t>
            </w:r>
          </w:p>
        </w:tc>
      </w:tr>
      <w:tr w:rsidR="009D3BAB" w14:paraId="58A4A515" w14:textId="77777777" w:rsidTr="00331DD2">
        <w:trPr>
          <w:cantSplit/>
        </w:trPr>
        <w:tc>
          <w:tcPr>
            <w:tcW w:w="2830" w:type="dxa"/>
          </w:tcPr>
          <w:p w14:paraId="782AC3CC" w14:textId="77777777" w:rsidR="009D3BAB" w:rsidRPr="00500F13" w:rsidRDefault="009D3BAB" w:rsidP="00F45359">
            <w:pPr>
              <w:ind w:left="315"/>
              <w:rPr>
                <w:rFonts w:asciiTheme="minorHAnsi" w:hAnsiTheme="minorHAnsi"/>
                <w:szCs w:val="22"/>
              </w:rPr>
            </w:pPr>
            <w:r w:rsidRPr="00500F13">
              <w:rPr>
                <w:rFonts w:asciiTheme="minorHAnsi" w:hAnsiTheme="minorHAnsi"/>
                <w:szCs w:val="22"/>
              </w:rPr>
              <w:t>Mixed/ Multiple ethnic groups</w:t>
            </w:r>
          </w:p>
        </w:tc>
        <w:tc>
          <w:tcPr>
            <w:tcW w:w="6186" w:type="dxa"/>
          </w:tcPr>
          <w:p w14:paraId="1BA65F59" w14:textId="77777777" w:rsidR="009D3BAB" w:rsidRPr="00500F13" w:rsidRDefault="009D3BAB" w:rsidP="00F45359">
            <w:pPr>
              <w:rPr>
                <w:rFonts w:asciiTheme="minorHAnsi" w:hAnsiTheme="minorHAnsi"/>
                <w:szCs w:val="22"/>
              </w:rPr>
            </w:pPr>
            <w:r w:rsidRPr="00500F13">
              <w:rPr>
                <w:rFonts w:asciiTheme="minorHAnsi" w:hAnsiTheme="minorHAnsi"/>
                <w:szCs w:val="22"/>
              </w:rPr>
              <w:t>Mixed – White &amp; Asian, Mixed – White &amp; Black African, Mixed – White &amp; Black Caribbean, Other mixed background</w:t>
            </w:r>
          </w:p>
        </w:tc>
      </w:tr>
      <w:tr w:rsidR="009D3BAB" w14:paraId="0E983558" w14:textId="77777777" w:rsidTr="00331DD2">
        <w:trPr>
          <w:cantSplit/>
        </w:trPr>
        <w:tc>
          <w:tcPr>
            <w:tcW w:w="2830" w:type="dxa"/>
          </w:tcPr>
          <w:p w14:paraId="3F5E08F8" w14:textId="77777777" w:rsidR="009D3BAB" w:rsidRPr="00500F13" w:rsidRDefault="009D3BAB" w:rsidP="00F45359">
            <w:pPr>
              <w:ind w:left="315"/>
              <w:rPr>
                <w:rFonts w:asciiTheme="minorHAnsi" w:hAnsiTheme="minorHAnsi"/>
                <w:szCs w:val="22"/>
              </w:rPr>
            </w:pPr>
            <w:r w:rsidRPr="00500F13">
              <w:rPr>
                <w:rFonts w:asciiTheme="minorHAnsi" w:hAnsiTheme="minorHAnsi"/>
                <w:szCs w:val="22"/>
              </w:rPr>
              <w:t>White</w:t>
            </w:r>
          </w:p>
        </w:tc>
        <w:tc>
          <w:tcPr>
            <w:tcW w:w="6186" w:type="dxa"/>
          </w:tcPr>
          <w:p w14:paraId="158AF2FB" w14:textId="77777777" w:rsidR="009D3BAB" w:rsidRPr="00500F13" w:rsidRDefault="009D3BAB" w:rsidP="00F45359">
            <w:pPr>
              <w:rPr>
                <w:rFonts w:asciiTheme="minorHAnsi" w:hAnsiTheme="minorHAnsi"/>
                <w:szCs w:val="22"/>
              </w:rPr>
            </w:pPr>
            <w:r w:rsidRPr="00500F13">
              <w:rPr>
                <w:rFonts w:asciiTheme="minorHAnsi" w:hAnsiTheme="minorHAnsi"/>
                <w:szCs w:val="22"/>
              </w:rPr>
              <w:t>White, White – Irish, White – Roma</w:t>
            </w:r>
          </w:p>
        </w:tc>
      </w:tr>
      <w:tr w:rsidR="009D3BAB" w14:paraId="681B2A81" w14:textId="77777777" w:rsidTr="00331DD2">
        <w:trPr>
          <w:cantSplit/>
        </w:trPr>
        <w:tc>
          <w:tcPr>
            <w:tcW w:w="2830" w:type="dxa"/>
          </w:tcPr>
          <w:p w14:paraId="00432041" w14:textId="77777777" w:rsidR="009D3BAB" w:rsidRPr="00500F13" w:rsidRDefault="009D3BAB" w:rsidP="00F45359">
            <w:pPr>
              <w:ind w:left="315"/>
              <w:rPr>
                <w:rFonts w:asciiTheme="minorHAnsi" w:hAnsiTheme="minorHAnsi"/>
                <w:szCs w:val="22"/>
              </w:rPr>
            </w:pPr>
            <w:r w:rsidRPr="00500F13">
              <w:rPr>
                <w:rFonts w:asciiTheme="minorHAnsi" w:hAnsiTheme="minorHAnsi"/>
                <w:szCs w:val="22"/>
              </w:rPr>
              <w:t>Any other ethnic group not considered above</w:t>
            </w:r>
          </w:p>
        </w:tc>
        <w:tc>
          <w:tcPr>
            <w:tcW w:w="6186" w:type="dxa"/>
          </w:tcPr>
          <w:p w14:paraId="2A390254" w14:textId="77777777" w:rsidR="009D3BAB" w:rsidRPr="00500F13" w:rsidRDefault="009D3BAB" w:rsidP="00F45359">
            <w:pPr>
              <w:rPr>
                <w:rFonts w:asciiTheme="minorHAnsi" w:hAnsiTheme="minorHAnsi"/>
                <w:szCs w:val="22"/>
              </w:rPr>
            </w:pPr>
            <w:r w:rsidRPr="00500F13">
              <w:rPr>
                <w:rFonts w:asciiTheme="minorHAnsi" w:hAnsiTheme="minorHAnsi"/>
                <w:szCs w:val="22"/>
              </w:rPr>
              <w:t>Arab, Other Ethnic background</w:t>
            </w:r>
          </w:p>
        </w:tc>
      </w:tr>
      <w:tr w:rsidR="009D3BAB" w14:paraId="0E2B75CE" w14:textId="77777777" w:rsidTr="00331DD2">
        <w:trPr>
          <w:cantSplit/>
        </w:trPr>
        <w:tc>
          <w:tcPr>
            <w:tcW w:w="2830" w:type="dxa"/>
          </w:tcPr>
          <w:p w14:paraId="753A84DB" w14:textId="77777777" w:rsidR="009D3BAB" w:rsidRPr="00500F13" w:rsidRDefault="009D3BAB" w:rsidP="00F45359">
            <w:pPr>
              <w:rPr>
                <w:rFonts w:asciiTheme="minorHAnsi" w:hAnsiTheme="minorHAnsi"/>
                <w:szCs w:val="22"/>
              </w:rPr>
            </w:pPr>
            <w:r w:rsidRPr="00500F13">
              <w:rPr>
                <w:rFonts w:asciiTheme="minorHAnsi" w:hAnsiTheme="minorHAnsi"/>
                <w:b/>
                <w:bCs/>
                <w:szCs w:val="22"/>
              </w:rPr>
              <w:t>Gender Affirmation</w:t>
            </w:r>
          </w:p>
        </w:tc>
        <w:tc>
          <w:tcPr>
            <w:tcW w:w="6186" w:type="dxa"/>
          </w:tcPr>
          <w:p w14:paraId="6107B846" w14:textId="41B15BE5"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gender affirmation/ gender identity</w:t>
            </w:r>
            <w:r w:rsidR="007C0724">
              <w:rPr>
                <w:rFonts w:asciiTheme="minorHAnsi" w:hAnsiTheme="minorHAnsi"/>
                <w:szCs w:val="22"/>
              </w:rPr>
              <w:t xml:space="preserve"> </w:t>
            </w:r>
            <w:r w:rsidR="007C0724" w:rsidRPr="00500F13">
              <w:rPr>
                <w:rFonts w:asciiTheme="minorHAnsi" w:hAnsiTheme="minorHAnsi"/>
                <w:szCs w:val="22"/>
              </w:rPr>
              <w:t>calculated at the snapshot date (31</w:t>
            </w:r>
            <w:r w:rsidR="007C0724" w:rsidRPr="00500F13">
              <w:rPr>
                <w:rFonts w:asciiTheme="minorHAnsi" w:hAnsiTheme="minorHAnsi"/>
                <w:szCs w:val="22"/>
                <w:vertAlign w:val="superscript"/>
              </w:rPr>
              <w:t>st</w:t>
            </w:r>
            <w:r w:rsidR="007C0724" w:rsidRPr="00500F13">
              <w:rPr>
                <w:rFonts w:asciiTheme="minorHAnsi" w:hAnsiTheme="minorHAnsi"/>
                <w:szCs w:val="22"/>
              </w:rPr>
              <w:t xml:space="preserve"> July 2025).</w:t>
            </w:r>
          </w:p>
          <w:p w14:paraId="003532DF" w14:textId="77777777" w:rsidR="009D3BAB" w:rsidRPr="00500F13" w:rsidRDefault="009D3BAB" w:rsidP="00F45359">
            <w:pPr>
              <w:rPr>
                <w:rFonts w:asciiTheme="minorHAnsi" w:hAnsiTheme="minorHAnsi"/>
                <w:szCs w:val="22"/>
              </w:rPr>
            </w:pPr>
          </w:p>
          <w:p w14:paraId="13ED3589" w14:textId="079AE943" w:rsidR="009D3BAB" w:rsidRPr="00500F13" w:rsidRDefault="009D3BAB" w:rsidP="00F45359">
            <w:pPr>
              <w:rPr>
                <w:rFonts w:asciiTheme="minorHAnsi" w:hAnsiTheme="minorHAnsi"/>
                <w:szCs w:val="22"/>
              </w:rPr>
            </w:pPr>
            <w:r w:rsidRPr="00500F13">
              <w:rPr>
                <w:rFonts w:asciiTheme="minorHAnsi" w:hAnsiTheme="minorHAnsi"/>
                <w:szCs w:val="22"/>
              </w:rPr>
              <w:t xml:space="preserve">This term has been adopted following consultation with the </w:t>
            </w:r>
            <w:r w:rsidR="005077BC">
              <w:rPr>
                <w:rFonts w:asciiTheme="minorHAnsi" w:hAnsiTheme="minorHAnsi"/>
                <w:szCs w:val="22"/>
              </w:rPr>
              <w:t>c</w:t>
            </w:r>
            <w:r w:rsidRPr="00500F13">
              <w:rPr>
                <w:rFonts w:asciiTheme="minorHAnsi" w:hAnsiTheme="minorHAnsi"/>
                <w:szCs w:val="22"/>
              </w:rPr>
              <w:t xml:space="preserve">olleague </w:t>
            </w:r>
            <w:r w:rsidR="005077BC">
              <w:rPr>
                <w:rFonts w:asciiTheme="minorHAnsi" w:hAnsiTheme="minorHAnsi"/>
                <w:szCs w:val="22"/>
              </w:rPr>
              <w:t>n</w:t>
            </w:r>
            <w:r w:rsidRPr="00500F13">
              <w:rPr>
                <w:rFonts w:asciiTheme="minorHAnsi" w:hAnsiTheme="minorHAnsi"/>
                <w:szCs w:val="22"/>
              </w:rPr>
              <w:t xml:space="preserve">etworks. </w:t>
            </w:r>
          </w:p>
        </w:tc>
      </w:tr>
      <w:tr w:rsidR="009D3BAB" w14:paraId="6F9FBFF2" w14:textId="77777777" w:rsidTr="00331DD2">
        <w:trPr>
          <w:cantSplit/>
        </w:trPr>
        <w:tc>
          <w:tcPr>
            <w:tcW w:w="2830" w:type="dxa"/>
          </w:tcPr>
          <w:p w14:paraId="3453280D" w14:textId="77777777" w:rsidR="009D3BAB" w:rsidRPr="00500F13" w:rsidRDefault="009D3BAB" w:rsidP="00F45359">
            <w:pPr>
              <w:rPr>
                <w:rFonts w:asciiTheme="minorHAnsi" w:hAnsiTheme="minorHAnsi"/>
                <w:b/>
                <w:bCs/>
                <w:szCs w:val="22"/>
              </w:rPr>
            </w:pPr>
            <w:r w:rsidRPr="00500F13">
              <w:rPr>
                <w:rFonts w:asciiTheme="minorHAnsi" w:hAnsiTheme="minorHAnsi"/>
                <w:b/>
                <w:bCs/>
                <w:szCs w:val="22"/>
              </w:rPr>
              <w:lastRenderedPageBreak/>
              <w:t>Marital Status</w:t>
            </w:r>
          </w:p>
        </w:tc>
        <w:tc>
          <w:tcPr>
            <w:tcW w:w="6186" w:type="dxa"/>
          </w:tcPr>
          <w:p w14:paraId="753439F1" w14:textId="35FA9FF3"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marital status</w:t>
            </w:r>
            <w:r w:rsidR="007C0724">
              <w:rPr>
                <w:rFonts w:asciiTheme="minorHAnsi" w:hAnsiTheme="minorHAnsi"/>
                <w:szCs w:val="22"/>
              </w:rPr>
              <w:t xml:space="preserve"> </w:t>
            </w:r>
            <w:r w:rsidR="007C0724" w:rsidRPr="00500F13">
              <w:rPr>
                <w:rFonts w:asciiTheme="minorHAnsi" w:hAnsiTheme="minorHAnsi"/>
                <w:szCs w:val="22"/>
              </w:rPr>
              <w:t>calculated at the snapshot date (31</w:t>
            </w:r>
            <w:r w:rsidR="007C0724" w:rsidRPr="00500F13">
              <w:rPr>
                <w:rFonts w:asciiTheme="minorHAnsi" w:hAnsiTheme="minorHAnsi"/>
                <w:szCs w:val="22"/>
                <w:vertAlign w:val="superscript"/>
              </w:rPr>
              <w:t>st</w:t>
            </w:r>
            <w:r w:rsidR="007C0724" w:rsidRPr="00500F13">
              <w:rPr>
                <w:rFonts w:asciiTheme="minorHAnsi" w:hAnsiTheme="minorHAnsi"/>
                <w:szCs w:val="22"/>
              </w:rPr>
              <w:t xml:space="preserve"> July 2025).</w:t>
            </w:r>
          </w:p>
        </w:tc>
      </w:tr>
      <w:tr w:rsidR="009D3BAB" w14:paraId="66365E58" w14:textId="77777777" w:rsidTr="00331DD2">
        <w:trPr>
          <w:cantSplit/>
        </w:trPr>
        <w:tc>
          <w:tcPr>
            <w:tcW w:w="2830" w:type="dxa"/>
          </w:tcPr>
          <w:p w14:paraId="5E93883F" w14:textId="77777777" w:rsidR="009D3BAB" w:rsidRPr="00500F13" w:rsidRDefault="009D3BAB" w:rsidP="00F45359">
            <w:pPr>
              <w:rPr>
                <w:rFonts w:asciiTheme="minorHAnsi" w:hAnsiTheme="minorHAnsi"/>
                <w:szCs w:val="22"/>
              </w:rPr>
            </w:pPr>
            <w:r w:rsidRPr="00500F13">
              <w:rPr>
                <w:rFonts w:asciiTheme="minorHAnsi" w:hAnsiTheme="minorHAnsi"/>
                <w:szCs w:val="22"/>
              </w:rPr>
              <w:t>Civil Partnership</w:t>
            </w:r>
          </w:p>
        </w:tc>
        <w:tc>
          <w:tcPr>
            <w:tcW w:w="6186" w:type="dxa"/>
          </w:tcPr>
          <w:p w14:paraId="5CDEB0ED" w14:textId="77777777" w:rsidR="009D3BAB" w:rsidRPr="00500F13" w:rsidRDefault="009D3BAB" w:rsidP="00F45359">
            <w:pPr>
              <w:rPr>
                <w:rFonts w:asciiTheme="minorHAnsi" w:hAnsiTheme="minorHAnsi"/>
                <w:szCs w:val="22"/>
              </w:rPr>
            </w:pPr>
            <w:r w:rsidRPr="00500F13">
              <w:rPr>
                <w:rFonts w:asciiTheme="minorHAnsi" w:hAnsiTheme="minorHAnsi"/>
                <w:szCs w:val="22"/>
              </w:rPr>
              <w:t xml:space="preserve">Collected from 2023 onwards. </w:t>
            </w:r>
          </w:p>
        </w:tc>
      </w:tr>
      <w:tr w:rsidR="009D3BAB" w14:paraId="1138DDB2" w14:textId="77777777" w:rsidTr="00331DD2">
        <w:trPr>
          <w:cantSplit/>
        </w:trPr>
        <w:tc>
          <w:tcPr>
            <w:tcW w:w="2830" w:type="dxa"/>
          </w:tcPr>
          <w:p w14:paraId="4ECE4589" w14:textId="77777777" w:rsidR="009D3BAB" w:rsidRPr="00500F13" w:rsidRDefault="009D3BAB" w:rsidP="00F45359">
            <w:pPr>
              <w:rPr>
                <w:rFonts w:asciiTheme="minorHAnsi" w:hAnsiTheme="minorHAnsi"/>
                <w:b/>
                <w:bCs/>
                <w:szCs w:val="22"/>
              </w:rPr>
            </w:pPr>
            <w:r w:rsidRPr="00500F13">
              <w:rPr>
                <w:rFonts w:asciiTheme="minorHAnsi" w:hAnsiTheme="minorHAnsi"/>
                <w:b/>
                <w:bCs/>
                <w:szCs w:val="22"/>
              </w:rPr>
              <w:t xml:space="preserve">Nationality </w:t>
            </w:r>
          </w:p>
        </w:tc>
        <w:tc>
          <w:tcPr>
            <w:tcW w:w="6186" w:type="dxa"/>
          </w:tcPr>
          <w:p w14:paraId="5A4E845E" w14:textId="2795FA82"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nationality</w:t>
            </w:r>
            <w:r w:rsidR="007C0724">
              <w:rPr>
                <w:rFonts w:asciiTheme="minorHAnsi" w:hAnsiTheme="minorHAnsi"/>
                <w:szCs w:val="22"/>
              </w:rPr>
              <w:t xml:space="preserve"> </w:t>
            </w:r>
            <w:r w:rsidR="007C0724" w:rsidRPr="00500F13">
              <w:rPr>
                <w:rFonts w:asciiTheme="minorHAnsi" w:hAnsiTheme="minorHAnsi"/>
                <w:szCs w:val="22"/>
              </w:rPr>
              <w:t>calculated at the snapshot date (31</w:t>
            </w:r>
            <w:r w:rsidR="007C0724" w:rsidRPr="00500F13">
              <w:rPr>
                <w:rFonts w:asciiTheme="minorHAnsi" w:hAnsiTheme="minorHAnsi"/>
                <w:szCs w:val="22"/>
                <w:vertAlign w:val="superscript"/>
              </w:rPr>
              <w:t>st</w:t>
            </w:r>
            <w:r w:rsidR="007C0724" w:rsidRPr="00500F13">
              <w:rPr>
                <w:rFonts w:asciiTheme="minorHAnsi" w:hAnsiTheme="minorHAnsi"/>
                <w:szCs w:val="22"/>
              </w:rPr>
              <w:t xml:space="preserve"> July 2025).</w:t>
            </w:r>
          </w:p>
        </w:tc>
      </w:tr>
      <w:tr w:rsidR="009D3BAB" w14:paraId="4EE40682" w14:textId="77777777" w:rsidTr="00331DD2">
        <w:trPr>
          <w:cantSplit/>
        </w:trPr>
        <w:tc>
          <w:tcPr>
            <w:tcW w:w="2830" w:type="dxa"/>
          </w:tcPr>
          <w:p w14:paraId="4D9DBD72" w14:textId="77777777" w:rsidR="009D3BAB" w:rsidRPr="00500F13" w:rsidRDefault="009D3BAB" w:rsidP="00F45359">
            <w:pPr>
              <w:rPr>
                <w:rFonts w:asciiTheme="minorHAnsi" w:hAnsiTheme="minorHAnsi"/>
                <w:szCs w:val="22"/>
              </w:rPr>
            </w:pPr>
            <w:r w:rsidRPr="00500F13">
              <w:rPr>
                <w:rFonts w:asciiTheme="minorHAnsi" w:hAnsiTheme="minorHAnsi"/>
                <w:b/>
                <w:bCs/>
                <w:szCs w:val="22"/>
              </w:rPr>
              <w:t>Religion &amp; Belief</w:t>
            </w:r>
          </w:p>
        </w:tc>
        <w:tc>
          <w:tcPr>
            <w:tcW w:w="6186" w:type="dxa"/>
          </w:tcPr>
          <w:p w14:paraId="377998B4" w14:textId="1BFA8A81"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religion and beliefs</w:t>
            </w:r>
            <w:r w:rsidR="00A215AC">
              <w:rPr>
                <w:rFonts w:asciiTheme="minorHAnsi" w:hAnsiTheme="minorHAnsi"/>
                <w:szCs w:val="22"/>
              </w:rPr>
              <w:t xml:space="preserve"> </w:t>
            </w:r>
            <w:r w:rsidR="00A215AC" w:rsidRPr="00500F13">
              <w:rPr>
                <w:rFonts w:asciiTheme="minorHAnsi" w:hAnsiTheme="minorHAnsi"/>
                <w:szCs w:val="22"/>
              </w:rPr>
              <w:t>calculated at the snapshot date (31</w:t>
            </w:r>
            <w:r w:rsidR="00A215AC" w:rsidRPr="00500F13">
              <w:rPr>
                <w:rFonts w:asciiTheme="minorHAnsi" w:hAnsiTheme="minorHAnsi"/>
                <w:szCs w:val="22"/>
                <w:vertAlign w:val="superscript"/>
              </w:rPr>
              <w:t>st</w:t>
            </w:r>
            <w:r w:rsidR="00A215AC" w:rsidRPr="00500F13">
              <w:rPr>
                <w:rFonts w:asciiTheme="minorHAnsi" w:hAnsiTheme="minorHAnsi"/>
                <w:szCs w:val="22"/>
              </w:rPr>
              <w:t xml:space="preserve"> July 2025).</w:t>
            </w:r>
          </w:p>
        </w:tc>
      </w:tr>
      <w:tr w:rsidR="009D3BAB" w14:paraId="2AA93786" w14:textId="77777777" w:rsidTr="00331DD2">
        <w:trPr>
          <w:cantSplit/>
        </w:trPr>
        <w:tc>
          <w:tcPr>
            <w:tcW w:w="2830" w:type="dxa"/>
          </w:tcPr>
          <w:p w14:paraId="1CDA9041" w14:textId="77777777" w:rsidR="009D3BAB" w:rsidRPr="00500F13" w:rsidRDefault="009D3BAB" w:rsidP="00F45359">
            <w:pPr>
              <w:rPr>
                <w:rFonts w:asciiTheme="minorHAnsi" w:hAnsiTheme="minorHAnsi"/>
                <w:b/>
                <w:bCs/>
                <w:szCs w:val="22"/>
              </w:rPr>
            </w:pPr>
            <w:r w:rsidRPr="00500F13">
              <w:rPr>
                <w:rFonts w:asciiTheme="minorHAnsi" w:hAnsiTheme="minorHAnsi"/>
                <w:b/>
                <w:bCs/>
                <w:szCs w:val="22"/>
              </w:rPr>
              <w:t>Sex</w:t>
            </w:r>
          </w:p>
        </w:tc>
        <w:tc>
          <w:tcPr>
            <w:tcW w:w="6186" w:type="dxa"/>
          </w:tcPr>
          <w:p w14:paraId="07DCDE17" w14:textId="472760A4" w:rsidR="009D3BAB" w:rsidRPr="00500F13" w:rsidRDefault="009D3BAB" w:rsidP="00F45359">
            <w:pPr>
              <w:rPr>
                <w:rFonts w:asciiTheme="minorHAnsi" w:hAnsiTheme="minorHAnsi"/>
                <w:szCs w:val="22"/>
              </w:rPr>
            </w:pPr>
            <w:r w:rsidRPr="00500F13">
              <w:rPr>
                <w:rFonts w:asciiTheme="minorHAnsi" w:hAnsiTheme="minorHAnsi"/>
                <w:szCs w:val="22"/>
              </w:rPr>
              <w:t>Data pertaining to colleagues’ se</w:t>
            </w:r>
            <w:r w:rsidR="00A215AC">
              <w:rPr>
                <w:rFonts w:asciiTheme="minorHAnsi" w:hAnsiTheme="minorHAnsi"/>
                <w:szCs w:val="22"/>
              </w:rPr>
              <w:t xml:space="preserve">x </w:t>
            </w:r>
            <w:r w:rsidR="00A215AC" w:rsidRPr="00500F13">
              <w:rPr>
                <w:rFonts w:asciiTheme="minorHAnsi" w:hAnsiTheme="minorHAnsi"/>
                <w:szCs w:val="22"/>
              </w:rPr>
              <w:t>calculated at the snapshot date (31</w:t>
            </w:r>
            <w:r w:rsidR="00A215AC" w:rsidRPr="00500F13">
              <w:rPr>
                <w:rFonts w:asciiTheme="minorHAnsi" w:hAnsiTheme="minorHAnsi"/>
                <w:szCs w:val="22"/>
                <w:vertAlign w:val="superscript"/>
              </w:rPr>
              <w:t>st</w:t>
            </w:r>
            <w:r w:rsidR="00A215AC" w:rsidRPr="00500F13">
              <w:rPr>
                <w:rFonts w:asciiTheme="minorHAnsi" w:hAnsiTheme="minorHAnsi"/>
                <w:szCs w:val="22"/>
              </w:rPr>
              <w:t xml:space="preserve"> July 2025).</w:t>
            </w:r>
          </w:p>
          <w:p w14:paraId="3F40CEFB" w14:textId="77777777" w:rsidR="009D3BAB" w:rsidRPr="00500F13" w:rsidRDefault="009D3BAB" w:rsidP="00F45359">
            <w:pPr>
              <w:rPr>
                <w:rFonts w:asciiTheme="minorHAnsi" w:hAnsiTheme="minorHAnsi"/>
                <w:szCs w:val="22"/>
              </w:rPr>
            </w:pPr>
          </w:p>
          <w:p w14:paraId="3451369F" w14:textId="77777777" w:rsidR="009D3BAB" w:rsidRPr="00500F13" w:rsidRDefault="009D3BAB" w:rsidP="00F45359">
            <w:pPr>
              <w:rPr>
                <w:rFonts w:asciiTheme="minorHAnsi" w:hAnsiTheme="minorHAnsi"/>
                <w:szCs w:val="22"/>
              </w:rPr>
            </w:pPr>
            <w:r w:rsidRPr="00500F13">
              <w:rPr>
                <w:rFonts w:asciiTheme="minorHAnsi" w:hAnsiTheme="minorHAnsi"/>
                <w:szCs w:val="22"/>
              </w:rPr>
              <w:t>We report on data pertaining to sex (female/male) rather than gender (e.g. man/woman/non-binary) and therefore use the language ‘female’ and ‘male’ within this report. We recognise that sex does not equate with gender and that gender is not binary. We have pledged to enhance our data collection and reporting on gender in the future, as part of our Athena Swan Charter commitment.</w:t>
            </w:r>
          </w:p>
        </w:tc>
      </w:tr>
      <w:tr w:rsidR="009D3BAB" w14:paraId="02960F45" w14:textId="77777777" w:rsidTr="00331DD2">
        <w:trPr>
          <w:cantSplit/>
        </w:trPr>
        <w:tc>
          <w:tcPr>
            <w:tcW w:w="2830" w:type="dxa"/>
          </w:tcPr>
          <w:p w14:paraId="38C3C747" w14:textId="77777777" w:rsidR="009D3BAB" w:rsidRPr="00A221BA" w:rsidRDefault="009D3BAB" w:rsidP="00F45359">
            <w:pPr>
              <w:rPr>
                <w:rFonts w:asciiTheme="minorHAnsi" w:hAnsiTheme="minorHAnsi"/>
                <w:szCs w:val="22"/>
              </w:rPr>
            </w:pPr>
            <w:r>
              <w:rPr>
                <w:rFonts w:asciiTheme="minorHAnsi" w:hAnsiTheme="minorHAnsi"/>
                <w:b/>
                <w:bCs/>
                <w:szCs w:val="22"/>
              </w:rPr>
              <w:t>Sexual Orientation</w:t>
            </w:r>
          </w:p>
        </w:tc>
        <w:tc>
          <w:tcPr>
            <w:tcW w:w="6186" w:type="dxa"/>
          </w:tcPr>
          <w:p w14:paraId="49C0C017" w14:textId="4A169842" w:rsidR="009D3BAB" w:rsidRPr="00500F13" w:rsidRDefault="009D3BAB" w:rsidP="00F45359">
            <w:pPr>
              <w:rPr>
                <w:rFonts w:asciiTheme="minorHAnsi" w:hAnsiTheme="minorHAnsi"/>
                <w:szCs w:val="22"/>
              </w:rPr>
            </w:pPr>
            <w:r>
              <w:rPr>
                <w:rFonts w:asciiTheme="minorHAnsi" w:hAnsiTheme="minorHAnsi"/>
                <w:szCs w:val="22"/>
              </w:rPr>
              <w:t>Data pertaining to colleagues’ sexual orientation</w:t>
            </w:r>
            <w:r w:rsidR="00A215AC">
              <w:rPr>
                <w:rFonts w:asciiTheme="minorHAnsi" w:hAnsiTheme="minorHAnsi"/>
                <w:szCs w:val="22"/>
              </w:rPr>
              <w:t xml:space="preserve"> </w:t>
            </w:r>
            <w:r w:rsidR="00A215AC" w:rsidRPr="00500F13">
              <w:rPr>
                <w:rFonts w:asciiTheme="minorHAnsi" w:hAnsiTheme="minorHAnsi"/>
                <w:szCs w:val="22"/>
              </w:rPr>
              <w:t>calculated at the snapshot date (31</w:t>
            </w:r>
            <w:r w:rsidR="00A215AC" w:rsidRPr="00500F13">
              <w:rPr>
                <w:rFonts w:asciiTheme="minorHAnsi" w:hAnsiTheme="minorHAnsi"/>
                <w:szCs w:val="22"/>
                <w:vertAlign w:val="superscript"/>
              </w:rPr>
              <w:t>st</w:t>
            </w:r>
            <w:r w:rsidR="00A215AC" w:rsidRPr="00500F13">
              <w:rPr>
                <w:rFonts w:asciiTheme="minorHAnsi" w:hAnsiTheme="minorHAnsi"/>
                <w:szCs w:val="22"/>
              </w:rPr>
              <w:t xml:space="preserve"> July 2025).</w:t>
            </w:r>
          </w:p>
        </w:tc>
      </w:tr>
      <w:tr w:rsidR="009D3BAB" w14:paraId="091177E6" w14:textId="77777777" w:rsidTr="00331DD2">
        <w:trPr>
          <w:cantSplit/>
        </w:trPr>
        <w:tc>
          <w:tcPr>
            <w:tcW w:w="2830" w:type="dxa"/>
          </w:tcPr>
          <w:p w14:paraId="51D48688" w14:textId="77777777" w:rsidR="009D3BAB" w:rsidRPr="00500F13" w:rsidRDefault="009D3BAB" w:rsidP="00F45359">
            <w:pPr>
              <w:rPr>
                <w:rFonts w:asciiTheme="minorHAnsi" w:hAnsiTheme="minorHAnsi"/>
                <w:szCs w:val="22"/>
              </w:rPr>
            </w:pPr>
            <w:r>
              <w:rPr>
                <w:rFonts w:asciiTheme="minorHAnsi" w:hAnsiTheme="minorHAnsi"/>
                <w:szCs w:val="22"/>
              </w:rPr>
              <w:t>LGB+</w:t>
            </w:r>
          </w:p>
        </w:tc>
        <w:tc>
          <w:tcPr>
            <w:tcW w:w="6186" w:type="dxa"/>
          </w:tcPr>
          <w:p w14:paraId="6139FFA6" w14:textId="77777777" w:rsidR="009D3BAB" w:rsidRPr="00500F13" w:rsidRDefault="009D3BAB" w:rsidP="00F45359">
            <w:pPr>
              <w:rPr>
                <w:rFonts w:asciiTheme="minorHAnsi" w:hAnsiTheme="minorHAnsi"/>
                <w:szCs w:val="22"/>
              </w:rPr>
            </w:pPr>
            <w:r>
              <w:rPr>
                <w:rFonts w:asciiTheme="minorHAnsi" w:hAnsiTheme="minorHAnsi"/>
                <w:szCs w:val="22"/>
              </w:rPr>
              <w:t xml:space="preserve">Colleagues who identified as Lesbian, Gay, Bisexual or another sexual orientation except heterosexual. </w:t>
            </w:r>
          </w:p>
        </w:tc>
      </w:tr>
    </w:tbl>
    <w:p w14:paraId="7E3157F1" w14:textId="77777777" w:rsidR="009D3BAB" w:rsidRDefault="009D3BAB" w:rsidP="009D3BAB"/>
    <w:p w14:paraId="0018F2F1" w14:textId="77777777" w:rsidR="00E7421E" w:rsidRDefault="00E7421E" w:rsidP="009D3BAB"/>
    <w:p w14:paraId="09718AF7" w14:textId="4A6A498F" w:rsidR="009D1F13" w:rsidRPr="009D1F13" w:rsidRDefault="009D1F13" w:rsidP="009D1F13">
      <w:pPr>
        <w:pStyle w:val="ListParagraph"/>
        <w:numPr>
          <w:ilvl w:val="1"/>
          <w:numId w:val="12"/>
        </w:numPr>
        <w:rPr>
          <w:color w:val="0B769F"/>
          <w:sz w:val="28"/>
          <w:szCs w:val="32"/>
        </w:rPr>
      </w:pPr>
      <w:r>
        <w:rPr>
          <w:color w:val="0B769F"/>
          <w:sz w:val="28"/>
          <w:szCs w:val="32"/>
        </w:rPr>
        <w:t xml:space="preserve">Occupations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D3BAB" w14:paraId="34F4C87B" w14:textId="77777777" w:rsidTr="00331DD2">
        <w:trPr>
          <w:cantSplit/>
        </w:trPr>
        <w:tc>
          <w:tcPr>
            <w:tcW w:w="2830" w:type="dxa"/>
          </w:tcPr>
          <w:p w14:paraId="716D5360" w14:textId="77777777" w:rsidR="009D3BAB" w:rsidRPr="00500F13" w:rsidRDefault="009D3BAB" w:rsidP="00F45359">
            <w:pPr>
              <w:rPr>
                <w:rFonts w:asciiTheme="minorHAnsi" w:hAnsiTheme="minorHAnsi"/>
                <w:szCs w:val="22"/>
              </w:rPr>
            </w:pPr>
            <w:r w:rsidRPr="00500F13">
              <w:rPr>
                <w:rFonts w:asciiTheme="minorHAnsi" w:hAnsiTheme="minorHAnsi"/>
                <w:szCs w:val="22"/>
              </w:rPr>
              <w:t>Academic</w:t>
            </w:r>
          </w:p>
        </w:tc>
        <w:tc>
          <w:tcPr>
            <w:tcW w:w="6186" w:type="dxa"/>
          </w:tcPr>
          <w:p w14:paraId="0A247DA5" w14:textId="44A45E1A" w:rsidR="009D3BAB" w:rsidRPr="00500F13" w:rsidRDefault="009D3BAB" w:rsidP="00F45359">
            <w:pPr>
              <w:rPr>
                <w:rFonts w:asciiTheme="minorHAnsi" w:hAnsiTheme="minorHAnsi"/>
                <w:szCs w:val="22"/>
              </w:rPr>
            </w:pPr>
            <w:r w:rsidRPr="00500F13">
              <w:rPr>
                <w:rFonts w:asciiTheme="minorHAnsi" w:hAnsiTheme="minorHAnsi"/>
                <w:szCs w:val="22"/>
              </w:rPr>
              <w:t>Colleagues with an academic contract (R&amp;I, T&amp;R, T&amp;S or Neither T&amp;R)</w:t>
            </w:r>
            <w:r w:rsidR="00D30A7B">
              <w:rPr>
                <w:rFonts w:asciiTheme="minorHAnsi" w:hAnsiTheme="minorHAnsi"/>
                <w:szCs w:val="22"/>
              </w:rPr>
              <w:t>.</w:t>
            </w:r>
          </w:p>
        </w:tc>
      </w:tr>
      <w:tr w:rsidR="009D3BAB" w14:paraId="7F37BDF9" w14:textId="77777777" w:rsidTr="00331DD2">
        <w:trPr>
          <w:cantSplit/>
        </w:trPr>
        <w:tc>
          <w:tcPr>
            <w:tcW w:w="2830" w:type="dxa"/>
          </w:tcPr>
          <w:p w14:paraId="2DBBF099" w14:textId="77777777" w:rsidR="009D3BAB" w:rsidRPr="00500F13" w:rsidRDefault="009D3BAB" w:rsidP="00F45359">
            <w:pPr>
              <w:rPr>
                <w:rFonts w:asciiTheme="minorHAnsi" w:hAnsiTheme="minorHAnsi"/>
                <w:szCs w:val="22"/>
              </w:rPr>
            </w:pPr>
            <w:r w:rsidRPr="00500F13">
              <w:rPr>
                <w:rFonts w:asciiTheme="minorHAnsi" w:hAnsiTheme="minorHAnsi"/>
                <w:szCs w:val="22"/>
              </w:rPr>
              <w:t>Professional Services (PS)</w:t>
            </w:r>
          </w:p>
        </w:tc>
        <w:tc>
          <w:tcPr>
            <w:tcW w:w="6186" w:type="dxa"/>
          </w:tcPr>
          <w:p w14:paraId="1E09F639" w14:textId="77777777" w:rsidR="009D3BAB" w:rsidRPr="00500F13" w:rsidRDefault="009D3BAB" w:rsidP="00F45359">
            <w:pPr>
              <w:rPr>
                <w:rFonts w:asciiTheme="minorHAnsi" w:hAnsiTheme="minorHAnsi"/>
                <w:szCs w:val="22"/>
              </w:rPr>
            </w:pPr>
            <w:r w:rsidRPr="00500F13">
              <w:rPr>
                <w:rFonts w:asciiTheme="minorHAnsi" w:hAnsiTheme="minorHAnsi"/>
                <w:szCs w:val="22"/>
              </w:rPr>
              <w:t>Colleagues on a non-academic contract plus 9 Senior Officers on a T&amp;R contract.</w:t>
            </w:r>
          </w:p>
        </w:tc>
      </w:tr>
      <w:tr w:rsidR="009D3BAB" w14:paraId="02792BD7" w14:textId="77777777" w:rsidTr="00331DD2">
        <w:trPr>
          <w:cantSplit/>
        </w:trPr>
        <w:tc>
          <w:tcPr>
            <w:tcW w:w="2830" w:type="dxa"/>
          </w:tcPr>
          <w:p w14:paraId="187FEE6C" w14:textId="77777777" w:rsidR="009D3BAB" w:rsidRPr="00500F13" w:rsidRDefault="009D3BAB" w:rsidP="00F45359">
            <w:pPr>
              <w:rPr>
                <w:rFonts w:asciiTheme="minorHAnsi" w:hAnsiTheme="minorHAnsi"/>
                <w:szCs w:val="22"/>
              </w:rPr>
            </w:pPr>
            <w:r w:rsidRPr="00500F13">
              <w:rPr>
                <w:rFonts w:asciiTheme="minorHAnsi" w:hAnsiTheme="minorHAnsi"/>
                <w:szCs w:val="22"/>
              </w:rPr>
              <w:t>Research</w:t>
            </w:r>
          </w:p>
        </w:tc>
        <w:tc>
          <w:tcPr>
            <w:tcW w:w="6186" w:type="dxa"/>
          </w:tcPr>
          <w:p w14:paraId="7EEA6D89" w14:textId="70BAE847" w:rsidR="009D3BAB" w:rsidRPr="00500F13" w:rsidRDefault="009D3BAB" w:rsidP="00F45359">
            <w:pPr>
              <w:rPr>
                <w:rFonts w:asciiTheme="minorHAnsi" w:hAnsiTheme="minorHAnsi"/>
                <w:szCs w:val="22"/>
              </w:rPr>
            </w:pPr>
            <w:r w:rsidRPr="00500F13">
              <w:rPr>
                <w:rFonts w:asciiTheme="minorHAnsi" w:hAnsiTheme="minorHAnsi"/>
                <w:szCs w:val="22"/>
              </w:rPr>
              <w:t>Colleagues with an academic contract (R&amp;I only)</w:t>
            </w:r>
            <w:r w:rsidR="00D30A7B">
              <w:rPr>
                <w:rFonts w:asciiTheme="minorHAnsi" w:hAnsiTheme="minorHAnsi"/>
                <w:szCs w:val="22"/>
              </w:rPr>
              <w:t>.</w:t>
            </w:r>
          </w:p>
        </w:tc>
      </w:tr>
    </w:tbl>
    <w:p w14:paraId="7D938F60" w14:textId="77777777" w:rsidR="009D3BAB" w:rsidRDefault="009D3BAB" w:rsidP="009D3BAB"/>
    <w:p w14:paraId="47E76384" w14:textId="77777777" w:rsidR="00E7421E" w:rsidRDefault="00E7421E" w:rsidP="009D3BAB"/>
    <w:p w14:paraId="00079B6A" w14:textId="012923B6" w:rsidR="009D1F13" w:rsidRPr="009D1F13" w:rsidRDefault="009D1F13" w:rsidP="009D1F13">
      <w:pPr>
        <w:pStyle w:val="ListParagraph"/>
        <w:numPr>
          <w:ilvl w:val="1"/>
          <w:numId w:val="12"/>
        </w:numPr>
        <w:rPr>
          <w:color w:val="0B769F"/>
          <w:sz w:val="28"/>
          <w:szCs w:val="32"/>
        </w:rPr>
      </w:pPr>
      <w:r>
        <w:rPr>
          <w:color w:val="0B769F"/>
          <w:sz w:val="28"/>
          <w:szCs w:val="32"/>
        </w:rPr>
        <w:t>Faculties/Units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D3BAB" w14:paraId="105FE56A" w14:textId="77777777" w:rsidTr="00331DD2">
        <w:trPr>
          <w:cantSplit/>
        </w:trPr>
        <w:tc>
          <w:tcPr>
            <w:tcW w:w="2830" w:type="dxa"/>
          </w:tcPr>
          <w:p w14:paraId="19ABBDA8" w14:textId="77777777" w:rsidR="009D3BAB" w:rsidRPr="00500F13" w:rsidRDefault="009D3BAB" w:rsidP="00F45359">
            <w:pPr>
              <w:rPr>
                <w:rFonts w:asciiTheme="minorHAnsi" w:hAnsiTheme="minorHAnsi"/>
                <w:szCs w:val="22"/>
              </w:rPr>
            </w:pPr>
            <w:r w:rsidRPr="00500F13">
              <w:rPr>
                <w:rFonts w:asciiTheme="minorHAnsi" w:hAnsiTheme="minorHAnsi"/>
                <w:szCs w:val="22"/>
              </w:rPr>
              <w:t>Academic Hub</w:t>
            </w:r>
          </w:p>
        </w:tc>
        <w:tc>
          <w:tcPr>
            <w:tcW w:w="6186" w:type="dxa"/>
          </w:tcPr>
          <w:p w14:paraId="6C97A348" w14:textId="77777777" w:rsidR="009D3BAB" w:rsidRPr="00500F13" w:rsidRDefault="009D3BAB" w:rsidP="00F45359">
            <w:pPr>
              <w:rPr>
                <w:rFonts w:asciiTheme="minorHAnsi" w:hAnsiTheme="minorHAnsi"/>
                <w:szCs w:val="22"/>
              </w:rPr>
            </w:pPr>
            <w:r w:rsidRPr="00500F13">
              <w:rPr>
                <w:rFonts w:asciiTheme="minorHAnsi" w:hAnsiTheme="minorHAnsi"/>
                <w:szCs w:val="22"/>
              </w:rPr>
              <w:t>Academic units including e.g. Academic Services, Research &amp; Innovation, Student Services etc.</w:t>
            </w:r>
          </w:p>
        </w:tc>
      </w:tr>
      <w:tr w:rsidR="009D3BAB" w14:paraId="264D1A8C" w14:textId="77777777" w:rsidTr="00331DD2">
        <w:trPr>
          <w:cantSplit/>
        </w:trPr>
        <w:tc>
          <w:tcPr>
            <w:tcW w:w="2830" w:type="dxa"/>
          </w:tcPr>
          <w:p w14:paraId="49F0C87B" w14:textId="77777777" w:rsidR="009D3BAB" w:rsidRPr="00500F13" w:rsidRDefault="009D3BAB" w:rsidP="00F45359">
            <w:pPr>
              <w:rPr>
                <w:rFonts w:asciiTheme="minorHAnsi" w:hAnsiTheme="minorHAnsi"/>
                <w:szCs w:val="22"/>
              </w:rPr>
            </w:pPr>
            <w:r w:rsidRPr="00500F13">
              <w:rPr>
                <w:rFonts w:asciiTheme="minorHAnsi" w:hAnsiTheme="minorHAnsi"/>
                <w:szCs w:val="22"/>
              </w:rPr>
              <w:t>Finance &amp; Operations Hub</w:t>
            </w:r>
          </w:p>
        </w:tc>
        <w:tc>
          <w:tcPr>
            <w:tcW w:w="6186" w:type="dxa"/>
          </w:tcPr>
          <w:p w14:paraId="354800A2" w14:textId="77777777" w:rsidR="009D3BAB" w:rsidRPr="00500F13" w:rsidRDefault="009D3BAB" w:rsidP="00F45359">
            <w:pPr>
              <w:rPr>
                <w:rFonts w:asciiTheme="minorHAnsi" w:hAnsiTheme="minorHAnsi"/>
                <w:szCs w:val="22"/>
              </w:rPr>
            </w:pPr>
            <w:r w:rsidRPr="00500F13">
              <w:rPr>
                <w:rFonts w:asciiTheme="minorHAnsi" w:hAnsiTheme="minorHAnsi"/>
                <w:szCs w:val="22"/>
              </w:rPr>
              <w:t>Finance and Operations units including e.g. Estates, Finance, IT etc.</w:t>
            </w:r>
          </w:p>
        </w:tc>
      </w:tr>
      <w:tr w:rsidR="009D3BAB" w14:paraId="06AA7682" w14:textId="77777777" w:rsidTr="00331DD2">
        <w:trPr>
          <w:cantSplit/>
        </w:trPr>
        <w:tc>
          <w:tcPr>
            <w:tcW w:w="2830" w:type="dxa"/>
          </w:tcPr>
          <w:p w14:paraId="77004293" w14:textId="77777777" w:rsidR="009D3BAB" w:rsidRPr="00500F13" w:rsidRDefault="009D3BAB" w:rsidP="00F45359">
            <w:pPr>
              <w:rPr>
                <w:rFonts w:asciiTheme="minorHAnsi" w:hAnsiTheme="minorHAnsi"/>
                <w:szCs w:val="22"/>
              </w:rPr>
            </w:pPr>
            <w:r w:rsidRPr="00500F13">
              <w:rPr>
                <w:rFonts w:asciiTheme="minorHAnsi" w:hAnsiTheme="minorHAnsi"/>
                <w:szCs w:val="22"/>
              </w:rPr>
              <w:t>FMS</w:t>
            </w:r>
          </w:p>
        </w:tc>
        <w:tc>
          <w:tcPr>
            <w:tcW w:w="6186" w:type="dxa"/>
          </w:tcPr>
          <w:p w14:paraId="6006F9CF" w14:textId="77777777" w:rsidR="009D3BAB" w:rsidRPr="00500F13" w:rsidRDefault="009D3BAB" w:rsidP="00F45359">
            <w:pPr>
              <w:rPr>
                <w:rFonts w:asciiTheme="minorHAnsi" w:hAnsiTheme="minorHAnsi"/>
                <w:szCs w:val="22"/>
              </w:rPr>
            </w:pPr>
            <w:r w:rsidRPr="00500F13">
              <w:rPr>
                <w:rFonts w:asciiTheme="minorHAnsi" w:hAnsiTheme="minorHAnsi"/>
                <w:szCs w:val="22"/>
              </w:rPr>
              <w:t>Faculty of Medical Sciences</w:t>
            </w:r>
          </w:p>
        </w:tc>
      </w:tr>
      <w:tr w:rsidR="009D3BAB" w14:paraId="3286CD12" w14:textId="77777777" w:rsidTr="00331DD2">
        <w:trPr>
          <w:cantSplit/>
        </w:trPr>
        <w:tc>
          <w:tcPr>
            <w:tcW w:w="2830" w:type="dxa"/>
          </w:tcPr>
          <w:p w14:paraId="549119D0" w14:textId="77777777" w:rsidR="009D3BAB" w:rsidRPr="00500F13" w:rsidRDefault="009D3BAB" w:rsidP="00F45359">
            <w:pPr>
              <w:rPr>
                <w:rFonts w:asciiTheme="minorHAnsi" w:hAnsiTheme="minorHAnsi"/>
                <w:szCs w:val="22"/>
              </w:rPr>
            </w:pPr>
            <w:proofErr w:type="spellStart"/>
            <w:r w:rsidRPr="00500F13">
              <w:rPr>
                <w:rFonts w:asciiTheme="minorHAnsi" w:hAnsiTheme="minorHAnsi"/>
                <w:szCs w:val="22"/>
              </w:rPr>
              <w:t>HaSS</w:t>
            </w:r>
            <w:proofErr w:type="spellEnd"/>
          </w:p>
        </w:tc>
        <w:tc>
          <w:tcPr>
            <w:tcW w:w="6186" w:type="dxa"/>
          </w:tcPr>
          <w:p w14:paraId="5D98306E" w14:textId="77777777" w:rsidR="009D3BAB" w:rsidRPr="00500F13" w:rsidRDefault="009D3BAB" w:rsidP="00F45359">
            <w:pPr>
              <w:rPr>
                <w:rFonts w:asciiTheme="minorHAnsi" w:hAnsiTheme="minorHAnsi"/>
                <w:szCs w:val="22"/>
              </w:rPr>
            </w:pPr>
            <w:r w:rsidRPr="00500F13">
              <w:rPr>
                <w:rFonts w:asciiTheme="minorHAnsi" w:hAnsiTheme="minorHAnsi"/>
                <w:szCs w:val="22"/>
              </w:rPr>
              <w:t>Faculty of Humanities and Social Sciences</w:t>
            </w:r>
          </w:p>
        </w:tc>
      </w:tr>
      <w:tr w:rsidR="009D3BAB" w14:paraId="6705CD7F" w14:textId="77777777" w:rsidTr="00331DD2">
        <w:trPr>
          <w:cantSplit/>
        </w:trPr>
        <w:tc>
          <w:tcPr>
            <w:tcW w:w="2830" w:type="dxa"/>
          </w:tcPr>
          <w:p w14:paraId="7875EE99" w14:textId="77777777" w:rsidR="009D3BAB" w:rsidRPr="00500F13" w:rsidRDefault="009D3BAB" w:rsidP="00F45359">
            <w:pPr>
              <w:rPr>
                <w:rFonts w:asciiTheme="minorHAnsi" w:hAnsiTheme="minorHAnsi"/>
                <w:szCs w:val="22"/>
              </w:rPr>
            </w:pPr>
            <w:r w:rsidRPr="00500F13">
              <w:rPr>
                <w:rFonts w:asciiTheme="minorHAnsi" w:hAnsiTheme="minorHAnsi"/>
                <w:szCs w:val="22"/>
              </w:rPr>
              <w:t>People Services</w:t>
            </w:r>
          </w:p>
        </w:tc>
        <w:tc>
          <w:tcPr>
            <w:tcW w:w="6186" w:type="dxa"/>
          </w:tcPr>
          <w:p w14:paraId="5F4F5339" w14:textId="77777777" w:rsidR="009D3BAB" w:rsidRPr="00500F13" w:rsidRDefault="009D3BAB" w:rsidP="00F45359">
            <w:pPr>
              <w:rPr>
                <w:rFonts w:asciiTheme="minorHAnsi" w:hAnsiTheme="minorHAnsi"/>
                <w:szCs w:val="22"/>
              </w:rPr>
            </w:pPr>
            <w:r w:rsidRPr="00500F13">
              <w:rPr>
                <w:rFonts w:asciiTheme="minorHAnsi" w:hAnsiTheme="minorHAnsi"/>
                <w:szCs w:val="22"/>
              </w:rPr>
              <w:t xml:space="preserve">People units including e.g. Health &amp; Wellbeing, Organisational Development (OD), People Relations etc. </w:t>
            </w:r>
          </w:p>
          <w:p w14:paraId="0138A46D" w14:textId="77777777" w:rsidR="009D3BAB" w:rsidRPr="00500F13" w:rsidRDefault="009D3BAB" w:rsidP="00F45359">
            <w:pPr>
              <w:rPr>
                <w:rFonts w:asciiTheme="minorHAnsi" w:hAnsiTheme="minorHAnsi"/>
                <w:szCs w:val="22"/>
              </w:rPr>
            </w:pPr>
          </w:p>
          <w:p w14:paraId="7508A098" w14:textId="5C2BD8CE" w:rsidR="009D3BAB" w:rsidRPr="00500F13" w:rsidRDefault="009D3BAB" w:rsidP="00F45359">
            <w:pPr>
              <w:rPr>
                <w:rFonts w:asciiTheme="minorHAnsi" w:hAnsiTheme="minorHAnsi"/>
                <w:szCs w:val="22"/>
              </w:rPr>
            </w:pPr>
            <w:r w:rsidRPr="00500F13">
              <w:rPr>
                <w:rFonts w:asciiTheme="minorHAnsi" w:hAnsiTheme="minorHAnsi"/>
                <w:szCs w:val="22"/>
              </w:rPr>
              <w:t xml:space="preserve">Note. Following </w:t>
            </w:r>
            <w:r w:rsidR="00A215AC">
              <w:rPr>
                <w:rFonts w:asciiTheme="minorHAnsi" w:hAnsiTheme="minorHAnsi"/>
                <w:szCs w:val="22"/>
              </w:rPr>
              <w:t>a reporting</w:t>
            </w:r>
            <w:r w:rsidRPr="00500F13">
              <w:rPr>
                <w:rFonts w:asciiTheme="minorHAnsi" w:hAnsiTheme="minorHAnsi"/>
                <w:szCs w:val="22"/>
              </w:rPr>
              <w:t xml:space="preserve"> restructure in 2024, People Services is now reported as a separate hub. </w:t>
            </w:r>
            <w:r w:rsidR="00A215AC">
              <w:rPr>
                <w:rFonts w:asciiTheme="minorHAnsi" w:hAnsiTheme="minorHAnsi"/>
                <w:szCs w:val="22"/>
              </w:rPr>
              <w:t>Previously</w:t>
            </w:r>
            <w:r w:rsidRPr="00500F13">
              <w:rPr>
                <w:rFonts w:asciiTheme="minorHAnsi" w:hAnsiTheme="minorHAnsi"/>
                <w:szCs w:val="22"/>
              </w:rPr>
              <w:t xml:space="preserve">, People Services were reported within the Finance &amp; Operations Hub. </w:t>
            </w:r>
          </w:p>
        </w:tc>
      </w:tr>
      <w:tr w:rsidR="009D3BAB" w14:paraId="1398D79C" w14:textId="77777777" w:rsidTr="00331DD2">
        <w:trPr>
          <w:cantSplit/>
        </w:trPr>
        <w:tc>
          <w:tcPr>
            <w:tcW w:w="2830" w:type="dxa"/>
          </w:tcPr>
          <w:p w14:paraId="64A96444" w14:textId="77777777" w:rsidR="009D3BAB" w:rsidRPr="00500F13" w:rsidRDefault="009D3BAB" w:rsidP="00F45359">
            <w:pPr>
              <w:rPr>
                <w:rFonts w:asciiTheme="minorHAnsi" w:hAnsiTheme="minorHAnsi"/>
                <w:szCs w:val="22"/>
              </w:rPr>
            </w:pPr>
            <w:proofErr w:type="spellStart"/>
            <w:r w:rsidRPr="00500F13">
              <w:rPr>
                <w:rFonts w:asciiTheme="minorHAnsi" w:hAnsiTheme="minorHAnsi"/>
                <w:szCs w:val="22"/>
              </w:rPr>
              <w:t>SAgE</w:t>
            </w:r>
            <w:proofErr w:type="spellEnd"/>
          </w:p>
        </w:tc>
        <w:tc>
          <w:tcPr>
            <w:tcW w:w="6186" w:type="dxa"/>
          </w:tcPr>
          <w:p w14:paraId="51786A74" w14:textId="77777777" w:rsidR="009D3BAB" w:rsidRPr="00500F13" w:rsidRDefault="009D3BAB" w:rsidP="00F45359">
            <w:pPr>
              <w:rPr>
                <w:rFonts w:asciiTheme="minorHAnsi" w:hAnsiTheme="minorHAnsi"/>
                <w:szCs w:val="22"/>
              </w:rPr>
            </w:pPr>
            <w:r w:rsidRPr="00500F13">
              <w:rPr>
                <w:rFonts w:asciiTheme="minorHAnsi" w:hAnsiTheme="minorHAnsi"/>
                <w:szCs w:val="22"/>
              </w:rPr>
              <w:t>Faculty of Science, Agriculture and Engineering</w:t>
            </w:r>
          </w:p>
        </w:tc>
      </w:tr>
    </w:tbl>
    <w:p w14:paraId="69942BA0" w14:textId="77777777" w:rsidR="009D3BAB" w:rsidRDefault="009D3BAB" w:rsidP="009D3BAB"/>
    <w:p w14:paraId="1B225F36" w14:textId="5E204CF6" w:rsidR="00A14927" w:rsidRPr="009D1F13" w:rsidRDefault="009D1F13" w:rsidP="009D1F13">
      <w:pPr>
        <w:pStyle w:val="ListParagraph"/>
        <w:numPr>
          <w:ilvl w:val="1"/>
          <w:numId w:val="12"/>
        </w:numPr>
        <w:rPr>
          <w:color w:val="0B769F"/>
          <w:sz w:val="28"/>
          <w:szCs w:val="32"/>
        </w:rPr>
      </w:pPr>
      <w:r w:rsidRPr="009D1F13">
        <w:rPr>
          <w:color w:val="0B769F"/>
          <w:sz w:val="28"/>
          <w:szCs w:val="32"/>
        </w:rPr>
        <w:lastRenderedPageBreak/>
        <w:t>Grading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D3BAB" w14:paraId="71F8D0A3" w14:textId="77777777" w:rsidTr="00331DD2">
        <w:trPr>
          <w:cantSplit/>
        </w:trPr>
        <w:tc>
          <w:tcPr>
            <w:tcW w:w="2830" w:type="dxa"/>
          </w:tcPr>
          <w:p w14:paraId="34371DF7" w14:textId="77777777" w:rsidR="009D3BAB" w:rsidRPr="00500F13" w:rsidRDefault="009D3BAB" w:rsidP="00F45359">
            <w:pPr>
              <w:rPr>
                <w:rFonts w:asciiTheme="minorHAnsi" w:hAnsiTheme="minorHAnsi"/>
                <w:szCs w:val="22"/>
              </w:rPr>
            </w:pPr>
            <w:r w:rsidRPr="00500F13">
              <w:rPr>
                <w:rFonts w:asciiTheme="minorHAnsi" w:hAnsiTheme="minorHAnsi"/>
                <w:szCs w:val="22"/>
              </w:rPr>
              <w:t>Grading structure</w:t>
            </w:r>
          </w:p>
        </w:tc>
        <w:tc>
          <w:tcPr>
            <w:tcW w:w="6186" w:type="dxa"/>
          </w:tcPr>
          <w:p w14:paraId="41854C1F" w14:textId="77777777" w:rsidR="009D3BAB" w:rsidRPr="00500F13" w:rsidRDefault="009D3BAB" w:rsidP="00F45359">
            <w:pPr>
              <w:rPr>
                <w:rFonts w:asciiTheme="minorHAnsi" w:hAnsiTheme="minorHAnsi"/>
                <w:szCs w:val="22"/>
              </w:rPr>
            </w:pPr>
            <w:r w:rsidRPr="00500F13">
              <w:rPr>
                <w:rFonts w:asciiTheme="minorHAnsi" w:hAnsiTheme="minorHAnsi"/>
                <w:szCs w:val="22"/>
              </w:rPr>
              <w:t>PS: Grades A-I</w:t>
            </w:r>
          </w:p>
          <w:p w14:paraId="1621DC1B" w14:textId="2DBE8EDC" w:rsidR="009D3BAB" w:rsidRPr="00500F13" w:rsidRDefault="009D3BAB" w:rsidP="00F45359">
            <w:pPr>
              <w:rPr>
                <w:rFonts w:asciiTheme="minorHAnsi" w:hAnsiTheme="minorHAnsi"/>
                <w:szCs w:val="22"/>
              </w:rPr>
            </w:pPr>
            <w:r w:rsidRPr="00500F13">
              <w:rPr>
                <w:rFonts w:asciiTheme="minorHAnsi" w:hAnsiTheme="minorHAnsi"/>
                <w:szCs w:val="22"/>
              </w:rPr>
              <w:t>Academic: Grades E to I</w:t>
            </w:r>
          </w:p>
          <w:p w14:paraId="2C05B4E0" w14:textId="629F8E59" w:rsidR="009D3BAB" w:rsidRPr="00500F13" w:rsidRDefault="009D3BAB" w:rsidP="00F45359">
            <w:pPr>
              <w:rPr>
                <w:rFonts w:asciiTheme="minorHAnsi" w:hAnsiTheme="minorHAnsi"/>
                <w:szCs w:val="22"/>
              </w:rPr>
            </w:pPr>
            <w:r w:rsidRPr="00500F13">
              <w:rPr>
                <w:rFonts w:asciiTheme="minorHAnsi" w:hAnsiTheme="minorHAnsi"/>
                <w:szCs w:val="22"/>
              </w:rPr>
              <w:t>A small number of colleagues are on grades outside our grading structure. In these cases, individuals have been mapped to the appropriate equivalent grade within our structure, based on equivalent pay and position, to facilitate analysis.</w:t>
            </w:r>
          </w:p>
        </w:tc>
      </w:tr>
    </w:tbl>
    <w:p w14:paraId="7168E031" w14:textId="77777777" w:rsidR="009D3BAB" w:rsidRDefault="009D3BAB" w:rsidP="009D3BAB"/>
    <w:p w14:paraId="7C20C80D" w14:textId="77777777" w:rsidR="00E7421E" w:rsidRDefault="00E7421E" w:rsidP="009D3BAB"/>
    <w:p w14:paraId="2476AF5E" w14:textId="40599516" w:rsidR="009D1F13" w:rsidRPr="009D1F13" w:rsidRDefault="009D1F13" w:rsidP="009D1F13">
      <w:pPr>
        <w:pStyle w:val="ListParagraph"/>
        <w:numPr>
          <w:ilvl w:val="1"/>
          <w:numId w:val="12"/>
        </w:numPr>
        <w:rPr>
          <w:color w:val="0B769F"/>
          <w:sz w:val="28"/>
          <w:szCs w:val="32"/>
        </w:rPr>
      </w:pPr>
      <w:r>
        <w:rPr>
          <w:color w:val="0B769F"/>
          <w:sz w:val="28"/>
          <w:szCs w:val="32"/>
        </w:rPr>
        <w:t>Academic Contracts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D3BAB" w14:paraId="1D865F20" w14:textId="77777777" w:rsidTr="00331DD2">
        <w:trPr>
          <w:cantSplit/>
        </w:trPr>
        <w:tc>
          <w:tcPr>
            <w:tcW w:w="2830" w:type="dxa"/>
          </w:tcPr>
          <w:p w14:paraId="5E6DE15F" w14:textId="77777777" w:rsidR="009D3BAB" w:rsidRPr="00500F13" w:rsidRDefault="009D3BAB" w:rsidP="00F45359">
            <w:pPr>
              <w:rPr>
                <w:rFonts w:asciiTheme="minorHAnsi" w:hAnsiTheme="minorHAnsi"/>
                <w:szCs w:val="22"/>
              </w:rPr>
            </w:pPr>
            <w:r w:rsidRPr="00500F13">
              <w:rPr>
                <w:rFonts w:asciiTheme="minorHAnsi" w:hAnsiTheme="minorHAnsi"/>
                <w:szCs w:val="22"/>
              </w:rPr>
              <w:t>R&amp;I</w:t>
            </w:r>
          </w:p>
        </w:tc>
        <w:tc>
          <w:tcPr>
            <w:tcW w:w="6186" w:type="dxa"/>
          </w:tcPr>
          <w:p w14:paraId="386BE03D" w14:textId="77777777" w:rsidR="009D3BAB" w:rsidRPr="00500F13" w:rsidRDefault="009D3BAB" w:rsidP="00F45359">
            <w:pPr>
              <w:rPr>
                <w:rFonts w:asciiTheme="minorHAnsi" w:hAnsiTheme="minorHAnsi"/>
                <w:szCs w:val="22"/>
              </w:rPr>
            </w:pPr>
            <w:r w:rsidRPr="00500F13">
              <w:rPr>
                <w:rFonts w:asciiTheme="minorHAnsi" w:hAnsiTheme="minorHAnsi"/>
                <w:szCs w:val="22"/>
              </w:rPr>
              <w:t>Research &amp; Innovation</w:t>
            </w:r>
          </w:p>
        </w:tc>
      </w:tr>
      <w:tr w:rsidR="009D3BAB" w14:paraId="0EB5C4A5" w14:textId="77777777" w:rsidTr="00331DD2">
        <w:trPr>
          <w:cantSplit/>
        </w:trPr>
        <w:tc>
          <w:tcPr>
            <w:tcW w:w="2830" w:type="dxa"/>
          </w:tcPr>
          <w:p w14:paraId="46FC15BB" w14:textId="77777777" w:rsidR="009D3BAB" w:rsidRPr="00500F13" w:rsidRDefault="009D3BAB" w:rsidP="00F45359">
            <w:pPr>
              <w:rPr>
                <w:rFonts w:asciiTheme="minorHAnsi" w:hAnsiTheme="minorHAnsi"/>
                <w:szCs w:val="22"/>
              </w:rPr>
            </w:pPr>
            <w:r w:rsidRPr="00500F13">
              <w:rPr>
                <w:rFonts w:asciiTheme="minorHAnsi" w:hAnsiTheme="minorHAnsi"/>
                <w:szCs w:val="22"/>
              </w:rPr>
              <w:t>T&amp;R</w:t>
            </w:r>
          </w:p>
        </w:tc>
        <w:tc>
          <w:tcPr>
            <w:tcW w:w="6186" w:type="dxa"/>
          </w:tcPr>
          <w:p w14:paraId="4FDA8F3C" w14:textId="77777777" w:rsidR="009D3BAB" w:rsidRPr="00500F13" w:rsidRDefault="009D3BAB" w:rsidP="00F45359">
            <w:pPr>
              <w:rPr>
                <w:rFonts w:asciiTheme="minorHAnsi" w:hAnsiTheme="minorHAnsi"/>
                <w:szCs w:val="22"/>
              </w:rPr>
            </w:pPr>
            <w:r w:rsidRPr="00500F13">
              <w:rPr>
                <w:rFonts w:asciiTheme="minorHAnsi" w:hAnsiTheme="minorHAnsi"/>
                <w:szCs w:val="22"/>
              </w:rPr>
              <w:t>Teaching &amp; Scholarship</w:t>
            </w:r>
          </w:p>
        </w:tc>
      </w:tr>
      <w:tr w:rsidR="009D3BAB" w14:paraId="468978A3" w14:textId="77777777" w:rsidTr="00331DD2">
        <w:trPr>
          <w:cantSplit/>
        </w:trPr>
        <w:tc>
          <w:tcPr>
            <w:tcW w:w="2830" w:type="dxa"/>
          </w:tcPr>
          <w:p w14:paraId="6E45AB3B" w14:textId="77777777" w:rsidR="009D3BAB" w:rsidRPr="00500F13" w:rsidRDefault="009D3BAB" w:rsidP="00F45359">
            <w:pPr>
              <w:rPr>
                <w:rFonts w:asciiTheme="minorHAnsi" w:hAnsiTheme="minorHAnsi"/>
                <w:szCs w:val="22"/>
              </w:rPr>
            </w:pPr>
            <w:r w:rsidRPr="00500F13">
              <w:rPr>
                <w:rFonts w:asciiTheme="minorHAnsi" w:hAnsiTheme="minorHAnsi"/>
                <w:szCs w:val="22"/>
              </w:rPr>
              <w:t>T&amp;S</w:t>
            </w:r>
          </w:p>
        </w:tc>
        <w:tc>
          <w:tcPr>
            <w:tcW w:w="6186" w:type="dxa"/>
          </w:tcPr>
          <w:p w14:paraId="01C6E69B" w14:textId="77777777" w:rsidR="009D3BAB" w:rsidRPr="00500F13" w:rsidRDefault="009D3BAB" w:rsidP="00F45359">
            <w:pPr>
              <w:rPr>
                <w:rFonts w:asciiTheme="minorHAnsi" w:hAnsiTheme="minorHAnsi"/>
                <w:szCs w:val="22"/>
              </w:rPr>
            </w:pPr>
            <w:r w:rsidRPr="00500F13">
              <w:rPr>
                <w:rFonts w:asciiTheme="minorHAnsi" w:hAnsiTheme="minorHAnsi"/>
                <w:szCs w:val="22"/>
              </w:rPr>
              <w:t>Teaching &amp; Research</w:t>
            </w:r>
          </w:p>
        </w:tc>
      </w:tr>
    </w:tbl>
    <w:p w14:paraId="22E5E521" w14:textId="77777777" w:rsidR="009D3BAB" w:rsidRDefault="009D3BAB" w:rsidP="009D3BAB"/>
    <w:p w14:paraId="0A64F709" w14:textId="77777777" w:rsidR="00E7421E" w:rsidRDefault="00E7421E" w:rsidP="009D3BAB"/>
    <w:p w14:paraId="7F407427" w14:textId="76EB2D2A" w:rsidR="009D1F13" w:rsidRPr="009D1F13" w:rsidRDefault="009D1F13" w:rsidP="009D1F13">
      <w:pPr>
        <w:pStyle w:val="ListParagraph"/>
        <w:numPr>
          <w:ilvl w:val="1"/>
          <w:numId w:val="12"/>
        </w:numPr>
        <w:rPr>
          <w:color w:val="0B769F"/>
          <w:sz w:val="28"/>
          <w:szCs w:val="32"/>
        </w:rPr>
      </w:pPr>
      <w:r>
        <w:rPr>
          <w:color w:val="0B769F"/>
          <w:sz w:val="28"/>
          <w:szCs w:val="32"/>
        </w:rPr>
        <w:t>Data Presentation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D3BAB" w14:paraId="00BB2EAC" w14:textId="77777777" w:rsidTr="00331DD2">
        <w:trPr>
          <w:cantSplit/>
        </w:trPr>
        <w:tc>
          <w:tcPr>
            <w:tcW w:w="2830" w:type="dxa"/>
          </w:tcPr>
          <w:p w14:paraId="650DE3BB" w14:textId="77777777" w:rsidR="009D3BAB" w:rsidRPr="00500F13" w:rsidRDefault="009D3BAB" w:rsidP="00F45359">
            <w:pPr>
              <w:rPr>
                <w:rFonts w:asciiTheme="minorHAnsi" w:hAnsiTheme="minorHAnsi"/>
                <w:szCs w:val="22"/>
              </w:rPr>
            </w:pPr>
            <w:r>
              <w:rPr>
                <w:rFonts w:asciiTheme="minorHAnsi" w:hAnsiTheme="minorHAnsi"/>
                <w:szCs w:val="22"/>
              </w:rPr>
              <w:t>Data sharing rate</w:t>
            </w:r>
          </w:p>
        </w:tc>
        <w:tc>
          <w:tcPr>
            <w:tcW w:w="6186" w:type="dxa"/>
          </w:tcPr>
          <w:p w14:paraId="60E65E44" w14:textId="3F9E8D6C" w:rsidR="009D3BAB" w:rsidRPr="00500F13" w:rsidRDefault="009D3BAB" w:rsidP="00F45359">
            <w:pPr>
              <w:rPr>
                <w:rFonts w:asciiTheme="minorHAnsi" w:hAnsiTheme="minorHAnsi"/>
                <w:szCs w:val="22"/>
              </w:rPr>
            </w:pPr>
            <w:r>
              <w:rPr>
                <w:rFonts w:asciiTheme="minorHAnsi" w:hAnsiTheme="minorHAnsi"/>
                <w:szCs w:val="22"/>
              </w:rPr>
              <w:t>The proportion of colleagues for whom we have a recorded response to the question, including those who selected the response ‘Prefer not to say’</w:t>
            </w:r>
            <w:r w:rsidR="00557BF0">
              <w:rPr>
                <w:rFonts w:asciiTheme="minorHAnsi" w:hAnsiTheme="minorHAnsi"/>
                <w:szCs w:val="22"/>
              </w:rPr>
              <w:t>, where possible.</w:t>
            </w:r>
          </w:p>
        </w:tc>
      </w:tr>
      <w:tr w:rsidR="009D3BAB" w14:paraId="4BDEFCBF" w14:textId="77777777" w:rsidTr="00331DD2">
        <w:trPr>
          <w:cantSplit/>
        </w:trPr>
        <w:tc>
          <w:tcPr>
            <w:tcW w:w="2830" w:type="dxa"/>
          </w:tcPr>
          <w:p w14:paraId="27FA3967" w14:textId="77777777" w:rsidR="009D3BAB" w:rsidRPr="00500F13" w:rsidRDefault="009D3BAB" w:rsidP="00F45359">
            <w:pPr>
              <w:rPr>
                <w:rFonts w:asciiTheme="minorHAnsi" w:hAnsiTheme="minorHAnsi"/>
                <w:szCs w:val="22"/>
              </w:rPr>
            </w:pPr>
            <w:r>
              <w:rPr>
                <w:rFonts w:asciiTheme="minorHAnsi" w:hAnsiTheme="minorHAnsi"/>
                <w:szCs w:val="22"/>
              </w:rPr>
              <w:t>No response provided</w:t>
            </w:r>
          </w:p>
        </w:tc>
        <w:tc>
          <w:tcPr>
            <w:tcW w:w="6186" w:type="dxa"/>
          </w:tcPr>
          <w:p w14:paraId="4578F1BF" w14:textId="71AC1F99" w:rsidR="009D3BAB" w:rsidRPr="00500F13" w:rsidRDefault="009D3BAB" w:rsidP="00F45359">
            <w:pPr>
              <w:rPr>
                <w:rFonts w:asciiTheme="minorHAnsi" w:hAnsiTheme="minorHAnsi"/>
                <w:szCs w:val="22"/>
              </w:rPr>
            </w:pPr>
            <w:r>
              <w:rPr>
                <w:rFonts w:asciiTheme="minorHAnsi" w:hAnsiTheme="minorHAnsi"/>
                <w:szCs w:val="22"/>
              </w:rPr>
              <w:t xml:space="preserve">Colleagues for whom </w:t>
            </w:r>
            <w:r w:rsidR="00430141">
              <w:rPr>
                <w:rFonts w:asciiTheme="minorHAnsi" w:hAnsiTheme="minorHAnsi"/>
                <w:szCs w:val="22"/>
              </w:rPr>
              <w:t>there is</w:t>
            </w:r>
            <w:r>
              <w:rPr>
                <w:rFonts w:asciiTheme="minorHAnsi" w:hAnsiTheme="minorHAnsi"/>
                <w:szCs w:val="22"/>
              </w:rPr>
              <w:t xml:space="preserve"> no recorded response to the question on their staff record. </w:t>
            </w:r>
          </w:p>
        </w:tc>
      </w:tr>
      <w:tr w:rsidR="009D3BAB" w14:paraId="3E213E07" w14:textId="77777777" w:rsidTr="00331DD2">
        <w:trPr>
          <w:cantSplit/>
        </w:trPr>
        <w:tc>
          <w:tcPr>
            <w:tcW w:w="2830" w:type="dxa"/>
          </w:tcPr>
          <w:p w14:paraId="44931124" w14:textId="77777777" w:rsidR="009D3BAB" w:rsidRPr="004E5754" w:rsidRDefault="009D3BAB" w:rsidP="00F45359">
            <w:pPr>
              <w:rPr>
                <w:rFonts w:asciiTheme="minorHAnsi" w:hAnsiTheme="minorHAnsi"/>
                <w:szCs w:val="22"/>
              </w:rPr>
            </w:pPr>
            <w:r>
              <w:rPr>
                <w:rFonts w:asciiTheme="minorHAnsi" w:hAnsiTheme="minorHAnsi"/>
                <w:szCs w:val="22"/>
              </w:rPr>
              <w:t>Prefer not to say</w:t>
            </w:r>
          </w:p>
        </w:tc>
        <w:tc>
          <w:tcPr>
            <w:tcW w:w="6186" w:type="dxa"/>
          </w:tcPr>
          <w:p w14:paraId="5FFF38E4" w14:textId="77777777" w:rsidR="009D3BAB" w:rsidRDefault="009D3BAB" w:rsidP="00F45359">
            <w:pPr>
              <w:rPr>
                <w:rFonts w:asciiTheme="minorHAnsi" w:hAnsiTheme="minorHAnsi"/>
                <w:szCs w:val="22"/>
              </w:rPr>
            </w:pPr>
            <w:r>
              <w:rPr>
                <w:rFonts w:asciiTheme="minorHAnsi" w:hAnsiTheme="minorHAnsi"/>
                <w:szCs w:val="22"/>
              </w:rPr>
              <w:t xml:space="preserve">‘Prefer not to say’ is included as a report category </w:t>
            </w:r>
            <w:r w:rsidR="00430141">
              <w:rPr>
                <w:rFonts w:asciiTheme="minorHAnsi" w:hAnsiTheme="minorHAnsi"/>
                <w:szCs w:val="22"/>
              </w:rPr>
              <w:t>to represent</w:t>
            </w:r>
            <w:r>
              <w:rPr>
                <w:rFonts w:asciiTheme="minorHAnsi" w:hAnsiTheme="minorHAnsi"/>
                <w:szCs w:val="22"/>
              </w:rPr>
              <w:t xml:space="preserve"> colleagues who chose not to disclose information in their response to the question.</w:t>
            </w:r>
          </w:p>
          <w:p w14:paraId="59055F2E" w14:textId="13A6D9BF" w:rsidR="00430141" w:rsidRPr="00500F13" w:rsidRDefault="00430141" w:rsidP="00F45359">
            <w:pPr>
              <w:rPr>
                <w:rFonts w:asciiTheme="minorHAnsi" w:hAnsiTheme="minorHAnsi"/>
                <w:szCs w:val="22"/>
              </w:rPr>
            </w:pPr>
            <w:r w:rsidRPr="00430141">
              <w:rPr>
                <w:rFonts w:asciiTheme="minorHAnsi" w:hAnsiTheme="minorHAnsi"/>
                <w:szCs w:val="22"/>
              </w:rPr>
              <w:t xml:space="preserve">As part of the university-wide system migration in September 2024, responses marked as “No response provided” and “Prefer not to say” were consolidated under the category “Prefer not to say” across all demographic fields, </w:t>
            </w:r>
            <w:proofErr w:type="gramStart"/>
            <w:r w:rsidRPr="00430141">
              <w:rPr>
                <w:rFonts w:asciiTheme="minorHAnsi" w:hAnsiTheme="minorHAnsi"/>
                <w:szCs w:val="22"/>
              </w:rPr>
              <w:t>with the exception of</w:t>
            </w:r>
            <w:proofErr w:type="gramEnd"/>
            <w:r w:rsidRPr="00430141">
              <w:rPr>
                <w:rFonts w:asciiTheme="minorHAnsi" w:hAnsiTheme="minorHAnsi"/>
                <w:szCs w:val="22"/>
              </w:rPr>
              <w:t xml:space="preserve"> marital status. We acknowledge the limitations of this approach, particularly in terms of data accuracy and representation, and are undertaking internal work to address and improve the accuracy of the data moving forward.</w:t>
            </w:r>
          </w:p>
        </w:tc>
      </w:tr>
      <w:tr w:rsidR="009D3BAB" w14:paraId="103DF1D4" w14:textId="77777777" w:rsidTr="00331DD2">
        <w:trPr>
          <w:cantSplit/>
        </w:trPr>
        <w:tc>
          <w:tcPr>
            <w:tcW w:w="2830" w:type="dxa"/>
          </w:tcPr>
          <w:p w14:paraId="1C5575FA" w14:textId="77777777" w:rsidR="009D3BAB" w:rsidRDefault="009D3BAB" w:rsidP="00F45359">
            <w:pPr>
              <w:rPr>
                <w:rFonts w:asciiTheme="minorHAnsi" w:hAnsiTheme="minorHAnsi"/>
                <w:szCs w:val="22"/>
              </w:rPr>
            </w:pPr>
            <w:r>
              <w:rPr>
                <w:rFonts w:asciiTheme="minorHAnsi" w:hAnsiTheme="minorHAnsi"/>
                <w:szCs w:val="22"/>
              </w:rPr>
              <w:t>&lt;7</w:t>
            </w:r>
          </w:p>
        </w:tc>
        <w:tc>
          <w:tcPr>
            <w:tcW w:w="6186" w:type="dxa"/>
          </w:tcPr>
          <w:p w14:paraId="159BACB9" w14:textId="77777777" w:rsidR="009D3BAB" w:rsidRDefault="009D3BAB" w:rsidP="00F45359">
            <w:pPr>
              <w:rPr>
                <w:rFonts w:asciiTheme="minorHAnsi" w:hAnsiTheme="minorHAnsi"/>
                <w:szCs w:val="22"/>
              </w:rPr>
            </w:pPr>
            <w:r>
              <w:rPr>
                <w:rFonts w:asciiTheme="minorHAnsi" w:hAnsiTheme="minorHAnsi"/>
                <w:szCs w:val="22"/>
              </w:rPr>
              <w:t xml:space="preserve">There are fewer than seven individuals within a report category for a question and the data is therefore suppressed to prevent over-interpretation of small numbers and to protect colleagues’ anonymity. </w:t>
            </w:r>
          </w:p>
        </w:tc>
      </w:tr>
      <w:tr w:rsidR="009D3BAB" w14:paraId="13C6B7C2" w14:textId="77777777" w:rsidTr="00331DD2">
        <w:trPr>
          <w:cantSplit/>
        </w:trPr>
        <w:tc>
          <w:tcPr>
            <w:tcW w:w="2830" w:type="dxa"/>
          </w:tcPr>
          <w:p w14:paraId="33730378" w14:textId="77777777" w:rsidR="009D3BAB" w:rsidRPr="00500F13" w:rsidRDefault="009D3BAB" w:rsidP="00F45359">
            <w:pPr>
              <w:rPr>
                <w:rFonts w:asciiTheme="minorHAnsi" w:hAnsiTheme="minorHAnsi"/>
                <w:szCs w:val="22"/>
              </w:rPr>
            </w:pPr>
            <w:r>
              <w:rPr>
                <w:rFonts w:asciiTheme="minorHAnsi" w:hAnsiTheme="minorHAnsi"/>
                <w:szCs w:val="22"/>
              </w:rPr>
              <w:t xml:space="preserve">- </w:t>
            </w:r>
          </w:p>
        </w:tc>
        <w:tc>
          <w:tcPr>
            <w:tcW w:w="6186" w:type="dxa"/>
          </w:tcPr>
          <w:p w14:paraId="5E58E7F0" w14:textId="77777777" w:rsidR="009D3BAB" w:rsidRPr="00500F13" w:rsidRDefault="009D3BAB" w:rsidP="00F45359">
            <w:pPr>
              <w:rPr>
                <w:rFonts w:asciiTheme="minorHAnsi" w:hAnsiTheme="minorHAnsi"/>
                <w:szCs w:val="22"/>
              </w:rPr>
            </w:pPr>
            <w:r>
              <w:rPr>
                <w:rFonts w:asciiTheme="minorHAnsi" w:hAnsiTheme="minorHAnsi"/>
                <w:szCs w:val="22"/>
              </w:rPr>
              <w:t xml:space="preserve">Where there are fewer than seven individuals within a report category for a question and the data has been suppressed, the percentage is also suppressed to prevent over-interpretation of small numbers and to protect colleagues’ anonymity. </w:t>
            </w:r>
          </w:p>
        </w:tc>
      </w:tr>
      <w:tr w:rsidR="009D3BAB" w14:paraId="0DBB842F" w14:textId="77777777" w:rsidTr="00331DD2">
        <w:trPr>
          <w:cantSplit/>
        </w:trPr>
        <w:tc>
          <w:tcPr>
            <w:tcW w:w="2830" w:type="dxa"/>
          </w:tcPr>
          <w:p w14:paraId="49845196" w14:textId="77777777" w:rsidR="009D3BAB" w:rsidRDefault="009D3BAB" w:rsidP="00F45359">
            <w:pPr>
              <w:rPr>
                <w:rFonts w:asciiTheme="minorHAnsi" w:hAnsiTheme="minorHAnsi"/>
                <w:szCs w:val="22"/>
              </w:rPr>
            </w:pPr>
            <w:r>
              <w:rPr>
                <w:rFonts w:asciiTheme="minorHAnsi" w:hAnsiTheme="minorHAnsi"/>
                <w:szCs w:val="22"/>
              </w:rPr>
              <w:t>&gt;7 but &lt;22.5</w:t>
            </w:r>
          </w:p>
        </w:tc>
        <w:tc>
          <w:tcPr>
            <w:tcW w:w="6186" w:type="dxa"/>
          </w:tcPr>
          <w:p w14:paraId="743AC599" w14:textId="4B81BA39" w:rsidR="009D3BAB" w:rsidRDefault="009D3BAB" w:rsidP="00F45359">
            <w:pPr>
              <w:rPr>
                <w:rFonts w:asciiTheme="minorHAnsi" w:hAnsiTheme="minorHAnsi"/>
                <w:szCs w:val="22"/>
              </w:rPr>
            </w:pPr>
            <w:r>
              <w:rPr>
                <w:rFonts w:asciiTheme="minorHAnsi" w:hAnsiTheme="minorHAnsi"/>
                <w:szCs w:val="22"/>
              </w:rPr>
              <w:t xml:space="preserve">Data is shared where the population is </w:t>
            </w:r>
            <w:r w:rsidR="00547AF8">
              <w:rPr>
                <w:rFonts w:asciiTheme="minorHAnsi" w:hAnsiTheme="minorHAnsi"/>
                <w:szCs w:val="22"/>
              </w:rPr>
              <w:t>≥</w:t>
            </w:r>
            <w:r>
              <w:rPr>
                <w:rFonts w:asciiTheme="minorHAnsi" w:hAnsiTheme="minorHAnsi"/>
                <w:szCs w:val="22"/>
              </w:rPr>
              <w:t xml:space="preserve">7 but &lt;22.5, however data within this range should be interpreted with caution due to small numbers. </w:t>
            </w:r>
          </w:p>
        </w:tc>
      </w:tr>
      <w:tr w:rsidR="009D3BAB" w14:paraId="5D4BB62A" w14:textId="77777777" w:rsidTr="00331DD2">
        <w:trPr>
          <w:cantSplit/>
        </w:trPr>
        <w:tc>
          <w:tcPr>
            <w:tcW w:w="2830" w:type="dxa"/>
          </w:tcPr>
          <w:p w14:paraId="6DCAAD74" w14:textId="77777777" w:rsidR="009D3BAB" w:rsidRPr="00500F13" w:rsidRDefault="009D3BAB" w:rsidP="00F45359">
            <w:pPr>
              <w:rPr>
                <w:rFonts w:asciiTheme="minorHAnsi" w:hAnsiTheme="minorHAnsi"/>
                <w:szCs w:val="22"/>
              </w:rPr>
            </w:pPr>
            <w:r>
              <w:rPr>
                <w:rFonts w:asciiTheme="minorHAnsi" w:hAnsiTheme="minorHAnsi"/>
                <w:szCs w:val="22"/>
              </w:rPr>
              <w:t>N</w:t>
            </w:r>
          </w:p>
        </w:tc>
        <w:tc>
          <w:tcPr>
            <w:tcW w:w="6186" w:type="dxa"/>
          </w:tcPr>
          <w:p w14:paraId="136D25B1" w14:textId="77777777" w:rsidR="009D3BAB" w:rsidRPr="00500F13" w:rsidRDefault="009D3BAB" w:rsidP="00F45359">
            <w:pPr>
              <w:rPr>
                <w:rFonts w:asciiTheme="minorHAnsi" w:hAnsiTheme="minorHAnsi"/>
                <w:szCs w:val="22"/>
              </w:rPr>
            </w:pPr>
            <w:r>
              <w:rPr>
                <w:rFonts w:asciiTheme="minorHAnsi" w:hAnsiTheme="minorHAnsi"/>
                <w:szCs w:val="22"/>
              </w:rPr>
              <w:t xml:space="preserve">Total workforce </w:t>
            </w:r>
          </w:p>
        </w:tc>
      </w:tr>
      <w:tr w:rsidR="009D3BAB" w14:paraId="5167A84E" w14:textId="77777777" w:rsidTr="00331DD2">
        <w:trPr>
          <w:cantSplit/>
        </w:trPr>
        <w:tc>
          <w:tcPr>
            <w:tcW w:w="2830" w:type="dxa"/>
          </w:tcPr>
          <w:p w14:paraId="3C98524F" w14:textId="77777777" w:rsidR="009D3BAB" w:rsidRPr="00500F13" w:rsidRDefault="009D3BAB" w:rsidP="00F45359">
            <w:pPr>
              <w:rPr>
                <w:rFonts w:asciiTheme="minorHAnsi" w:hAnsiTheme="minorHAnsi"/>
                <w:szCs w:val="22"/>
              </w:rPr>
            </w:pPr>
            <w:r>
              <w:rPr>
                <w:rFonts w:asciiTheme="minorHAnsi" w:hAnsiTheme="minorHAnsi"/>
                <w:szCs w:val="22"/>
              </w:rPr>
              <w:t>n</w:t>
            </w:r>
          </w:p>
        </w:tc>
        <w:tc>
          <w:tcPr>
            <w:tcW w:w="6186" w:type="dxa"/>
          </w:tcPr>
          <w:p w14:paraId="3A9A6D80" w14:textId="77777777" w:rsidR="009D3BAB" w:rsidRPr="00500F13" w:rsidRDefault="009D3BAB" w:rsidP="00F45359">
            <w:pPr>
              <w:rPr>
                <w:rFonts w:asciiTheme="minorHAnsi" w:hAnsiTheme="minorHAnsi"/>
                <w:szCs w:val="22"/>
              </w:rPr>
            </w:pPr>
            <w:r>
              <w:rPr>
                <w:rFonts w:asciiTheme="minorHAnsi" w:hAnsiTheme="minorHAnsi"/>
                <w:szCs w:val="22"/>
              </w:rPr>
              <w:t>Sample size of the workforce</w:t>
            </w:r>
          </w:p>
        </w:tc>
      </w:tr>
      <w:tr w:rsidR="009D3BAB" w14:paraId="24AD7D29" w14:textId="77777777" w:rsidTr="00331DD2">
        <w:trPr>
          <w:cantSplit/>
        </w:trPr>
        <w:tc>
          <w:tcPr>
            <w:tcW w:w="2830" w:type="dxa"/>
          </w:tcPr>
          <w:p w14:paraId="10B0AC41" w14:textId="77777777" w:rsidR="009D3BAB" w:rsidRPr="00500F13" w:rsidRDefault="009D3BAB" w:rsidP="00F45359">
            <w:pPr>
              <w:rPr>
                <w:rFonts w:asciiTheme="minorHAnsi" w:hAnsiTheme="minorHAnsi"/>
                <w:szCs w:val="22"/>
              </w:rPr>
            </w:pPr>
            <w:r>
              <w:rPr>
                <w:rFonts w:asciiTheme="minorHAnsi" w:hAnsiTheme="minorHAnsi"/>
                <w:szCs w:val="22"/>
              </w:rPr>
              <w:lastRenderedPageBreak/>
              <w:t>%→</w:t>
            </w:r>
          </w:p>
        </w:tc>
        <w:tc>
          <w:tcPr>
            <w:tcW w:w="6186" w:type="dxa"/>
          </w:tcPr>
          <w:p w14:paraId="64CCED03" w14:textId="77777777" w:rsidR="009D3BAB" w:rsidRPr="00500F13" w:rsidRDefault="009D3BAB" w:rsidP="00F45359">
            <w:pPr>
              <w:rPr>
                <w:rFonts w:asciiTheme="minorHAnsi" w:hAnsiTheme="minorHAnsi"/>
                <w:szCs w:val="22"/>
              </w:rPr>
            </w:pPr>
            <w:r>
              <w:rPr>
                <w:rFonts w:asciiTheme="minorHAnsi" w:hAnsiTheme="minorHAnsi"/>
                <w:szCs w:val="22"/>
              </w:rPr>
              <w:t>Percentage based on total row</w:t>
            </w:r>
          </w:p>
        </w:tc>
      </w:tr>
      <w:tr w:rsidR="009D3BAB" w14:paraId="2EC5481C" w14:textId="77777777" w:rsidTr="00331DD2">
        <w:trPr>
          <w:cantSplit/>
        </w:trPr>
        <w:tc>
          <w:tcPr>
            <w:tcW w:w="2830" w:type="dxa"/>
          </w:tcPr>
          <w:p w14:paraId="2EA7450B" w14:textId="77777777" w:rsidR="009D3BAB" w:rsidRPr="00500F13" w:rsidRDefault="009D3BAB" w:rsidP="00F45359">
            <w:pPr>
              <w:rPr>
                <w:rFonts w:asciiTheme="minorHAnsi" w:hAnsiTheme="minorHAnsi"/>
                <w:szCs w:val="22"/>
              </w:rPr>
            </w:pPr>
            <w:r>
              <w:rPr>
                <w:rFonts w:asciiTheme="minorHAnsi" w:hAnsiTheme="minorHAnsi"/>
                <w:szCs w:val="22"/>
              </w:rPr>
              <w:t>%↓</w:t>
            </w:r>
          </w:p>
        </w:tc>
        <w:tc>
          <w:tcPr>
            <w:tcW w:w="6186" w:type="dxa"/>
          </w:tcPr>
          <w:p w14:paraId="621084D8" w14:textId="77777777" w:rsidR="009D3BAB" w:rsidRPr="00500F13" w:rsidRDefault="009D3BAB" w:rsidP="00F45359">
            <w:pPr>
              <w:rPr>
                <w:rFonts w:asciiTheme="minorHAnsi" w:hAnsiTheme="minorHAnsi"/>
                <w:szCs w:val="22"/>
              </w:rPr>
            </w:pPr>
            <w:r>
              <w:rPr>
                <w:rFonts w:asciiTheme="minorHAnsi" w:hAnsiTheme="minorHAnsi"/>
                <w:szCs w:val="22"/>
              </w:rPr>
              <w:t>Percentage based on total column</w:t>
            </w:r>
          </w:p>
        </w:tc>
      </w:tr>
    </w:tbl>
    <w:p w14:paraId="62B78B5E" w14:textId="77777777" w:rsidR="009D1F13" w:rsidRDefault="009D1F13" w:rsidP="009D1F13">
      <w:pPr>
        <w:rPr>
          <w:color w:val="0B769F"/>
          <w:sz w:val="28"/>
          <w:szCs w:val="32"/>
        </w:rPr>
      </w:pPr>
    </w:p>
    <w:p w14:paraId="02DA8E7C" w14:textId="77777777" w:rsidR="00E7421E" w:rsidRPr="009D1F13" w:rsidRDefault="00E7421E" w:rsidP="009D1F13">
      <w:pPr>
        <w:rPr>
          <w:color w:val="0B769F"/>
          <w:sz w:val="28"/>
          <w:szCs w:val="32"/>
        </w:rPr>
      </w:pPr>
    </w:p>
    <w:p w14:paraId="2053DF18" w14:textId="1AA5B904" w:rsidR="007D3FDE" w:rsidRPr="009D1F13" w:rsidRDefault="009D1F13" w:rsidP="009D3BAB">
      <w:pPr>
        <w:pStyle w:val="ListParagraph"/>
        <w:numPr>
          <w:ilvl w:val="1"/>
          <w:numId w:val="12"/>
        </w:numPr>
        <w:rPr>
          <w:color w:val="0B769F"/>
          <w:sz w:val="28"/>
          <w:szCs w:val="32"/>
        </w:rPr>
      </w:pPr>
      <w:r>
        <w:rPr>
          <w:color w:val="0B769F"/>
          <w:sz w:val="28"/>
          <w:szCs w:val="32"/>
        </w:rPr>
        <w:t>Pay Gap Reporting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404A75" w:rsidRPr="00500F13" w14:paraId="392D95DD" w14:textId="77777777" w:rsidTr="00A8337D">
        <w:trPr>
          <w:cantSplit/>
        </w:trPr>
        <w:tc>
          <w:tcPr>
            <w:tcW w:w="2830" w:type="dxa"/>
          </w:tcPr>
          <w:p w14:paraId="2F71D961" w14:textId="403D9868" w:rsidR="00404A75" w:rsidRDefault="00404A75">
            <w:pPr>
              <w:rPr>
                <w:rFonts w:asciiTheme="minorHAnsi" w:hAnsiTheme="minorHAnsi"/>
                <w:szCs w:val="22"/>
              </w:rPr>
            </w:pPr>
            <w:r>
              <w:rPr>
                <w:rFonts w:asciiTheme="minorHAnsi" w:hAnsiTheme="minorHAnsi"/>
                <w:szCs w:val="22"/>
              </w:rPr>
              <w:t>Pay gap</w:t>
            </w:r>
          </w:p>
        </w:tc>
        <w:tc>
          <w:tcPr>
            <w:tcW w:w="6186" w:type="dxa"/>
          </w:tcPr>
          <w:p w14:paraId="3DAD3741" w14:textId="301600DF" w:rsidR="00404A75" w:rsidRDefault="00082F48">
            <w:pPr>
              <w:rPr>
                <w:rFonts w:asciiTheme="minorHAnsi" w:hAnsiTheme="minorHAnsi"/>
                <w:szCs w:val="22"/>
              </w:rPr>
            </w:pPr>
            <w:r>
              <w:rPr>
                <w:rFonts w:asciiTheme="minorHAnsi" w:hAnsiTheme="minorHAnsi"/>
                <w:szCs w:val="22"/>
              </w:rPr>
              <w:t>Comparison of the basic hourly pay of all employees inclusive of cash payments and allowances, allowing a direct comparison of part-time and full-time earners, paid in the relevant pay period</w:t>
            </w:r>
          </w:p>
        </w:tc>
      </w:tr>
      <w:tr w:rsidR="00404A75" w:rsidRPr="00500F13" w14:paraId="1EB0E76E" w14:textId="77777777" w:rsidTr="00A8337D">
        <w:trPr>
          <w:cantSplit/>
        </w:trPr>
        <w:tc>
          <w:tcPr>
            <w:tcW w:w="2830" w:type="dxa"/>
          </w:tcPr>
          <w:p w14:paraId="0CAB4713" w14:textId="41D8D2E1" w:rsidR="00404A75" w:rsidRDefault="00404A75">
            <w:pPr>
              <w:rPr>
                <w:rFonts w:asciiTheme="minorHAnsi" w:hAnsiTheme="minorHAnsi"/>
                <w:szCs w:val="22"/>
              </w:rPr>
            </w:pPr>
            <w:r>
              <w:rPr>
                <w:rFonts w:asciiTheme="minorHAnsi" w:hAnsiTheme="minorHAnsi"/>
                <w:szCs w:val="22"/>
              </w:rPr>
              <w:t>Bonus pay gap</w:t>
            </w:r>
          </w:p>
        </w:tc>
        <w:tc>
          <w:tcPr>
            <w:tcW w:w="6186" w:type="dxa"/>
          </w:tcPr>
          <w:p w14:paraId="21D25FC6" w14:textId="122C23CA" w:rsidR="00404A75" w:rsidRDefault="00785C34">
            <w:pPr>
              <w:rPr>
                <w:rFonts w:asciiTheme="minorHAnsi" w:hAnsiTheme="minorHAnsi"/>
                <w:szCs w:val="22"/>
              </w:rPr>
            </w:pPr>
            <w:r>
              <w:rPr>
                <w:rFonts w:asciiTheme="minorHAnsi" w:hAnsiTheme="minorHAnsi"/>
                <w:szCs w:val="22"/>
              </w:rPr>
              <w:t>The difference in actual bonus pay paid in the previous 12 months before the snapshot date</w:t>
            </w:r>
            <w:r w:rsidR="00B26BB3">
              <w:rPr>
                <w:rFonts w:asciiTheme="minorHAnsi" w:hAnsiTheme="minorHAnsi"/>
                <w:szCs w:val="22"/>
              </w:rPr>
              <w:t xml:space="preserve"> where ‘bonus pay’ is any remuneration relating to profit-sharing, productivity, performance, incentive or commission, whether in the form of money, vouchers, securities, securities options or interests in securities</w:t>
            </w:r>
          </w:p>
        </w:tc>
      </w:tr>
      <w:tr w:rsidR="008E6C38" w:rsidRPr="00500F13" w14:paraId="7DB5D1C5" w14:textId="77777777" w:rsidTr="00A8337D">
        <w:trPr>
          <w:cantSplit/>
        </w:trPr>
        <w:tc>
          <w:tcPr>
            <w:tcW w:w="2830" w:type="dxa"/>
          </w:tcPr>
          <w:p w14:paraId="762EF5D9" w14:textId="28CDF084" w:rsidR="008E6C38" w:rsidRPr="00500F13" w:rsidRDefault="0078640C">
            <w:pPr>
              <w:rPr>
                <w:rFonts w:asciiTheme="minorHAnsi" w:hAnsiTheme="minorHAnsi"/>
                <w:szCs w:val="22"/>
              </w:rPr>
            </w:pPr>
            <w:r>
              <w:rPr>
                <w:rFonts w:asciiTheme="minorHAnsi" w:hAnsiTheme="minorHAnsi"/>
                <w:szCs w:val="22"/>
              </w:rPr>
              <w:t>Mean</w:t>
            </w:r>
          </w:p>
        </w:tc>
        <w:tc>
          <w:tcPr>
            <w:tcW w:w="6186" w:type="dxa"/>
          </w:tcPr>
          <w:p w14:paraId="029A8A3C" w14:textId="72947065" w:rsidR="008E6C38" w:rsidRPr="00500F13" w:rsidRDefault="008E6C38">
            <w:pPr>
              <w:rPr>
                <w:rFonts w:asciiTheme="minorHAnsi" w:hAnsiTheme="minorHAnsi"/>
                <w:szCs w:val="22"/>
              </w:rPr>
            </w:pPr>
            <w:r>
              <w:rPr>
                <w:rFonts w:asciiTheme="minorHAnsi" w:hAnsiTheme="minorHAnsi"/>
                <w:szCs w:val="22"/>
              </w:rPr>
              <w:t>The average number of a set of data</w:t>
            </w:r>
          </w:p>
        </w:tc>
      </w:tr>
      <w:tr w:rsidR="008E6C38" w:rsidRPr="00500F13" w14:paraId="03FA2015" w14:textId="77777777" w:rsidTr="00A8337D">
        <w:trPr>
          <w:cantSplit/>
        </w:trPr>
        <w:tc>
          <w:tcPr>
            <w:tcW w:w="2830" w:type="dxa"/>
          </w:tcPr>
          <w:p w14:paraId="433D78B1" w14:textId="7EF23F01" w:rsidR="008E6C38" w:rsidRPr="00500F13" w:rsidRDefault="0078640C">
            <w:pPr>
              <w:rPr>
                <w:rFonts w:asciiTheme="minorHAnsi" w:hAnsiTheme="minorHAnsi"/>
                <w:szCs w:val="22"/>
              </w:rPr>
            </w:pPr>
            <w:r>
              <w:rPr>
                <w:rFonts w:asciiTheme="minorHAnsi" w:hAnsiTheme="minorHAnsi"/>
                <w:szCs w:val="22"/>
              </w:rPr>
              <w:t>Median</w:t>
            </w:r>
            <w:r w:rsidR="008E6C38">
              <w:rPr>
                <w:rFonts w:asciiTheme="minorHAnsi" w:hAnsiTheme="minorHAnsi"/>
                <w:szCs w:val="22"/>
              </w:rPr>
              <w:t xml:space="preserve"> </w:t>
            </w:r>
          </w:p>
        </w:tc>
        <w:tc>
          <w:tcPr>
            <w:tcW w:w="6186" w:type="dxa"/>
          </w:tcPr>
          <w:p w14:paraId="284BEE1A" w14:textId="06A9EE53" w:rsidR="008E6C38" w:rsidRPr="00500F13" w:rsidRDefault="008E6C38">
            <w:pPr>
              <w:rPr>
                <w:rFonts w:asciiTheme="minorHAnsi" w:hAnsiTheme="minorHAnsi"/>
                <w:szCs w:val="22"/>
              </w:rPr>
            </w:pPr>
            <w:r>
              <w:rPr>
                <w:rFonts w:asciiTheme="minorHAnsi" w:hAnsiTheme="minorHAnsi"/>
                <w:szCs w:val="22"/>
              </w:rPr>
              <w:t>The value lying at the midpoint of a distribution of values</w:t>
            </w:r>
          </w:p>
        </w:tc>
      </w:tr>
      <w:tr w:rsidR="0078640C" w:rsidRPr="00500F13" w14:paraId="76332687" w14:textId="77777777" w:rsidTr="00A8337D">
        <w:trPr>
          <w:cantSplit/>
        </w:trPr>
        <w:tc>
          <w:tcPr>
            <w:tcW w:w="2830" w:type="dxa"/>
          </w:tcPr>
          <w:p w14:paraId="54347FF5" w14:textId="252E75A8" w:rsidR="0078640C" w:rsidRDefault="0078640C">
            <w:pPr>
              <w:rPr>
                <w:rFonts w:asciiTheme="minorHAnsi" w:hAnsiTheme="minorHAnsi"/>
                <w:szCs w:val="22"/>
              </w:rPr>
            </w:pPr>
            <w:r>
              <w:rPr>
                <w:rFonts w:asciiTheme="minorHAnsi" w:hAnsiTheme="minorHAnsi"/>
                <w:szCs w:val="22"/>
              </w:rPr>
              <w:t>Pay quartile</w:t>
            </w:r>
          </w:p>
        </w:tc>
        <w:tc>
          <w:tcPr>
            <w:tcW w:w="6186" w:type="dxa"/>
          </w:tcPr>
          <w:p w14:paraId="7D1DAAEC" w14:textId="6C5CA566" w:rsidR="0078640C" w:rsidRDefault="00EB1AB7">
            <w:pPr>
              <w:rPr>
                <w:rFonts w:asciiTheme="minorHAnsi" w:hAnsiTheme="minorHAnsi"/>
                <w:szCs w:val="22"/>
              </w:rPr>
            </w:pPr>
            <w:r>
              <w:rPr>
                <w:rFonts w:asciiTheme="minorHAnsi" w:hAnsiTheme="minorHAnsi"/>
                <w:szCs w:val="22"/>
              </w:rPr>
              <w:t>Pay quartiles are a statutory requirement in which employees are ranked from highest hourly rate to lowest hourly rate and then divided into four quartiles</w:t>
            </w:r>
            <w:r w:rsidR="00654A2B">
              <w:rPr>
                <w:rFonts w:asciiTheme="minorHAnsi" w:hAnsiTheme="minorHAnsi"/>
                <w:szCs w:val="22"/>
              </w:rPr>
              <w:t>, each containing 25% of full-pay relevant employees</w:t>
            </w:r>
          </w:p>
        </w:tc>
      </w:tr>
      <w:tr w:rsidR="006B4035" w:rsidRPr="00500F13" w14:paraId="562400B0" w14:textId="77777777" w:rsidTr="00A8337D">
        <w:trPr>
          <w:cantSplit/>
        </w:trPr>
        <w:tc>
          <w:tcPr>
            <w:tcW w:w="2830" w:type="dxa"/>
          </w:tcPr>
          <w:p w14:paraId="2AA8E32B" w14:textId="4B91766F" w:rsidR="006B4035" w:rsidRDefault="006B4035">
            <w:pPr>
              <w:rPr>
                <w:rFonts w:asciiTheme="minorHAnsi" w:hAnsiTheme="minorHAnsi"/>
                <w:szCs w:val="22"/>
              </w:rPr>
            </w:pPr>
            <w:r>
              <w:rPr>
                <w:rFonts w:asciiTheme="minorHAnsi" w:hAnsiTheme="minorHAnsi"/>
                <w:szCs w:val="22"/>
              </w:rPr>
              <w:t>Upper quartile</w:t>
            </w:r>
          </w:p>
        </w:tc>
        <w:tc>
          <w:tcPr>
            <w:tcW w:w="6186" w:type="dxa"/>
          </w:tcPr>
          <w:p w14:paraId="2C1FAC5C" w14:textId="2AFA03DC" w:rsidR="006B4035" w:rsidRDefault="006B4035">
            <w:pPr>
              <w:rPr>
                <w:rFonts w:asciiTheme="minorHAnsi" w:hAnsiTheme="minorHAnsi"/>
                <w:szCs w:val="22"/>
              </w:rPr>
            </w:pPr>
            <w:r>
              <w:rPr>
                <w:rFonts w:asciiTheme="minorHAnsi" w:hAnsiTheme="minorHAnsi"/>
                <w:szCs w:val="22"/>
              </w:rPr>
              <w:t>The highest earning 25% of employees</w:t>
            </w:r>
          </w:p>
        </w:tc>
      </w:tr>
      <w:tr w:rsidR="006B4035" w:rsidRPr="00500F13" w14:paraId="60B026E4" w14:textId="77777777" w:rsidTr="00A8337D">
        <w:trPr>
          <w:cantSplit/>
        </w:trPr>
        <w:tc>
          <w:tcPr>
            <w:tcW w:w="2830" w:type="dxa"/>
          </w:tcPr>
          <w:p w14:paraId="578391DF" w14:textId="03486BF8" w:rsidR="006B4035" w:rsidRDefault="006B4035">
            <w:pPr>
              <w:rPr>
                <w:rFonts w:asciiTheme="minorHAnsi" w:hAnsiTheme="minorHAnsi"/>
                <w:szCs w:val="22"/>
              </w:rPr>
            </w:pPr>
            <w:r>
              <w:rPr>
                <w:rFonts w:asciiTheme="minorHAnsi" w:hAnsiTheme="minorHAnsi"/>
                <w:szCs w:val="22"/>
              </w:rPr>
              <w:t>Upper middle quartile</w:t>
            </w:r>
          </w:p>
        </w:tc>
        <w:tc>
          <w:tcPr>
            <w:tcW w:w="6186" w:type="dxa"/>
          </w:tcPr>
          <w:p w14:paraId="6D7FF392" w14:textId="4696F63F" w:rsidR="006B4035" w:rsidRDefault="006B4035">
            <w:pPr>
              <w:rPr>
                <w:rFonts w:asciiTheme="minorHAnsi" w:hAnsiTheme="minorHAnsi"/>
                <w:szCs w:val="22"/>
              </w:rPr>
            </w:pPr>
            <w:r>
              <w:rPr>
                <w:rFonts w:asciiTheme="minorHAnsi" w:hAnsiTheme="minorHAnsi"/>
                <w:szCs w:val="22"/>
              </w:rPr>
              <w:t>The second highest earning 25% of employees</w:t>
            </w:r>
          </w:p>
        </w:tc>
      </w:tr>
      <w:tr w:rsidR="006B4035" w:rsidRPr="00500F13" w14:paraId="14AD93C9" w14:textId="77777777" w:rsidTr="00A8337D">
        <w:trPr>
          <w:cantSplit/>
        </w:trPr>
        <w:tc>
          <w:tcPr>
            <w:tcW w:w="2830" w:type="dxa"/>
          </w:tcPr>
          <w:p w14:paraId="289E4AEB" w14:textId="5DC4B5DE" w:rsidR="006B4035" w:rsidRDefault="006B4035">
            <w:pPr>
              <w:rPr>
                <w:rFonts w:asciiTheme="minorHAnsi" w:hAnsiTheme="minorHAnsi"/>
                <w:szCs w:val="22"/>
              </w:rPr>
            </w:pPr>
            <w:r>
              <w:rPr>
                <w:rFonts w:asciiTheme="minorHAnsi" w:hAnsiTheme="minorHAnsi"/>
                <w:szCs w:val="22"/>
              </w:rPr>
              <w:t>Lower middle quartile</w:t>
            </w:r>
          </w:p>
        </w:tc>
        <w:tc>
          <w:tcPr>
            <w:tcW w:w="6186" w:type="dxa"/>
          </w:tcPr>
          <w:p w14:paraId="5BACF130" w14:textId="39117E0A" w:rsidR="006B4035" w:rsidRDefault="006B4035">
            <w:pPr>
              <w:rPr>
                <w:rFonts w:asciiTheme="minorHAnsi" w:hAnsiTheme="minorHAnsi"/>
                <w:szCs w:val="22"/>
              </w:rPr>
            </w:pPr>
            <w:r>
              <w:rPr>
                <w:rFonts w:asciiTheme="minorHAnsi" w:hAnsiTheme="minorHAnsi"/>
                <w:szCs w:val="22"/>
              </w:rPr>
              <w:t>The second lowest earning 25% of employees</w:t>
            </w:r>
          </w:p>
        </w:tc>
      </w:tr>
      <w:tr w:rsidR="006B4035" w:rsidRPr="00500F13" w14:paraId="40E37F13" w14:textId="77777777" w:rsidTr="00A8337D">
        <w:trPr>
          <w:cantSplit/>
        </w:trPr>
        <w:tc>
          <w:tcPr>
            <w:tcW w:w="2830" w:type="dxa"/>
          </w:tcPr>
          <w:p w14:paraId="6A2F96C8" w14:textId="511B36D1" w:rsidR="006B4035" w:rsidRDefault="006B4035">
            <w:pPr>
              <w:rPr>
                <w:rFonts w:asciiTheme="minorHAnsi" w:hAnsiTheme="minorHAnsi"/>
                <w:szCs w:val="22"/>
              </w:rPr>
            </w:pPr>
            <w:r>
              <w:rPr>
                <w:rFonts w:asciiTheme="minorHAnsi" w:hAnsiTheme="minorHAnsi"/>
                <w:szCs w:val="22"/>
              </w:rPr>
              <w:t>Lower quartile</w:t>
            </w:r>
          </w:p>
        </w:tc>
        <w:tc>
          <w:tcPr>
            <w:tcW w:w="6186" w:type="dxa"/>
          </w:tcPr>
          <w:p w14:paraId="3EB856B7" w14:textId="72606A96" w:rsidR="006B4035" w:rsidRDefault="006B4035">
            <w:pPr>
              <w:rPr>
                <w:rFonts w:asciiTheme="minorHAnsi" w:hAnsiTheme="minorHAnsi"/>
                <w:szCs w:val="22"/>
              </w:rPr>
            </w:pPr>
            <w:r>
              <w:rPr>
                <w:rFonts w:asciiTheme="minorHAnsi" w:hAnsiTheme="minorHAnsi"/>
                <w:szCs w:val="22"/>
              </w:rPr>
              <w:t>The lowest earning 25% of employees</w:t>
            </w:r>
          </w:p>
        </w:tc>
      </w:tr>
      <w:tr w:rsidR="00143025" w:rsidRPr="00500F13" w14:paraId="09B5323E" w14:textId="77777777" w:rsidTr="00A8337D">
        <w:trPr>
          <w:cantSplit/>
        </w:trPr>
        <w:tc>
          <w:tcPr>
            <w:tcW w:w="2830" w:type="dxa"/>
          </w:tcPr>
          <w:p w14:paraId="6149D3AC" w14:textId="0C40FC1E" w:rsidR="00143025" w:rsidRDefault="008C64A0">
            <w:pPr>
              <w:rPr>
                <w:rFonts w:asciiTheme="minorHAnsi" w:hAnsiTheme="minorHAnsi"/>
                <w:szCs w:val="22"/>
              </w:rPr>
            </w:pPr>
            <w:r>
              <w:rPr>
                <w:rFonts w:asciiTheme="minorHAnsi" w:hAnsiTheme="minorHAnsi"/>
                <w:szCs w:val="22"/>
              </w:rPr>
              <w:t>National Clinical Impact Awards (NCIA)</w:t>
            </w:r>
          </w:p>
        </w:tc>
        <w:tc>
          <w:tcPr>
            <w:tcW w:w="6186" w:type="dxa"/>
          </w:tcPr>
          <w:p w14:paraId="684A6944" w14:textId="42FAF90F" w:rsidR="008E3B20" w:rsidRDefault="008E6644" w:rsidP="008E3B20">
            <w:pPr>
              <w:rPr>
                <w:rFonts w:asciiTheme="minorHAnsi" w:hAnsiTheme="minorHAnsi"/>
                <w:szCs w:val="22"/>
              </w:rPr>
            </w:pPr>
            <w:r>
              <w:rPr>
                <w:rFonts w:asciiTheme="minorHAnsi" w:hAnsiTheme="minorHAnsi"/>
                <w:szCs w:val="22"/>
              </w:rPr>
              <w:t>A UK awards scheme recognising NHS and university clinical staff for delivering national impact th</w:t>
            </w:r>
            <w:r w:rsidR="008E3B20">
              <w:rPr>
                <w:rFonts w:asciiTheme="minorHAnsi" w:hAnsiTheme="minorHAnsi"/>
                <w:szCs w:val="22"/>
              </w:rPr>
              <w:t>rough patient care, services, academic medicine and research, formerly Clinical Excellence Awards (CEA)</w:t>
            </w:r>
          </w:p>
        </w:tc>
      </w:tr>
    </w:tbl>
    <w:p w14:paraId="364FB8F7" w14:textId="77777777" w:rsidR="008E6C38" w:rsidRDefault="008E6C38" w:rsidP="009D3BAB"/>
    <w:p w14:paraId="22F13FA0" w14:textId="77777777" w:rsidR="00E7421E" w:rsidRDefault="00E7421E" w:rsidP="009D3BAB"/>
    <w:p w14:paraId="65389122" w14:textId="6070FCC7" w:rsidR="009D1F13" w:rsidRPr="009D1F13" w:rsidRDefault="009D1F13" w:rsidP="009D1F13">
      <w:pPr>
        <w:pStyle w:val="ListParagraph"/>
        <w:numPr>
          <w:ilvl w:val="1"/>
          <w:numId w:val="12"/>
        </w:numPr>
        <w:rPr>
          <w:color w:val="0B769F"/>
          <w:sz w:val="28"/>
          <w:szCs w:val="32"/>
        </w:rPr>
      </w:pPr>
      <w:r>
        <w:rPr>
          <w:color w:val="0B769F"/>
          <w:sz w:val="28"/>
          <w:szCs w:val="32"/>
        </w:rPr>
        <w:t>List of Abbreviations</w:t>
      </w:r>
      <w:r w:rsidR="00DA26E9">
        <w:rPr>
          <w:color w:val="0B769F"/>
          <w:sz w:val="28"/>
          <w:szCs w:val="32"/>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44368D" w:rsidRPr="005D2BFA" w14:paraId="493FBBDC" w14:textId="77777777" w:rsidTr="00331DD2">
        <w:trPr>
          <w:cantSplit/>
        </w:trPr>
        <w:tc>
          <w:tcPr>
            <w:tcW w:w="2830" w:type="dxa"/>
          </w:tcPr>
          <w:p w14:paraId="3FE5ED36" w14:textId="77777777" w:rsidR="0044368D" w:rsidRPr="005D2BFA" w:rsidRDefault="0044368D" w:rsidP="00F45359">
            <w:pPr>
              <w:rPr>
                <w:rFonts w:asciiTheme="minorHAnsi" w:hAnsiTheme="minorHAnsi"/>
                <w:b/>
                <w:bCs/>
                <w:szCs w:val="22"/>
              </w:rPr>
            </w:pPr>
            <w:r>
              <w:rPr>
                <w:rFonts w:asciiTheme="minorHAnsi" w:hAnsiTheme="minorHAnsi"/>
                <w:b/>
                <w:bCs/>
                <w:szCs w:val="22"/>
              </w:rPr>
              <w:t>AFBE</w:t>
            </w:r>
          </w:p>
        </w:tc>
        <w:tc>
          <w:tcPr>
            <w:tcW w:w="6186" w:type="dxa"/>
          </w:tcPr>
          <w:p w14:paraId="72C9F819" w14:textId="77777777" w:rsidR="0044368D" w:rsidRPr="005D2BFA" w:rsidRDefault="0044368D" w:rsidP="00F45359">
            <w:pPr>
              <w:rPr>
                <w:rFonts w:asciiTheme="minorHAnsi" w:hAnsiTheme="minorHAnsi"/>
                <w:szCs w:val="22"/>
              </w:rPr>
            </w:pPr>
            <w:r>
              <w:rPr>
                <w:rFonts w:asciiTheme="minorHAnsi" w:hAnsiTheme="minorHAnsi"/>
              </w:rPr>
              <w:t>Association for Black &amp; Minority Ethnic Engineers</w:t>
            </w:r>
          </w:p>
        </w:tc>
      </w:tr>
      <w:tr w:rsidR="0044368D" w:rsidRPr="005D2BFA" w14:paraId="38F437B4" w14:textId="77777777" w:rsidTr="00331DD2">
        <w:trPr>
          <w:cantSplit/>
        </w:trPr>
        <w:tc>
          <w:tcPr>
            <w:tcW w:w="2830" w:type="dxa"/>
          </w:tcPr>
          <w:p w14:paraId="2D16CC9A" w14:textId="77777777" w:rsidR="0044368D" w:rsidRPr="005D2BFA" w:rsidRDefault="0044368D" w:rsidP="00F45359">
            <w:pPr>
              <w:rPr>
                <w:rFonts w:asciiTheme="minorHAnsi" w:hAnsiTheme="minorHAnsi"/>
                <w:b/>
                <w:bCs/>
                <w:szCs w:val="22"/>
              </w:rPr>
            </w:pPr>
            <w:r>
              <w:rPr>
                <w:rFonts w:asciiTheme="minorHAnsi" w:hAnsiTheme="minorHAnsi"/>
                <w:b/>
                <w:bCs/>
                <w:szCs w:val="22"/>
              </w:rPr>
              <w:t>APP</w:t>
            </w:r>
          </w:p>
        </w:tc>
        <w:tc>
          <w:tcPr>
            <w:tcW w:w="6186" w:type="dxa"/>
          </w:tcPr>
          <w:p w14:paraId="5EB3F614" w14:textId="77777777" w:rsidR="0044368D" w:rsidRPr="005D2BFA" w:rsidRDefault="0044368D" w:rsidP="00F45359">
            <w:pPr>
              <w:rPr>
                <w:rFonts w:asciiTheme="minorHAnsi" w:hAnsiTheme="minorHAnsi"/>
                <w:szCs w:val="22"/>
              </w:rPr>
            </w:pPr>
            <w:r>
              <w:rPr>
                <w:rFonts w:asciiTheme="minorHAnsi" w:hAnsiTheme="minorHAnsi"/>
                <w:szCs w:val="22"/>
              </w:rPr>
              <w:t>Access &amp; Participation Plan</w:t>
            </w:r>
          </w:p>
        </w:tc>
      </w:tr>
      <w:tr w:rsidR="0044368D" w:rsidRPr="005D2BFA" w14:paraId="07A2E8C1" w14:textId="77777777" w:rsidTr="00331DD2">
        <w:trPr>
          <w:cantSplit/>
        </w:trPr>
        <w:tc>
          <w:tcPr>
            <w:tcW w:w="2830" w:type="dxa"/>
          </w:tcPr>
          <w:p w14:paraId="0C09D773" w14:textId="77777777" w:rsidR="0044368D" w:rsidRPr="005D2BFA" w:rsidRDefault="0044368D" w:rsidP="00F45359">
            <w:pPr>
              <w:rPr>
                <w:rFonts w:asciiTheme="minorHAnsi" w:hAnsiTheme="minorHAnsi"/>
                <w:b/>
                <w:bCs/>
                <w:szCs w:val="22"/>
              </w:rPr>
            </w:pPr>
            <w:r w:rsidRPr="005D2BFA">
              <w:rPr>
                <w:rFonts w:asciiTheme="minorHAnsi" w:hAnsiTheme="minorHAnsi"/>
                <w:b/>
                <w:bCs/>
                <w:szCs w:val="22"/>
              </w:rPr>
              <w:t>BH</w:t>
            </w:r>
            <w:r>
              <w:rPr>
                <w:rFonts w:asciiTheme="minorHAnsi" w:hAnsiTheme="minorHAnsi"/>
                <w:b/>
                <w:bCs/>
                <w:szCs w:val="22"/>
              </w:rPr>
              <w:t>M</w:t>
            </w:r>
          </w:p>
        </w:tc>
        <w:tc>
          <w:tcPr>
            <w:tcW w:w="6186" w:type="dxa"/>
          </w:tcPr>
          <w:p w14:paraId="709B0F32" w14:textId="77777777" w:rsidR="0044368D" w:rsidRPr="005D2BFA" w:rsidRDefault="0044368D" w:rsidP="00F45359">
            <w:pPr>
              <w:rPr>
                <w:rFonts w:asciiTheme="minorHAnsi" w:hAnsiTheme="minorHAnsi"/>
                <w:szCs w:val="22"/>
              </w:rPr>
            </w:pPr>
            <w:r w:rsidRPr="005D2BFA">
              <w:rPr>
                <w:rFonts w:asciiTheme="minorHAnsi" w:hAnsiTheme="minorHAnsi"/>
                <w:szCs w:val="22"/>
              </w:rPr>
              <w:t>Black History Month</w:t>
            </w:r>
          </w:p>
        </w:tc>
      </w:tr>
      <w:tr w:rsidR="0044368D" w:rsidRPr="005D2BFA" w14:paraId="261F5B1F" w14:textId="77777777" w:rsidTr="00331DD2">
        <w:trPr>
          <w:cantSplit/>
        </w:trPr>
        <w:tc>
          <w:tcPr>
            <w:tcW w:w="2830" w:type="dxa"/>
          </w:tcPr>
          <w:p w14:paraId="0FC7E3B2" w14:textId="77777777" w:rsidR="0044368D" w:rsidRDefault="0044368D" w:rsidP="00F45359">
            <w:pPr>
              <w:rPr>
                <w:rFonts w:asciiTheme="minorHAnsi" w:hAnsiTheme="minorHAnsi"/>
                <w:b/>
                <w:bCs/>
                <w:szCs w:val="22"/>
              </w:rPr>
            </w:pPr>
            <w:r>
              <w:rPr>
                <w:rFonts w:asciiTheme="minorHAnsi" w:hAnsiTheme="minorHAnsi"/>
                <w:b/>
                <w:bCs/>
                <w:szCs w:val="22"/>
              </w:rPr>
              <w:t>BSL</w:t>
            </w:r>
          </w:p>
        </w:tc>
        <w:tc>
          <w:tcPr>
            <w:tcW w:w="6186" w:type="dxa"/>
          </w:tcPr>
          <w:p w14:paraId="0276E442" w14:textId="77777777" w:rsidR="0044368D" w:rsidRPr="003F3EBA" w:rsidRDefault="0044368D" w:rsidP="00F45359">
            <w:pPr>
              <w:rPr>
                <w:rFonts w:asciiTheme="minorHAnsi" w:hAnsiTheme="minorHAnsi"/>
                <w:szCs w:val="22"/>
              </w:rPr>
            </w:pPr>
            <w:r>
              <w:rPr>
                <w:rFonts w:asciiTheme="minorHAnsi" w:hAnsiTheme="minorHAnsi"/>
                <w:szCs w:val="22"/>
              </w:rPr>
              <w:t>British Sign Language</w:t>
            </w:r>
          </w:p>
        </w:tc>
      </w:tr>
      <w:tr w:rsidR="0044368D" w:rsidRPr="005D2BFA" w14:paraId="55CF20F5" w14:textId="77777777" w:rsidTr="00331DD2">
        <w:trPr>
          <w:cantSplit/>
        </w:trPr>
        <w:tc>
          <w:tcPr>
            <w:tcW w:w="2830" w:type="dxa"/>
          </w:tcPr>
          <w:p w14:paraId="1BF76F03" w14:textId="77777777" w:rsidR="0044368D" w:rsidRDefault="0044368D" w:rsidP="00F45359">
            <w:pPr>
              <w:rPr>
                <w:rFonts w:asciiTheme="minorHAnsi" w:hAnsiTheme="minorHAnsi"/>
                <w:b/>
                <w:bCs/>
                <w:szCs w:val="22"/>
              </w:rPr>
            </w:pPr>
            <w:r>
              <w:rPr>
                <w:rFonts w:asciiTheme="minorHAnsi" w:hAnsiTheme="minorHAnsi"/>
                <w:b/>
                <w:bCs/>
                <w:szCs w:val="22"/>
              </w:rPr>
              <w:t>CARA</w:t>
            </w:r>
          </w:p>
        </w:tc>
        <w:tc>
          <w:tcPr>
            <w:tcW w:w="6186" w:type="dxa"/>
          </w:tcPr>
          <w:p w14:paraId="7E6A79C9" w14:textId="77777777" w:rsidR="0044368D" w:rsidRDefault="0044368D" w:rsidP="00F45359">
            <w:pPr>
              <w:rPr>
                <w:rFonts w:asciiTheme="minorHAnsi" w:hAnsiTheme="minorHAnsi"/>
                <w:szCs w:val="22"/>
              </w:rPr>
            </w:pPr>
            <w:r>
              <w:rPr>
                <w:rFonts w:asciiTheme="minorHAnsi" w:hAnsiTheme="minorHAnsi"/>
                <w:szCs w:val="22"/>
              </w:rPr>
              <w:t>Council for At-Risk Academics</w:t>
            </w:r>
          </w:p>
        </w:tc>
      </w:tr>
      <w:tr w:rsidR="006D020C" w:rsidRPr="005D2BFA" w14:paraId="3BEF000B" w14:textId="77777777" w:rsidTr="00A8337D">
        <w:trPr>
          <w:cantSplit/>
        </w:trPr>
        <w:tc>
          <w:tcPr>
            <w:tcW w:w="2830" w:type="dxa"/>
          </w:tcPr>
          <w:p w14:paraId="6989BA5C" w14:textId="5C79320D" w:rsidR="006D020C" w:rsidRDefault="006D020C" w:rsidP="00F45359">
            <w:pPr>
              <w:rPr>
                <w:rFonts w:asciiTheme="minorHAnsi" w:hAnsiTheme="minorHAnsi"/>
                <w:b/>
                <w:bCs/>
                <w:szCs w:val="22"/>
              </w:rPr>
            </w:pPr>
            <w:r>
              <w:rPr>
                <w:rFonts w:asciiTheme="minorHAnsi" w:hAnsiTheme="minorHAnsi"/>
                <w:b/>
                <w:bCs/>
                <w:szCs w:val="22"/>
              </w:rPr>
              <w:t>CEA</w:t>
            </w:r>
          </w:p>
        </w:tc>
        <w:tc>
          <w:tcPr>
            <w:tcW w:w="6186" w:type="dxa"/>
          </w:tcPr>
          <w:p w14:paraId="63BF460B" w14:textId="20BF7DC5" w:rsidR="006D020C" w:rsidRDefault="006D020C" w:rsidP="0010137B">
            <w:pPr>
              <w:rPr>
                <w:rFonts w:asciiTheme="minorHAnsi" w:hAnsiTheme="minorHAnsi"/>
                <w:szCs w:val="22"/>
              </w:rPr>
            </w:pPr>
            <w:r>
              <w:rPr>
                <w:rFonts w:asciiTheme="minorHAnsi" w:hAnsiTheme="minorHAnsi"/>
                <w:szCs w:val="22"/>
              </w:rPr>
              <w:t>Clinical Excellence Awards</w:t>
            </w:r>
          </w:p>
        </w:tc>
      </w:tr>
      <w:tr w:rsidR="0044368D" w:rsidRPr="005D2BFA" w14:paraId="40F3D513" w14:textId="77777777" w:rsidTr="00331DD2">
        <w:trPr>
          <w:cantSplit/>
        </w:trPr>
        <w:tc>
          <w:tcPr>
            <w:tcW w:w="2830" w:type="dxa"/>
          </w:tcPr>
          <w:p w14:paraId="06304A79" w14:textId="77777777" w:rsidR="0044368D" w:rsidRDefault="0044368D" w:rsidP="00F45359">
            <w:pPr>
              <w:rPr>
                <w:rFonts w:asciiTheme="minorHAnsi" w:hAnsiTheme="minorHAnsi"/>
                <w:b/>
                <w:bCs/>
                <w:szCs w:val="22"/>
              </w:rPr>
            </w:pPr>
            <w:r>
              <w:rPr>
                <w:rFonts w:asciiTheme="minorHAnsi" w:hAnsiTheme="minorHAnsi"/>
                <w:b/>
                <w:bCs/>
                <w:szCs w:val="22"/>
              </w:rPr>
              <w:t>CHW</w:t>
            </w:r>
          </w:p>
        </w:tc>
        <w:tc>
          <w:tcPr>
            <w:tcW w:w="6186" w:type="dxa"/>
          </w:tcPr>
          <w:p w14:paraId="05A5B3EA" w14:textId="77777777" w:rsidR="0044368D" w:rsidRDefault="0044368D" w:rsidP="00F45359">
            <w:pPr>
              <w:rPr>
                <w:rFonts w:asciiTheme="minorHAnsi" w:hAnsiTheme="minorHAnsi"/>
                <w:szCs w:val="22"/>
              </w:rPr>
            </w:pPr>
            <w:r>
              <w:rPr>
                <w:rFonts w:asciiTheme="minorHAnsi" w:hAnsiTheme="minorHAnsi"/>
                <w:szCs w:val="22"/>
              </w:rPr>
              <w:t>Colleague Health &amp; Wellbeing</w:t>
            </w:r>
          </w:p>
        </w:tc>
      </w:tr>
      <w:tr w:rsidR="0044368D" w:rsidRPr="005D2BFA" w14:paraId="3F452EFA" w14:textId="77777777" w:rsidTr="00331DD2">
        <w:trPr>
          <w:cantSplit/>
        </w:trPr>
        <w:tc>
          <w:tcPr>
            <w:tcW w:w="2830" w:type="dxa"/>
          </w:tcPr>
          <w:p w14:paraId="6542152A" w14:textId="77777777" w:rsidR="0044368D" w:rsidRDefault="0044368D" w:rsidP="00F45359">
            <w:pPr>
              <w:rPr>
                <w:rFonts w:asciiTheme="minorHAnsi" w:hAnsiTheme="minorHAnsi"/>
                <w:b/>
                <w:bCs/>
                <w:szCs w:val="22"/>
              </w:rPr>
            </w:pPr>
            <w:r>
              <w:rPr>
                <w:rFonts w:asciiTheme="minorHAnsi" w:hAnsiTheme="minorHAnsi"/>
                <w:b/>
                <w:bCs/>
                <w:szCs w:val="22"/>
              </w:rPr>
              <w:t>CPD</w:t>
            </w:r>
          </w:p>
        </w:tc>
        <w:tc>
          <w:tcPr>
            <w:tcW w:w="6186" w:type="dxa"/>
          </w:tcPr>
          <w:p w14:paraId="3332CF3D" w14:textId="77777777" w:rsidR="0044368D" w:rsidRDefault="0044368D" w:rsidP="00F45359">
            <w:pPr>
              <w:rPr>
                <w:rFonts w:asciiTheme="minorHAnsi" w:hAnsiTheme="minorHAnsi"/>
                <w:szCs w:val="22"/>
              </w:rPr>
            </w:pPr>
            <w:r>
              <w:rPr>
                <w:rFonts w:asciiTheme="minorHAnsi" w:hAnsiTheme="minorHAnsi"/>
                <w:szCs w:val="22"/>
              </w:rPr>
              <w:t>Continuing Professional Development</w:t>
            </w:r>
          </w:p>
        </w:tc>
      </w:tr>
      <w:tr w:rsidR="0044368D" w:rsidRPr="005D2BFA" w14:paraId="2AC2BB21" w14:textId="77777777" w:rsidTr="00331DD2">
        <w:trPr>
          <w:cantSplit/>
        </w:trPr>
        <w:tc>
          <w:tcPr>
            <w:tcW w:w="2830" w:type="dxa"/>
          </w:tcPr>
          <w:p w14:paraId="5C28022A" w14:textId="77777777" w:rsidR="0044368D" w:rsidRPr="005D2BFA" w:rsidRDefault="0044368D" w:rsidP="00F45359">
            <w:pPr>
              <w:rPr>
                <w:rFonts w:asciiTheme="minorHAnsi" w:hAnsiTheme="minorHAnsi"/>
                <w:b/>
                <w:bCs/>
                <w:szCs w:val="22"/>
              </w:rPr>
            </w:pPr>
            <w:r>
              <w:rPr>
                <w:rFonts w:asciiTheme="minorHAnsi" w:hAnsiTheme="minorHAnsi"/>
                <w:b/>
                <w:bCs/>
                <w:szCs w:val="22"/>
              </w:rPr>
              <w:t>DIG</w:t>
            </w:r>
          </w:p>
        </w:tc>
        <w:tc>
          <w:tcPr>
            <w:tcW w:w="6186" w:type="dxa"/>
          </w:tcPr>
          <w:p w14:paraId="05E7DAD4" w14:textId="77777777" w:rsidR="0044368D" w:rsidRPr="005D2BFA" w:rsidRDefault="0044368D" w:rsidP="00F45359">
            <w:pPr>
              <w:rPr>
                <w:rFonts w:asciiTheme="minorHAnsi" w:hAnsiTheme="minorHAnsi"/>
                <w:szCs w:val="22"/>
              </w:rPr>
            </w:pPr>
            <w:r>
              <w:rPr>
                <w:rFonts w:asciiTheme="minorHAnsi" w:hAnsiTheme="minorHAnsi"/>
                <w:szCs w:val="22"/>
              </w:rPr>
              <w:t>Disability Interest Group</w:t>
            </w:r>
          </w:p>
        </w:tc>
      </w:tr>
      <w:tr w:rsidR="0044368D" w:rsidRPr="005D2BFA" w14:paraId="0B348D14" w14:textId="77777777" w:rsidTr="00331DD2">
        <w:trPr>
          <w:cantSplit/>
        </w:trPr>
        <w:tc>
          <w:tcPr>
            <w:tcW w:w="2830" w:type="dxa"/>
          </w:tcPr>
          <w:p w14:paraId="0B9198BD" w14:textId="77777777" w:rsidR="0044368D" w:rsidRPr="005D2BFA" w:rsidRDefault="0044368D" w:rsidP="00F45359">
            <w:pPr>
              <w:rPr>
                <w:rFonts w:asciiTheme="minorHAnsi" w:hAnsiTheme="minorHAnsi"/>
                <w:b/>
                <w:bCs/>
                <w:szCs w:val="22"/>
              </w:rPr>
            </w:pPr>
            <w:r>
              <w:rPr>
                <w:rFonts w:asciiTheme="minorHAnsi" w:hAnsiTheme="minorHAnsi"/>
                <w:b/>
                <w:bCs/>
                <w:szCs w:val="22"/>
              </w:rPr>
              <w:t>EA</w:t>
            </w:r>
          </w:p>
        </w:tc>
        <w:tc>
          <w:tcPr>
            <w:tcW w:w="6186" w:type="dxa"/>
          </w:tcPr>
          <w:p w14:paraId="6B9D4387" w14:textId="77777777" w:rsidR="0044368D" w:rsidRPr="005D2BFA" w:rsidRDefault="0044368D" w:rsidP="00F45359">
            <w:pPr>
              <w:rPr>
                <w:rFonts w:asciiTheme="minorHAnsi" w:hAnsiTheme="minorHAnsi"/>
                <w:szCs w:val="22"/>
              </w:rPr>
            </w:pPr>
            <w:r>
              <w:rPr>
                <w:rFonts w:asciiTheme="minorHAnsi" w:hAnsiTheme="minorHAnsi"/>
                <w:szCs w:val="22"/>
              </w:rPr>
              <w:t>Equality Analysis</w:t>
            </w:r>
          </w:p>
        </w:tc>
      </w:tr>
      <w:tr w:rsidR="0044368D" w:rsidRPr="005D2BFA" w14:paraId="175D84C6" w14:textId="77777777" w:rsidTr="00331DD2">
        <w:trPr>
          <w:cantSplit/>
        </w:trPr>
        <w:tc>
          <w:tcPr>
            <w:tcW w:w="2830" w:type="dxa"/>
          </w:tcPr>
          <w:p w14:paraId="7A14F5A1" w14:textId="77777777" w:rsidR="0044368D" w:rsidRPr="005D2BFA" w:rsidRDefault="0044368D" w:rsidP="00F45359">
            <w:pPr>
              <w:rPr>
                <w:rFonts w:asciiTheme="minorHAnsi" w:hAnsiTheme="minorHAnsi"/>
                <w:b/>
                <w:bCs/>
                <w:szCs w:val="22"/>
              </w:rPr>
            </w:pPr>
            <w:r>
              <w:rPr>
                <w:rFonts w:asciiTheme="minorHAnsi" w:hAnsiTheme="minorHAnsi"/>
                <w:b/>
                <w:bCs/>
                <w:szCs w:val="22"/>
              </w:rPr>
              <w:t>EDI</w:t>
            </w:r>
          </w:p>
        </w:tc>
        <w:tc>
          <w:tcPr>
            <w:tcW w:w="6186" w:type="dxa"/>
          </w:tcPr>
          <w:p w14:paraId="112018A1" w14:textId="77777777" w:rsidR="0044368D" w:rsidRPr="005D2BFA" w:rsidRDefault="0044368D" w:rsidP="00F45359">
            <w:pPr>
              <w:rPr>
                <w:rFonts w:asciiTheme="minorHAnsi" w:hAnsiTheme="minorHAnsi"/>
                <w:szCs w:val="22"/>
              </w:rPr>
            </w:pPr>
            <w:r>
              <w:rPr>
                <w:rFonts w:asciiTheme="minorHAnsi" w:hAnsiTheme="minorHAnsi"/>
                <w:szCs w:val="22"/>
              </w:rPr>
              <w:t>Equality, Diversity &amp; Inclusion</w:t>
            </w:r>
          </w:p>
        </w:tc>
      </w:tr>
      <w:tr w:rsidR="0044368D" w:rsidRPr="005D2BFA" w14:paraId="1450DC09" w14:textId="77777777" w:rsidTr="00331DD2">
        <w:trPr>
          <w:cantSplit/>
        </w:trPr>
        <w:tc>
          <w:tcPr>
            <w:tcW w:w="2830" w:type="dxa"/>
          </w:tcPr>
          <w:p w14:paraId="79BB60D0" w14:textId="77777777" w:rsidR="0044368D" w:rsidRDefault="0044368D" w:rsidP="00F45359">
            <w:pPr>
              <w:rPr>
                <w:rFonts w:asciiTheme="minorHAnsi" w:hAnsiTheme="minorHAnsi"/>
                <w:b/>
                <w:bCs/>
                <w:szCs w:val="22"/>
              </w:rPr>
            </w:pPr>
            <w:r>
              <w:rPr>
                <w:rFonts w:asciiTheme="minorHAnsi" w:hAnsiTheme="minorHAnsi"/>
                <w:b/>
                <w:bCs/>
                <w:szCs w:val="22"/>
              </w:rPr>
              <w:t>EDIC</w:t>
            </w:r>
          </w:p>
        </w:tc>
        <w:tc>
          <w:tcPr>
            <w:tcW w:w="6186" w:type="dxa"/>
          </w:tcPr>
          <w:p w14:paraId="247E174E" w14:textId="5605B8D4" w:rsidR="0044368D" w:rsidRDefault="00547AF8" w:rsidP="00F45359">
            <w:pPr>
              <w:rPr>
                <w:rFonts w:asciiTheme="minorHAnsi" w:hAnsiTheme="minorHAnsi"/>
                <w:szCs w:val="22"/>
              </w:rPr>
            </w:pPr>
            <w:r>
              <w:rPr>
                <w:rFonts w:asciiTheme="minorHAnsi" w:hAnsiTheme="minorHAnsi"/>
                <w:szCs w:val="22"/>
              </w:rPr>
              <w:t>Equality, Diversity &amp; Inclusion</w:t>
            </w:r>
            <w:r w:rsidR="0044368D">
              <w:rPr>
                <w:rFonts w:asciiTheme="minorHAnsi" w:hAnsiTheme="minorHAnsi"/>
                <w:szCs w:val="22"/>
              </w:rPr>
              <w:t xml:space="preserve"> Committee</w:t>
            </w:r>
          </w:p>
        </w:tc>
      </w:tr>
      <w:tr w:rsidR="0044368D" w:rsidRPr="005D2BFA" w14:paraId="5C85A4D1" w14:textId="77777777" w:rsidTr="00331DD2">
        <w:trPr>
          <w:cantSplit/>
        </w:trPr>
        <w:tc>
          <w:tcPr>
            <w:tcW w:w="2830" w:type="dxa"/>
          </w:tcPr>
          <w:p w14:paraId="7D1610CB" w14:textId="77777777" w:rsidR="0044368D" w:rsidRPr="005D2BFA" w:rsidRDefault="0044368D" w:rsidP="00F45359">
            <w:pPr>
              <w:rPr>
                <w:rFonts w:asciiTheme="minorHAnsi" w:hAnsiTheme="minorHAnsi"/>
                <w:b/>
                <w:bCs/>
                <w:szCs w:val="22"/>
              </w:rPr>
            </w:pPr>
            <w:r>
              <w:rPr>
                <w:rFonts w:asciiTheme="minorHAnsi" w:hAnsiTheme="minorHAnsi"/>
                <w:b/>
                <w:bCs/>
                <w:szCs w:val="22"/>
              </w:rPr>
              <w:t>EDICG</w:t>
            </w:r>
          </w:p>
        </w:tc>
        <w:tc>
          <w:tcPr>
            <w:tcW w:w="6186" w:type="dxa"/>
          </w:tcPr>
          <w:p w14:paraId="528F3F8B" w14:textId="54958A12" w:rsidR="0044368D" w:rsidRPr="005D2BFA" w:rsidRDefault="00547AF8" w:rsidP="00F45359">
            <w:pPr>
              <w:rPr>
                <w:rFonts w:asciiTheme="minorHAnsi" w:hAnsiTheme="minorHAnsi"/>
                <w:szCs w:val="22"/>
              </w:rPr>
            </w:pPr>
            <w:r>
              <w:rPr>
                <w:rFonts w:asciiTheme="minorHAnsi" w:hAnsiTheme="minorHAnsi"/>
                <w:szCs w:val="22"/>
              </w:rPr>
              <w:t>Equality, Diversity &amp; Inclusion</w:t>
            </w:r>
            <w:r w:rsidR="0044368D">
              <w:rPr>
                <w:rFonts w:asciiTheme="minorHAnsi" w:hAnsiTheme="minorHAnsi"/>
                <w:szCs w:val="22"/>
              </w:rPr>
              <w:t xml:space="preserve"> Consultative Group</w:t>
            </w:r>
          </w:p>
        </w:tc>
      </w:tr>
      <w:tr w:rsidR="0044368D" w:rsidRPr="005D2BFA" w14:paraId="29B7B700" w14:textId="77777777" w:rsidTr="00331DD2">
        <w:trPr>
          <w:cantSplit/>
        </w:trPr>
        <w:tc>
          <w:tcPr>
            <w:tcW w:w="2830" w:type="dxa"/>
          </w:tcPr>
          <w:p w14:paraId="0E10C04B" w14:textId="77777777" w:rsidR="0044368D" w:rsidRDefault="0044368D" w:rsidP="00F45359">
            <w:pPr>
              <w:rPr>
                <w:rFonts w:asciiTheme="minorHAnsi" w:hAnsiTheme="minorHAnsi"/>
                <w:b/>
                <w:bCs/>
                <w:szCs w:val="22"/>
              </w:rPr>
            </w:pPr>
            <w:r>
              <w:rPr>
                <w:rFonts w:asciiTheme="minorHAnsi" w:hAnsiTheme="minorHAnsi"/>
                <w:b/>
                <w:bCs/>
                <w:szCs w:val="22"/>
              </w:rPr>
              <w:lastRenderedPageBreak/>
              <w:t>EHRC</w:t>
            </w:r>
          </w:p>
        </w:tc>
        <w:tc>
          <w:tcPr>
            <w:tcW w:w="6186" w:type="dxa"/>
          </w:tcPr>
          <w:p w14:paraId="33ADB2F9" w14:textId="77777777" w:rsidR="0044368D" w:rsidRDefault="0044368D" w:rsidP="00F45359">
            <w:pPr>
              <w:rPr>
                <w:rFonts w:asciiTheme="minorHAnsi" w:hAnsiTheme="minorHAnsi"/>
                <w:szCs w:val="22"/>
              </w:rPr>
            </w:pPr>
            <w:r>
              <w:rPr>
                <w:rFonts w:asciiTheme="minorHAnsi" w:hAnsiTheme="minorHAnsi"/>
                <w:szCs w:val="22"/>
              </w:rPr>
              <w:t>Equality &amp; Human Rights Commission</w:t>
            </w:r>
          </w:p>
        </w:tc>
      </w:tr>
      <w:tr w:rsidR="0044368D" w:rsidRPr="005D2BFA" w14:paraId="45B541CE" w14:textId="77777777" w:rsidTr="00331DD2">
        <w:trPr>
          <w:cantSplit/>
        </w:trPr>
        <w:tc>
          <w:tcPr>
            <w:tcW w:w="2830" w:type="dxa"/>
          </w:tcPr>
          <w:p w14:paraId="07F44BDA" w14:textId="77777777" w:rsidR="0044368D" w:rsidRPr="005D2BFA" w:rsidRDefault="0044368D" w:rsidP="00F45359">
            <w:pPr>
              <w:rPr>
                <w:rFonts w:asciiTheme="minorHAnsi" w:hAnsiTheme="minorHAnsi"/>
                <w:b/>
                <w:bCs/>
                <w:szCs w:val="22"/>
              </w:rPr>
            </w:pPr>
            <w:r>
              <w:rPr>
                <w:rFonts w:asciiTheme="minorHAnsi" w:hAnsiTheme="minorHAnsi"/>
                <w:b/>
                <w:bCs/>
                <w:szCs w:val="22"/>
              </w:rPr>
              <w:t>FMS</w:t>
            </w:r>
          </w:p>
        </w:tc>
        <w:tc>
          <w:tcPr>
            <w:tcW w:w="6186" w:type="dxa"/>
          </w:tcPr>
          <w:p w14:paraId="420E9D4C" w14:textId="77777777" w:rsidR="0044368D" w:rsidRPr="005D2BFA" w:rsidRDefault="0044368D" w:rsidP="00F45359">
            <w:pPr>
              <w:rPr>
                <w:rFonts w:asciiTheme="minorHAnsi" w:hAnsiTheme="minorHAnsi"/>
                <w:szCs w:val="22"/>
              </w:rPr>
            </w:pPr>
            <w:r>
              <w:rPr>
                <w:rFonts w:asciiTheme="minorHAnsi" w:hAnsiTheme="minorHAnsi"/>
                <w:szCs w:val="22"/>
              </w:rPr>
              <w:t>Faculty of Medical Sciences</w:t>
            </w:r>
          </w:p>
        </w:tc>
      </w:tr>
      <w:tr w:rsidR="0044368D" w:rsidRPr="005D2BFA" w14:paraId="7A0F0746" w14:textId="77777777" w:rsidTr="00331DD2">
        <w:trPr>
          <w:cantSplit/>
        </w:trPr>
        <w:tc>
          <w:tcPr>
            <w:tcW w:w="2830" w:type="dxa"/>
          </w:tcPr>
          <w:p w14:paraId="55AA4377" w14:textId="77777777" w:rsidR="0044368D" w:rsidRDefault="0044368D" w:rsidP="00F45359">
            <w:pPr>
              <w:rPr>
                <w:rFonts w:asciiTheme="minorHAnsi" w:hAnsiTheme="minorHAnsi"/>
                <w:b/>
                <w:bCs/>
                <w:szCs w:val="22"/>
              </w:rPr>
            </w:pPr>
            <w:r>
              <w:rPr>
                <w:rFonts w:asciiTheme="minorHAnsi" w:hAnsiTheme="minorHAnsi"/>
                <w:b/>
                <w:bCs/>
                <w:szCs w:val="22"/>
              </w:rPr>
              <w:t>FTE</w:t>
            </w:r>
          </w:p>
        </w:tc>
        <w:tc>
          <w:tcPr>
            <w:tcW w:w="6186" w:type="dxa"/>
          </w:tcPr>
          <w:p w14:paraId="7FEB1EF1" w14:textId="77777777" w:rsidR="0044368D" w:rsidRDefault="0044368D" w:rsidP="00F45359">
            <w:pPr>
              <w:rPr>
                <w:rFonts w:asciiTheme="minorHAnsi" w:hAnsiTheme="minorHAnsi"/>
                <w:szCs w:val="22"/>
              </w:rPr>
            </w:pPr>
            <w:r>
              <w:rPr>
                <w:rFonts w:asciiTheme="minorHAnsi" w:hAnsiTheme="minorHAnsi"/>
                <w:szCs w:val="22"/>
              </w:rPr>
              <w:t>Full-time Equivalent</w:t>
            </w:r>
          </w:p>
        </w:tc>
      </w:tr>
      <w:tr w:rsidR="0044368D" w:rsidRPr="005D2BFA" w14:paraId="0F0C838E" w14:textId="77777777" w:rsidTr="00331DD2">
        <w:trPr>
          <w:cantSplit/>
        </w:trPr>
        <w:tc>
          <w:tcPr>
            <w:tcW w:w="2830" w:type="dxa"/>
          </w:tcPr>
          <w:p w14:paraId="2D96EEDC" w14:textId="77777777" w:rsidR="0044368D" w:rsidRPr="005D2BFA" w:rsidRDefault="0044368D" w:rsidP="00F45359">
            <w:pPr>
              <w:rPr>
                <w:rFonts w:asciiTheme="minorHAnsi" w:hAnsiTheme="minorHAnsi"/>
                <w:b/>
                <w:bCs/>
                <w:szCs w:val="22"/>
              </w:rPr>
            </w:pPr>
            <w:r>
              <w:rPr>
                <w:rFonts w:asciiTheme="minorHAnsi" w:hAnsiTheme="minorHAnsi"/>
                <w:b/>
                <w:bCs/>
                <w:szCs w:val="22"/>
              </w:rPr>
              <w:t>GPG</w:t>
            </w:r>
          </w:p>
        </w:tc>
        <w:tc>
          <w:tcPr>
            <w:tcW w:w="6186" w:type="dxa"/>
          </w:tcPr>
          <w:p w14:paraId="12562D17" w14:textId="77777777" w:rsidR="0044368D" w:rsidRPr="005D2BFA" w:rsidRDefault="0044368D" w:rsidP="00F45359">
            <w:pPr>
              <w:rPr>
                <w:rFonts w:asciiTheme="minorHAnsi" w:hAnsiTheme="minorHAnsi"/>
                <w:szCs w:val="22"/>
              </w:rPr>
            </w:pPr>
            <w:r>
              <w:rPr>
                <w:rFonts w:asciiTheme="minorHAnsi" w:hAnsiTheme="minorHAnsi"/>
                <w:szCs w:val="22"/>
              </w:rPr>
              <w:t>Gender Pay Gap</w:t>
            </w:r>
          </w:p>
        </w:tc>
      </w:tr>
      <w:tr w:rsidR="0044368D" w:rsidRPr="005D2BFA" w14:paraId="39D8DA89" w14:textId="77777777" w:rsidTr="00331DD2">
        <w:trPr>
          <w:cantSplit/>
        </w:trPr>
        <w:tc>
          <w:tcPr>
            <w:tcW w:w="2830" w:type="dxa"/>
          </w:tcPr>
          <w:p w14:paraId="6E1F9AE7" w14:textId="77777777" w:rsidR="0044368D" w:rsidRPr="005D2BFA" w:rsidRDefault="0044368D" w:rsidP="00F45359">
            <w:pPr>
              <w:rPr>
                <w:rFonts w:asciiTheme="minorHAnsi" w:hAnsiTheme="minorHAnsi"/>
                <w:b/>
                <w:bCs/>
                <w:szCs w:val="22"/>
              </w:rPr>
            </w:pPr>
            <w:proofErr w:type="spellStart"/>
            <w:r>
              <w:rPr>
                <w:rFonts w:asciiTheme="minorHAnsi" w:hAnsiTheme="minorHAnsi"/>
                <w:b/>
                <w:bCs/>
                <w:szCs w:val="22"/>
              </w:rPr>
              <w:t>HaSS</w:t>
            </w:r>
            <w:proofErr w:type="spellEnd"/>
          </w:p>
        </w:tc>
        <w:tc>
          <w:tcPr>
            <w:tcW w:w="6186" w:type="dxa"/>
          </w:tcPr>
          <w:p w14:paraId="4D867239" w14:textId="77777777" w:rsidR="0044368D" w:rsidRPr="005D2BFA" w:rsidRDefault="0044368D" w:rsidP="00F45359">
            <w:pPr>
              <w:rPr>
                <w:rFonts w:asciiTheme="minorHAnsi" w:hAnsiTheme="minorHAnsi"/>
                <w:szCs w:val="22"/>
              </w:rPr>
            </w:pPr>
            <w:r>
              <w:rPr>
                <w:rFonts w:asciiTheme="minorHAnsi" w:hAnsiTheme="minorHAnsi"/>
                <w:szCs w:val="22"/>
              </w:rPr>
              <w:t>Faculty of Humanities and Social Sciences</w:t>
            </w:r>
          </w:p>
        </w:tc>
      </w:tr>
      <w:tr w:rsidR="0044368D" w:rsidRPr="005D2BFA" w14:paraId="35DCC4C7" w14:textId="77777777" w:rsidTr="00331DD2">
        <w:trPr>
          <w:cantSplit/>
        </w:trPr>
        <w:tc>
          <w:tcPr>
            <w:tcW w:w="2830" w:type="dxa"/>
          </w:tcPr>
          <w:p w14:paraId="4F448DD7" w14:textId="77777777" w:rsidR="0044368D" w:rsidRDefault="0044368D" w:rsidP="00F45359">
            <w:pPr>
              <w:rPr>
                <w:rFonts w:asciiTheme="minorHAnsi" w:hAnsiTheme="minorHAnsi"/>
                <w:b/>
                <w:bCs/>
                <w:szCs w:val="22"/>
              </w:rPr>
            </w:pPr>
            <w:r>
              <w:rPr>
                <w:rFonts w:asciiTheme="minorHAnsi" w:hAnsiTheme="minorHAnsi"/>
                <w:b/>
                <w:bCs/>
                <w:szCs w:val="22"/>
              </w:rPr>
              <w:t>HE</w:t>
            </w:r>
          </w:p>
        </w:tc>
        <w:tc>
          <w:tcPr>
            <w:tcW w:w="6186" w:type="dxa"/>
          </w:tcPr>
          <w:p w14:paraId="1402434E" w14:textId="77777777" w:rsidR="0044368D" w:rsidRDefault="0044368D" w:rsidP="00F45359">
            <w:pPr>
              <w:rPr>
                <w:rFonts w:asciiTheme="minorHAnsi" w:hAnsiTheme="minorHAnsi"/>
                <w:szCs w:val="22"/>
              </w:rPr>
            </w:pPr>
            <w:r>
              <w:rPr>
                <w:rFonts w:asciiTheme="minorHAnsi" w:hAnsiTheme="minorHAnsi"/>
                <w:szCs w:val="22"/>
              </w:rPr>
              <w:t>Higher Education</w:t>
            </w:r>
          </w:p>
        </w:tc>
      </w:tr>
      <w:tr w:rsidR="0044368D" w:rsidRPr="005D2BFA" w14:paraId="45850CC8" w14:textId="77777777" w:rsidTr="00331DD2">
        <w:trPr>
          <w:cantSplit/>
        </w:trPr>
        <w:tc>
          <w:tcPr>
            <w:tcW w:w="2830" w:type="dxa"/>
          </w:tcPr>
          <w:p w14:paraId="7175DE08" w14:textId="77777777" w:rsidR="0044368D" w:rsidRDefault="0044368D" w:rsidP="00F45359">
            <w:pPr>
              <w:rPr>
                <w:rFonts w:asciiTheme="minorHAnsi" w:hAnsiTheme="minorHAnsi"/>
                <w:b/>
                <w:bCs/>
                <w:szCs w:val="22"/>
              </w:rPr>
            </w:pPr>
            <w:r>
              <w:rPr>
                <w:rFonts w:asciiTheme="minorHAnsi" w:hAnsiTheme="minorHAnsi"/>
                <w:b/>
                <w:bCs/>
                <w:szCs w:val="22"/>
              </w:rPr>
              <w:t>HEI</w:t>
            </w:r>
          </w:p>
        </w:tc>
        <w:tc>
          <w:tcPr>
            <w:tcW w:w="6186" w:type="dxa"/>
          </w:tcPr>
          <w:p w14:paraId="51D3CDA5" w14:textId="77777777" w:rsidR="0044368D" w:rsidRDefault="0044368D" w:rsidP="00F45359">
            <w:pPr>
              <w:rPr>
                <w:rFonts w:asciiTheme="minorHAnsi" w:hAnsiTheme="minorHAnsi"/>
                <w:szCs w:val="22"/>
              </w:rPr>
            </w:pPr>
            <w:r>
              <w:rPr>
                <w:rFonts w:asciiTheme="minorHAnsi" w:hAnsiTheme="minorHAnsi"/>
                <w:szCs w:val="22"/>
              </w:rPr>
              <w:t xml:space="preserve">Higher Education Institution </w:t>
            </w:r>
          </w:p>
        </w:tc>
      </w:tr>
      <w:tr w:rsidR="0044368D" w:rsidRPr="005D2BFA" w14:paraId="0C9ABB83" w14:textId="77777777" w:rsidTr="00331DD2">
        <w:trPr>
          <w:cantSplit/>
        </w:trPr>
        <w:tc>
          <w:tcPr>
            <w:tcW w:w="2830" w:type="dxa"/>
          </w:tcPr>
          <w:p w14:paraId="1C482655" w14:textId="77777777" w:rsidR="0044368D" w:rsidRDefault="0044368D" w:rsidP="00F45359">
            <w:pPr>
              <w:rPr>
                <w:rFonts w:asciiTheme="minorHAnsi" w:hAnsiTheme="minorHAnsi"/>
                <w:b/>
                <w:bCs/>
                <w:szCs w:val="22"/>
              </w:rPr>
            </w:pPr>
            <w:r>
              <w:rPr>
                <w:rFonts w:asciiTheme="minorHAnsi" w:hAnsiTheme="minorHAnsi"/>
                <w:b/>
                <w:bCs/>
                <w:szCs w:val="22"/>
              </w:rPr>
              <w:t>HESA</w:t>
            </w:r>
          </w:p>
        </w:tc>
        <w:tc>
          <w:tcPr>
            <w:tcW w:w="6186" w:type="dxa"/>
          </w:tcPr>
          <w:p w14:paraId="16F33DE8" w14:textId="7645E2A9" w:rsidR="0044368D" w:rsidRDefault="0044368D" w:rsidP="00F45359">
            <w:pPr>
              <w:rPr>
                <w:rFonts w:asciiTheme="minorHAnsi" w:hAnsiTheme="minorHAnsi"/>
                <w:szCs w:val="22"/>
              </w:rPr>
            </w:pPr>
            <w:r>
              <w:rPr>
                <w:rFonts w:asciiTheme="minorHAnsi" w:hAnsiTheme="minorHAnsi"/>
                <w:szCs w:val="22"/>
              </w:rPr>
              <w:t xml:space="preserve">Higher Education </w:t>
            </w:r>
            <w:r w:rsidR="00BA2503">
              <w:rPr>
                <w:rFonts w:asciiTheme="minorHAnsi" w:hAnsiTheme="minorHAnsi"/>
                <w:szCs w:val="22"/>
              </w:rPr>
              <w:t>Statistics</w:t>
            </w:r>
            <w:r>
              <w:rPr>
                <w:rFonts w:asciiTheme="minorHAnsi" w:hAnsiTheme="minorHAnsi"/>
                <w:szCs w:val="22"/>
              </w:rPr>
              <w:t xml:space="preserve"> Agency</w:t>
            </w:r>
          </w:p>
        </w:tc>
      </w:tr>
      <w:tr w:rsidR="00793094" w:rsidRPr="005D2BFA" w14:paraId="384D19AA" w14:textId="77777777" w:rsidTr="00331DD2">
        <w:trPr>
          <w:cantSplit/>
        </w:trPr>
        <w:tc>
          <w:tcPr>
            <w:tcW w:w="2830" w:type="dxa"/>
          </w:tcPr>
          <w:p w14:paraId="06016AF7" w14:textId="01ED3251" w:rsidR="00793094" w:rsidRDefault="00793094" w:rsidP="00F45359">
            <w:pPr>
              <w:rPr>
                <w:rFonts w:asciiTheme="minorHAnsi" w:hAnsiTheme="minorHAnsi"/>
                <w:b/>
                <w:bCs/>
                <w:szCs w:val="22"/>
              </w:rPr>
            </w:pPr>
            <w:proofErr w:type="spellStart"/>
            <w:r>
              <w:rPr>
                <w:rFonts w:asciiTheme="minorHAnsi" w:hAnsiTheme="minorHAnsi"/>
                <w:b/>
                <w:bCs/>
                <w:szCs w:val="22"/>
              </w:rPr>
              <w:t>KiT</w:t>
            </w:r>
            <w:proofErr w:type="spellEnd"/>
          </w:p>
        </w:tc>
        <w:tc>
          <w:tcPr>
            <w:tcW w:w="6186" w:type="dxa"/>
          </w:tcPr>
          <w:p w14:paraId="7F714ABC" w14:textId="5658A10D" w:rsidR="00793094" w:rsidRDefault="00793094" w:rsidP="00F45359">
            <w:pPr>
              <w:rPr>
                <w:rFonts w:asciiTheme="minorHAnsi" w:hAnsiTheme="minorHAnsi"/>
                <w:szCs w:val="22"/>
              </w:rPr>
            </w:pPr>
            <w:r>
              <w:rPr>
                <w:rFonts w:asciiTheme="minorHAnsi" w:hAnsiTheme="minorHAnsi"/>
                <w:szCs w:val="22"/>
              </w:rPr>
              <w:t>Keeping in Touch</w:t>
            </w:r>
            <w:r w:rsidR="002117AA">
              <w:rPr>
                <w:rFonts w:asciiTheme="minorHAnsi" w:hAnsiTheme="minorHAnsi"/>
                <w:szCs w:val="22"/>
              </w:rPr>
              <w:t xml:space="preserve"> (Days)</w:t>
            </w:r>
          </w:p>
        </w:tc>
      </w:tr>
      <w:tr w:rsidR="0044368D" w:rsidRPr="005D2BFA" w14:paraId="141BC7C8" w14:textId="77777777" w:rsidTr="00331DD2">
        <w:trPr>
          <w:cantSplit/>
        </w:trPr>
        <w:tc>
          <w:tcPr>
            <w:tcW w:w="2830" w:type="dxa"/>
          </w:tcPr>
          <w:p w14:paraId="271835FB" w14:textId="77777777" w:rsidR="0044368D" w:rsidRPr="005D2BFA" w:rsidRDefault="0044368D" w:rsidP="00F45359">
            <w:pPr>
              <w:rPr>
                <w:rFonts w:asciiTheme="minorHAnsi" w:hAnsiTheme="minorHAnsi"/>
                <w:b/>
                <w:bCs/>
                <w:szCs w:val="22"/>
              </w:rPr>
            </w:pPr>
            <w:r>
              <w:rPr>
                <w:rFonts w:asciiTheme="minorHAnsi" w:hAnsiTheme="minorHAnsi"/>
                <w:b/>
                <w:bCs/>
                <w:szCs w:val="22"/>
              </w:rPr>
              <w:t>LGB+</w:t>
            </w:r>
          </w:p>
        </w:tc>
        <w:tc>
          <w:tcPr>
            <w:tcW w:w="6186" w:type="dxa"/>
          </w:tcPr>
          <w:p w14:paraId="66DBAA29" w14:textId="77777777" w:rsidR="0044368D" w:rsidRPr="005D2BFA" w:rsidRDefault="0044368D" w:rsidP="00F45359">
            <w:pPr>
              <w:rPr>
                <w:rFonts w:asciiTheme="minorHAnsi" w:hAnsiTheme="minorHAnsi"/>
                <w:szCs w:val="22"/>
              </w:rPr>
            </w:pPr>
            <w:r>
              <w:rPr>
                <w:rFonts w:asciiTheme="minorHAnsi" w:hAnsiTheme="minorHAnsi"/>
                <w:szCs w:val="22"/>
              </w:rPr>
              <w:t>People who identify as Lesbian, Gay, Bisexual or other sexualities except heterosexual</w:t>
            </w:r>
          </w:p>
        </w:tc>
      </w:tr>
      <w:tr w:rsidR="0044368D" w:rsidRPr="005D2BFA" w14:paraId="4A445255" w14:textId="77777777" w:rsidTr="00331DD2">
        <w:trPr>
          <w:cantSplit/>
        </w:trPr>
        <w:tc>
          <w:tcPr>
            <w:tcW w:w="2830" w:type="dxa"/>
          </w:tcPr>
          <w:p w14:paraId="08CBF1D1" w14:textId="77777777" w:rsidR="0044368D" w:rsidRPr="005D2BFA" w:rsidRDefault="0044368D" w:rsidP="00F45359">
            <w:pPr>
              <w:rPr>
                <w:rFonts w:asciiTheme="minorHAnsi" w:hAnsiTheme="minorHAnsi"/>
                <w:b/>
                <w:bCs/>
                <w:szCs w:val="22"/>
              </w:rPr>
            </w:pPr>
            <w:r>
              <w:rPr>
                <w:rFonts w:asciiTheme="minorHAnsi" w:hAnsiTheme="minorHAnsi"/>
                <w:b/>
                <w:bCs/>
                <w:szCs w:val="22"/>
              </w:rPr>
              <w:t>LGBTQ+</w:t>
            </w:r>
          </w:p>
        </w:tc>
        <w:tc>
          <w:tcPr>
            <w:tcW w:w="6186" w:type="dxa"/>
          </w:tcPr>
          <w:p w14:paraId="13088E35" w14:textId="77777777" w:rsidR="0044368D" w:rsidRPr="005D2BFA" w:rsidRDefault="0044368D" w:rsidP="00F45359">
            <w:pPr>
              <w:rPr>
                <w:rFonts w:asciiTheme="minorHAnsi" w:hAnsiTheme="minorHAnsi"/>
                <w:szCs w:val="22"/>
              </w:rPr>
            </w:pPr>
            <w:r>
              <w:rPr>
                <w:rFonts w:asciiTheme="minorHAnsi" w:hAnsiTheme="minorHAnsi"/>
                <w:szCs w:val="22"/>
              </w:rPr>
              <w:t>People who identify as Lesbian, Gay, Bisexual, Transgender, Queer (or Questioning), and other sexualities except heterosexual</w:t>
            </w:r>
          </w:p>
        </w:tc>
      </w:tr>
      <w:tr w:rsidR="002C4655" w:rsidRPr="005D2BFA" w14:paraId="4BFA98DB" w14:textId="77777777" w:rsidTr="00A8337D">
        <w:trPr>
          <w:cantSplit/>
        </w:trPr>
        <w:tc>
          <w:tcPr>
            <w:tcW w:w="2830" w:type="dxa"/>
          </w:tcPr>
          <w:p w14:paraId="231283E0" w14:textId="4FC12CEB" w:rsidR="002C4655" w:rsidRDefault="002C4655" w:rsidP="00F45359">
            <w:pPr>
              <w:rPr>
                <w:rFonts w:asciiTheme="minorHAnsi" w:hAnsiTheme="minorHAnsi"/>
                <w:b/>
                <w:bCs/>
                <w:szCs w:val="22"/>
              </w:rPr>
            </w:pPr>
            <w:proofErr w:type="spellStart"/>
            <w:r>
              <w:rPr>
                <w:rFonts w:asciiTheme="minorHAnsi" w:hAnsiTheme="minorHAnsi"/>
                <w:b/>
                <w:bCs/>
                <w:szCs w:val="22"/>
              </w:rPr>
              <w:t>OfS</w:t>
            </w:r>
            <w:proofErr w:type="spellEnd"/>
          </w:p>
        </w:tc>
        <w:tc>
          <w:tcPr>
            <w:tcW w:w="6186" w:type="dxa"/>
          </w:tcPr>
          <w:p w14:paraId="1859E6DE" w14:textId="35E7389C" w:rsidR="002C4655" w:rsidRDefault="002C4655" w:rsidP="0010137B">
            <w:pPr>
              <w:rPr>
                <w:rFonts w:asciiTheme="minorHAnsi" w:hAnsiTheme="minorHAnsi"/>
                <w:szCs w:val="22"/>
              </w:rPr>
            </w:pPr>
            <w:r>
              <w:rPr>
                <w:rFonts w:asciiTheme="minorHAnsi" w:hAnsiTheme="minorHAnsi"/>
                <w:szCs w:val="22"/>
              </w:rPr>
              <w:t>Office for Students</w:t>
            </w:r>
          </w:p>
        </w:tc>
      </w:tr>
      <w:tr w:rsidR="0044368D" w:rsidRPr="005D2BFA" w14:paraId="526C2920" w14:textId="77777777" w:rsidTr="00331DD2">
        <w:trPr>
          <w:cantSplit/>
        </w:trPr>
        <w:tc>
          <w:tcPr>
            <w:tcW w:w="2830" w:type="dxa"/>
          </w:tcPr>
          <w:p w14:paraId="3A1760DE" w14:textId="77777777" w:rsidR="0044368D" w:rsidRDefault="0044368D" w:rsidP="00F45359">
            <w:pPr>
              <w:rPr>
                <w:rFonts w:asciiTheme="minorHAnsi" w:hAnsiTheme="minorHAnsi"/>
                <w:b/>
                <w:bCs/>
                <w:szCs w:val="22"/>
              </w:rPr>
            </w:pPr>
            <w:r>
              <w:rPr>
                <w:rFonts w:asciiTheme="minorHAnsi" w:hAnsiTheme="minorHAnsi"/>
                <w:b/>
                <w:bCs/>
                <w:szCs w:val="22"/>
              </w:rPr>
              <w:t>N</w:t>
            </w:r>
          </w:p>
        </w:tc>
        <w:tc>
          <w:tcPr>
            <w:tcW w:w="6186" w:type="dxa"/>
          </w:tcPr>
          <w:p w14:paraId="2DEC0442" w14:textId="77777777" w:rsidR="0044368D" w:rsidRDefault="0044368D" w:rsidP="00F45359">
            <w:pPr>
              <w:rPr>
                <w:rFonts w:asciiTheme="minorHAnsi" w:hAnsiTheme="minorHAnsi"/>
                <w:szCs w:val="22"/>
              </w:rPr>
            </w:pPr>
            <w:r>
              <w:rPr>
                <w:rFonts w:asciiTheme="minorHAnsi" w:hAnsiTheme="minorHAnsi"/>
                <w:szCs w:val="22"/>
              </w:rPr>
              <w:t>Total workforce</w:t>
            </w:r>
          </w:p>
        </w:tc>
      </w:tr>
      <w:tr w:rsidR="0044368D" w:rsidRPr="005D2BFA" w14:paraId="55E42529" w14:textId="77777777" w:rsidTr="00331DD2">
        <w:trPr>
          <w:cantSplit/>
        </w:trPr>
        <w:tc>
          <w:tcPr>
            <w:tcW w:w="2830" w:type="dxa"/>
          </w:tcPr>
          <w:p w14:paraId="1A727F9A" w14:textId="77777777" w:rsidR="0044368D" w:rsidRDefault="0044368D" w:rsidP="00F45359">
            <w:pPr>
              <w:rPr>
                <w:rFonts w:asciiTheme="minorHAnsi" w:hAnsiTheme="minorHAnsi"/>
                <w:b/>
                <w:bCs/>
                <w:szCs w:val="22"/>
              </w:rPr>
            </w:pPr>
            <w:r>
              <w:rPr>
                <w:rFonts w:asciiTheme="minorHAnsi" w:hAnsiTheme="minorHAnsi"/>
                <w:b/>
                <w:bCs/>
                <w:szCs w:val="22"/>
              </w:rPr>
              <w:t>n</w:t>
            </w:r>
          </w:p>
        </w:tc>
        <w:tc>
          <w:tcPr>
            <w:tcW w:w="6186" w:type="dxa"/>
          </w:tcPr>
          <w:p w14:paraId="3595FBA8" w14:textId="77777777" w:rsidR="0044368D" w:rsidRDefault="0044368D" w:rsidP="00F45359">
            <w:pPr>
              <w:rPr>
                <w:rFonts w:asciiTheme="minorHAnsi" w:hAnsiTheme="minorHAnsi"/>
                <w:szCs w:val="22"/>
              </w:rPr>
            </w:pPr>
            <w:r>
              <w:rPr>
                <w:rFonts w:asciiTheme="minorHAnsi" w:hAnsiTheme="minorHAnsi"/>
                <w:szCs w:val="22"/>
              </w:rPr>
              <w:t>Sample size of the workforce</w:t>
            </w:r>
          </w:p>
        </w:tc>
      </w:tr>
      <w:tr w:rsidR="006D020C" w:rsidRPr="005D2BFA" w14:paraId="2CFEADEF" w14:textId="77777777" w:rsidTr="00A8337D">
        <w:trPr>
          <w:cantSplit/>
        </w:trPr>
        <w:tc>
          <w:tcPr>
            <w:tcW w:w="2830" w:type="dxa"/>
          </w:tcPr>
          <w:p w14:paraId="625B905C" w14:textId="6BCE47FB" w:rsidR="006D020C" w:rsidRDefault="006D020C" w:rsidP="00F45359">
            <w:pPr>
              <w:rPr>
                <w:rFonts w:asciiTheme="minorHAnsi" w:hAnsiTheme="minorHAnsi"/>
                <w:b/>
                <w:bCs/>
                <w:szCs w:val="22"/>
              </w:rPr>
            </w:pPr>
            <w:r>
              <w:rPr>
                <w:rFonts w:asciiTheme="minorHAnsi" w:hAnsiTheme="minorHAnsi"/>
                <w:b/>
                <w:bCs/>
                <w:szCs w:val="22"/>
              </w:rPr>
              <w:t>NCIA</w:t>
            </w:r>
          </w:p>
        </w:tc>
        <w:tc>
          <w:tcPr>
            <w:tcW w:w="6186" w:type="dxa"/>
          </w:tcPr>
          <w:p w14:paraId="6DBDFF79" w14:textId="00793025" w:rsidR="006D020C" w:rsidRDefault="008C64A0" w:rsidP="0010137B">
            <w:pPr>
              <w:rPr>
                <w:rFonts w:asciiTheme="minorHAnsi" w:hAnsiTheme="minorHAnsi"/>
                <w:szCs w:val="22"/>
              </w:rPr>
            </w:pPr>
            <w:r>
              <w:rPr>
                <w:rFonts w:asciiTheme="minorHAnsi" w:hAnsiTheme="minorHAnsi"/>
                <w:szCs w:val="22"/>
              </w:rPr>
              <w:t>National Clinical Impact Awards</w:t>
            </w:r>
          </w:p>
        </w:tc>
      </w:tr>
      <w:tr w:rsidR="0044368D" w:rsidRPr="005D2BFA" w14:paraId="490BA3BD" w14:textId="77777777" w:rsidTr="00331DD2">
        <w:trPr>
          <w:cantSplit/>
        </w:trPr>
        <w:tc>
          <w:tcPr>
            <w:tcW w:w="2830" w:type="dxa"/>
          </w:tcPr>
          <w:p w14:paraId="2C727A86" w14:textId="77777777" w:rsidR="0044368D" w:rsidRPr="005D2BFA" w:rsidRDefault="0044368D" w:rsidP="00F45359">
            <w:pPr>
              <w:rPr>
                <w:rFonts w:asciiTheme="minorHAnsi" w:hAnsiTheme="minorHAnsi"/>
                <w:b/>
                <w:bCs/>
                <w:szCs w:val="22"/>
              </w:rPr>
            </w:pPr>
            <w:r>
              <w:rPr>
                <w:rFonts w:asciiTheme="minorHAnsi" w:hAnsiTheme="minorHAnsi"/>
                <w:b/>
                <w:bCs/>
                <w:szCs w:val="22"/>
              </w:rPr>
              <w:t>NU</w:t>
            </w:r>
          </w:p>
        </w:tc>
        <w:tc>
          <w:tcPr>
            <w:tcW w:w="6186" w:type="dxa"/>
          </w:tcPr>
          <w:p w14:paraId="3ED33E59" w14:textId="77777777" w:rsidR="0044368D" w:rsidRPr="005D2BFA" w:rsidRDefault="0044368D" w:rsidP="00F45359">
            <w:pPr>
              <w:rPr>
                <w:rFonts w:asciiTheme="minorHAnsi" w:hAnsiTheme="minorHAnsi"/>
                <w:szCs w:val="22"/>
              </w:rPr>
            </w:pPr>
            <w:r>
              <w:rPr>
                <w:rFonts w:asciiTheme="minorHAnsi" w:hAnsiTheme="minorHAnsi"/>
                <w:szCs w:val="22"/>
              </w:rPr>
              <w:t>Newcastle University</w:t>
            </w:r>
          </w:p>
        </w:tc>
      </w:tr>
      <w:tr w:rsidR="0044368D" w:rsidRPr="005D2BFA" w14:paraId="74A91893" w14:textId="77777777" w:rsidTr="00331DD2">
        <w:trPr>
          <w:cantSplit/>
        </w:trPr>
        <w:tc>
          <w:tcPr>
            <w:tcW w:w="2830" w:type="dxa"/>
          </w:tcPr>
          <w:p w14:paraId="5E956778" w14:textId="77777777" w:rsidR="0044368D" w:rsidRPr="005D2BFA" w:rsidRDefault="0044368D" w:rsidP="00F45359">
            <w:pPr>
              <w:rPr>
                <w:rFonts w:asciiTheme="minorHAnsi" w:hAnsiTheme="minorHAnsi"/>
                <w:b/>
                <w:bCs/>
                <w:szCs w:val="22"/>
              </w:rPr>
            </w:pPr>
            <w:proofErr w:type="spellStart"/>
            <w:r>
              <w:rPr>
                <w:rFonts w:asciiTheme="minorHAnsi" w:hAnsiTheme="minorHAnsi"/>
                <w:b/>
                <w:bCs/>
                <w:szCs w:val="22"/>
              </w:rPr>
              <w:t>NUiS</w:t>
            </w:r>
            <w:proofErr w:type="spellEnd"/>
          </w:p>
        </w:tc>
        <w:tc>
          <w:tcPr>
            <w:tcW w:w="6186" w:type="dxa"/>
          </w:tcPr>
          <w:p w14:paraId="24AF5052" w14:textId="77777777" w:rsidR="0044368D" w:rsidRPr="005D2BFA" w:rsidRDefault="0044368D" w:rsidP="00F45359">
            <w:pPr>
              <w:rPr>
                <w:rFonts w:asciiTheme="minorHAnsi" w:hAnsiTheme="minorHAnsi"/>
                <w:szCs w:val="22"/>
              </w:rPr>
            </w:pPr>
            <w:r>
              <w:rPr>
                <w:rFonts w:asciiTheme="minorHAnsi" w:hAnsiTheme="minorHAnsi"/>
                <w:szCs w:val="22"/>
              </w:rPr>
              <w:t>Newcastle University in Singapore</w:t>
            </w:r>
          </w:p>
        </w:tc>
      </w:tr>
      <w:tr w:rsidR="0044368D" w:rsidRPr="005D2BFA" w14:paraId="40E9CC6B" w14:textId="77777777" w:rsidTr="00331DD2">
        <w:trPr>
          <w:cantSplit/>
        </w:trPr>
        <w:tc>
          <w:tcPr>
            <w:tcW w:w="2830" w:type="dxa"/>
          </w:tcPr>
          <w:p w14:paraId="1620C7DA" w14:textId="77777777" w:rsidR="0044368D" w:rsidRPr="005D2BFA" w:rsidRDefault="0044368D" w:rsidP="00F45359">
            <w:pPr>
              <w:rPr>
                <w:rFonts w:asciiTheme="minorHAnsi" w:hAnsiTheme="minorHAnsi"/>
                <w:b/>
                <w:bCs/>
                <w:szCs w:val="22"/>
              </w:rPr>
            </w:pPr>
            <w:proofErr w:type="spellStart"/>
            <w:r>
              <w:rPr>
                <w:rFonts w:asciiTheme="minorHAnsi" w:hAnsiTheme="minorHAnsi"/>
                <w:b/>
                <w:bCs/>
                <w:szCs w:val="22"/>
              </w:rPr>
              <w:t>NUMed</w:t>
            </w:r>
            <w:proofErr w:type="spellEnd"/>
          </w:p>
        </w:tc>
        <w:tc>
          <w:tcPr>
            <w:tcW w:w="6186" w:type="dxa"/>
          </w:tcPr>
          <w:p w14:paraId="029FA0D5" w14:textId="77777777" w:rsidR="0044368D" w:rsidRPr="005D2BFA" w:rsidRDefault="0044368D" w:rsidP="00F45359">
            <w:pPr>
              <w:rPr>
                <w:rFonts w:asciiTheme="minorHAnsi" w:hAnsiTheme="minorHAnsi"/>
                <w:szCs w:val="22"/>
              </w:rPr>
            </w:pPr>
            <w:r>
              <w:rPr>
                <w:rFonts w:asciiTheme="minorHAnsi" w:hAnsiTheme="minorHAnsi"/>
                <w:szCs w:val="22"/>
              </w:rPr>
              <w:t>Newcastle University Medicine Malaysia</w:t>
            </w:r>
          </w:p>
        </w:tc>
      </w:tr>
      <w:tr w:rsidR="0044368D" w:rsidRPr="005D2BFA" w14:paraId="22C13AE1" w14:textId="77777777" w:rsidTr="00331DD2">
        <w:trPr>
          <w:cantSplit/>
        </w:trPr>
        <w:tc>
          <w:tcPr>
            <w:tcW w:w="2830" w:type="dxa"/>
          </w:tcPr>
          <w:p w14:paraId="6453F1D3" w14:textId="77777777" w:rsidR="0044368D" w:rsidRPr="005D2BFA" w:rsidRDefault="0044368D" w:rsidP="00F45359">
            <w:pPr>
              <w:rPr>
                <w:rFonts w:asciiTheme="minorHAnsi" w:hAnsiTheme="minorHAnsi"/>
                <w:b/>
                <w:bCs/>
                <w:szCs w:val="22"/>
              </w:rPr>
            </w:pPr>
            <w:r>
              <w:rPr>
                <w:rFonts w:asciiTheme="minorHAnsi" w:hAnsiTheme="minorHAnsi"/>
                <w:b/>
                <w:bCs/>
                <w:szCs w:val="22"/>
              </w:rPr>
              <w:t>NU-REN</w:t>
            </w:r>
          </w:p>
        </w:tc>
        <w:tc>
          <w:tcPr>
            <w:tcW w:w="6186" w:type="dxa"/>
          </w:tcPr>
          <w:p w14:paraId="03710B0A" w14:textId="77777777" w:rsidR="0044368D" w:rsidRPr="005D2BFA" w:rsidRDefault="0044368D" w:rsidP="00F45359">
            <w:pPr>
              <w:rPr>
                <w:rFonts w:asciiTheme="minorHAnsi" w:hAnsiTheme="minorHAnsi"/>
                <w:szCs w:val="22"/>
              </w:rPr>
            </w:pPr>
            <w:r>
              <w:rPr>
                <w:rFonts w:asciiTheme="minorHAnsi" w:hAnsiTheme="minorHAnsi"/>
                <w:szCs w:val="22"/>
              </w:rPr>
              <w:t>NU Race Equality Network</w:t>
            </w:r>
          </w:p>
        </w:tc>
      </w:tr>
      <w:tr w:rsidR="0044368D" w:rsidRPr="005D2BFA" w14:paraId="120DBDE0" w14:textId="77777777" w:rsidTr="00331DD2">
        <w:trPr>
          <w:cantSplit/>
        </w:trPr>
        <w:tc>
          <w:tcPr>
            <w:tcW w:w="2830" w:type="dxa"/>
          </w:tcPr>
          <w:p w14:paraId="69FC7EB6" w14:textId="77777777" w:rsidR="0044368D" w:rsidRPr="005D2BFA" w:rsidRDefault="0044368D" w:rsidP="00F45359">
            <w:pPr>
              <w:rPr>
                <w:rFonts w:asciiTheme="minorHAnsi" w:hAnsiTheme="minorHAnsi"/>
                <w:b/>
                <w:bCs/>
                <w:szCs w:val="22"/>
              </w:rPr>
            </w:pPr>
            <w:r>
              <w:rPr>
                <w:rFonts w:asciiTheme="minorHAnsi" w:hAnsiTheme="minorHAnsi"/>
                <w:b/>
                <w:bCs/>
                <w:szCs w:val="22"/>
              </w:rPr>
              <w:t>NUSU</w:t>
            </w:r>
          </w:p>
        </w:tc>
        <w:tc>
          <w:tcPr>
            <w:tcW w:w="6186" w:type="dxa"/>
          </w:tcPr>
          <w:p w14:paraId="1695F612" w14:textId="77777777" w:rsidR="0044368D" w:rsidRPr="005D2BFA" w:rsidRDefault="0044368D" w:rsidP="00F45359">
            <w:pPr>
              <w:rPr>
                <w:rFonts w:asciiTheme="minorHAnsi" w:hAnsiTheme="minorHAnsi"/>
                <w:szCs w:val="22"/>
              </w:rPr>
            </w:pPr>
            <w:r>
              <w:rPr>
                <w:rFonts w:asciiTheme="minorHAnsi" w:hAnsiTheme="minorHAnsi"/>
                <w:szCs w:val="22"/>
              </w:rPr>
              <w:t>Newcastle University Students’ Union</w:t>
            </w:r>
          </w:p>
        </w:tc>
      </w:tr>
      <w:tr w:rsidR="0044368D" w:rsidRPr="005D2BFA" w14:paraId="226F7F0E" w14:textId="77777777" w:rsidTr="00331DD2">
        <w:trPr>
          <w:cantSplit/>
        </w:trPr>
        <w:tc>
          <w:tcPr>
            <w:tcW w:w="2830" w:type="dxa"/>
          </w:tcPr>
          <w:p w14:paraId="3439E9BB" w14:textId="77777777" w:rsidR="0044368D" w:rsidRDefault="0044368D" w:rsidP="00F45359">
            <w:pPr>
              <w:rPr>
                <w:rFonts w:asciiTheme="minorHAnsi" w:hAnsiTheme="minorHAnsi"/>
                <w:b/>
                <w:bCs/>
                <w:szCs w:val="22"/>
              </w:rPr>
            </w:pPr>
            <w:r>
              <w:rPr>
                <w:rFonts w:asciiTheme="minorHAnsi" w:hAnsiTheme="minorHAnsi"/>
                <w:b/>
                <w:bCs/>
                <w:szCs w:val="22"/>
              </w:rPr>
              <w:t>NUWEE</w:t>
            </w:r>
          </w:p>
        </w:tc>
        <w:tc>
          <w:tcPr>
            <w:tcW w:w="6186" w:type="dxa"/>
          </w:tcPr>
          <w:p w14:paraId="2CC87CFB" w14:textId="77777777" w:rsidR="0044368D" w:rsidRDefault="0044368D" w:rsidP="00F45359">
            <w:pPr>
              <w:rPr>
                <w:rFonts w:asciiTheme="minorHAnsi" w:hAnsiTheme="minorHAnsi"/>
                <w:szCs w:val="22"/>
              </w:rPr>
            </w:pPr>
            <w:r w:rsidRPr="003F3EBA">
              <w:rPr>
                <w:rFonts w:asciiTheme="minorHAnsi" w:hAnsiTheme="minorHAnsi"/>
                <w:szCs w:val="22"/>
              </w:rPr>
              <w:t>National University of Water and Environmental Engineering</w:t>
            </w:r>
          </w:p>
        </w:tc>
      </w:tr>
      <w:tr w:rsidR="00A25494" w:rsidRPr="005D2BFA" w14:paraId="0DEC3F6F" w14:textId="77777777" w:rsidTr="00A8337D">
        <w:trPr>
          <w:cantSplit/>
        </w:trPr>
        <w:tc>
          <w:tcPr>
            <w:tcW w:w="2830" w:type="dxa"/>
          </w:tcPr>
          <w:p w14:paraId="26D5697E" w14:textId="35DB1AB0" w:rsidR="00A25494" w:rsidRDefault="00A25494" w:rsidP="00F45359">
            <w:pPr>
              <w:rPr>
                <w:rFonts w:asciiTheme="minorHAnsi" w:hAnsiTheme="minorHAnsi"/>
                <w:b/>
                <w:bCs/>
                <w:szCs w:val="22"/>
              </w:rPr>
            </w:pPr>
            <w:r>
              <w:rPr>
                <w:rFonts w:asciiTheme="minorHAnsi" w:hAnsiTheme="minorHAnsi"/>
                <w:b/>
                <w:bCs/>
                <w:szCs w:val="22"/>
              </w:rPr>
              <w:t>PEC</w:t>
            </w:r>
          </w:p>
        </w:tc>
        <w:tc>
          <w:tcPr>
            <w:tcW w:w="6186" w:type="dxa"/>
          </w:tcPr>
          <w:p w14:paraId="643CDCB7" w14:textId="397AF267" w:rsidR="00A25494" w:rsidRDefault="00A25494" w:rsidP="00F45359">
            <w:pPr>
              <w:rPr>
                <w:rFonts w:asciiTheme="minorHAnsi" w:hAnsiTheme="minorHAnsi"/>
                <w:szCs w:val="22"/>
              </w:rPr>
            </w:pPr>
            <w:r>
              <w:rPr>
                <w:rFonts w:asciiTheme="minorHAnsi" w:hAnsiTheme="minorHAnsi"/>
                <w:szCs w:val="22"/>
              </w:rPr>
              <w:t>Personal Extenuating Circumstances</w:t>
            </w:r>
          </w:p>
        </w:tc>
      </w:tr>
      <w:tr w:rsidR="0044368D" w:rsidRPr="005D2BFA" w14:paraId="37DCDFF9" w14:textId="77777777" w:rsidTr="00331DD2">
        <w:trPr>
          <w:cantSplit/>
        </w:trPr>
        <w:tc>
          <w:tcPr>
            <w:tcW w:w="2830" w:type="dxa"/>
          </w:tcPr>
          <w:p w14:paraId="2A69F5B5" w14:textId="77777777" w:rsidR="0044368D" w:rsidRDefault="0044368D" w:rsidP="00F45359">
            <w:pPr>
              <w:rPr>
                <w:rFonts w:asciiTheme="minorHAnsi" w:hAnsiTheme="minorHAnsi"/>
                <w:b/>
                <w:bCs/>
                <w:szCs w:val="22"/>
              </w:rPr>
            </w:pPr>
            <w:r>
              <w:rPr>
                <w:rFonts w:asciiTheme="minorHAnsi" w:hAnsiTheme="minorHAnsi"/>
                <w:b/>
                <w:bCs/>
                <w:szCs w:val="22"/>
              </w:rPr>
              <w:t>PG</w:t>
            </w:r>
          </w:p>
        </w:tc>
        <w:tc>
          <w:tcPr>
            <w:tcW w:w="6186" w:type="dxa"/>
          </w:tcPr>
          <w:p w14:paraId="3E03EE61" w14:textId="77777777" w:rsidR="0044368D" w:rsidRDefault="0044368D" w:rsidP="00F45359">
            <w:pPr>
              <w:rPr>
                <w:rFonts w:asciiTheme="minorHAnsi" w:hAnsiTheme="minorHAnsi"/>
                <w:szCs w:val="22"/>
              </w:rPr>
            </w:pPr>
            <w:r>
              <w:rPr>
                <w:rFonts w:asciiTheme="minorHAnsi" w:hAnsiTheme="minorHAnsi"/>
                <w:szCs w:val="22"/>
              </w:rPr>
              <w:t>Postgraduate</w:t>
            </w:r>
          </w:p>
        </w:tc>
      </w:tr>
      <w:tr w:rsidR="0044368D" w:rsidRPr="005D2BFA" w14:paraId="01FDEBA6" w14:textId="77777777" w:rsidTr="00331DD2">
        <w:trPr>
          <w:cantSplit/>
        </w:trPr>
        <w:tc>
          <w:tcPr>
            <w:tcW w:w="2830" w:type="dxa"/>
          </w:tcPr>
          <w:p w14:paraId="2F891A0A" w14:textId="77777777" w:rsidR="0044368D" w:rsidRPr="005D2BFA" w:rsidRDefault="0044368D" w:rsidP="00F45359">
            <w:pPr>
              <w:rPr>
                <w:rFonts w:asciiTheme="minorHAnsi" w:hAnsiTheme="minorHAnsi"/>
                <w:b/>
                <w:bCs/>
                <w:szCs w:val="22"/>
              </w:rPr>
            </w:pPr>
            <w:r>
              <w:rPr>
                <w:rFonts w:asciiTheme="minorHAnsi" w:hAnsiTheme="minorHAnsi"/>
                <w:b/>
                <w:bCs/>
                <w:szCs w:val="22"/>
              </w:rPr>
              <w:t>PGR</w:t>
            </w:r>
          </w:p>
        </w:tc>
        <w:tc>
          <w:tcPr>
            <w:tcW w:w="6186" w:type="dxa"/>
          </w:tcPr>
          <w:p w14:paraId="39B8CF85" w14:textId="77777777" w:rsidR="0044368D" w:rsidRPr="005D2BFA" w:rsidRDefault="0044368D" w:rsidP="00F45359">
            <w:pPr>
              <w:rPr>
                <w:rFonts w:asciiTheme="minorHAnsi" w:hAnsiTheme="minorHAnsi"/>
                <w:szCs w:val="22"/>
              </w:rPr>
            </w:pPr>
            <w:r>
              <w:rPr>
                <w:rFonts w:asciiTheme="minorHAnsi" w:hAnsiTheme="minorHAnsi"/>
                <w:szCs w:val="22"/>
              </w:rPr>
              <w:t xml:space="preserve">Postgraduate Research </w:t>
            </w:r>
          </w:p>
        </w:tc>
      </w:tr>
      <w:tr w:rsidR="0044368D" w:rsidRPr="005D2BFA" w14:paraId="039DA068" w14:textId="77777777" w:rsidTr="00331DD2">
        <w:trPr>
          <w:cantSplit/>
        </w:trPr>
        <w:tc>
          <w:tcPr>
            <w:tcW w:w="2830" w:type="dxa"/>
          </w:tcPr>
          <w:p w14:paraId="0545F9FA" w14:textId="77777777" w:rsidR="0044368D" w:rsidRPr="005D2BFA" w:rsidRDefault="0044368D" w:rsidP="00F45359">
            <w:pPr>
              <w:rPr>
                <w:rFonts w:asciiTheme="minorHAnsi" w:hAnsiTheme="minorHAnsi"/>
                <w:b/>
                <w:bCs/>
                <w:szCs w:val="22"/>
              </w:rPr>
            </w:pPr>
            <w:r>
              <w:rPr>
                <w:rFonts w:asciiTheme="minorHAnsi" w:hAnsiTheme="minorHAnsi"/>
                <w:b/>
                <w:bCs/>
                <w:szCs w:val="22"/>
              </w:rPr>
              <w:t>PS</w:t>
            </w:r>
          </w:p>
        </w:tc>
        <w:tc>
          <w:tcPr>
            <w:tcW w:w="6186" w:type="dxa"/>
          </w:tcPr>
          <w:p w14:paraId="6893A7EA" w14:textId="77777777" w:rsidR="0044368D" w:rsidRPr="005D2BFA" w:rsidRDefault="0044368D" w:rsidP="00F45359">
            <w:pPr>
              <w:rPr>
                <w:rFonts w:asciiTheme="minorHAnsi" w:hAnsiTheme="minorHAnsi"/>
                <w:szCs w:val="22"/>
              </w:rPr>
            </w:pPr>
            <w:r>
              <w:rPr>
                <w:rFonts w:asciiTheme="minorHAnsi" w:hAnsiTheme="minorHAnsi"/>
                <w:szCs w:val="22"/>
              </w:rPr>
              <w:t>Professional Services</w:t>
            </w:r>
          </w:p>
        </w:tc>
      </w:tr>
      <w:tr w:rsidR="0044368D" w:rsidRPr="005D2BFA" w14:paraId="0A71EBB3" w14:textId="77777777" w:rsidTr="00331DD2">
        <w:trPr>
          <w:cantSplit/>
        </w:trPr>
        <w:tc>
          <w:tcPr>
            <w:tcW w:w="2830" w:type="dxa"/>
          </w:tcPr>
          <w:p w14:paraId="511F6942" w14:textId="77777777" w:rsidR="0044368D" w:rsidRPr="005D2BFA" w:rsidRDefault="0044368D" w:rsidP="00F45359">
            <w:pPr>
              <w:rPr>
                <w:rFonts w:asciiTheme="minorHAnsi" w:hAnsiTheme="minorHAnsi"/>
                <w:b/>
                <w:bCs/>
                <w:szCs w:val="22"/>
              </w:rPr>
            </w:pPr>
            <w:r>
              <w:rPr>
                <w:rFonts w:asciiTheme="minorHAnsi" w:hAnsiTheme="minorHAnsi"/>
                <w:b/>
                <w:bCs/>
                <w:szCs w:val="22"/>
              </w:rPr>
              <w:t>PSED</w:t>
            </w:r>
          </w:p>
        </w:tc>
        <w:tc>
          <w:tcPr>
            <w:tcW w:w="6186" w:type="dxa"/>
          </w:tcPr>
          <w:p w14:paraId="3D15DAA6" w14:textId="77777777" w:rsidR="0044368D" w:rsidRPr="005D2BFA" w:rsidRDefault="0044368D" w:rsidP="00F45359">
            <w:pPr>
              <w:rPr>
                <w:rFonts w:asciiTheme="minorHAnsi" w:hAnsiTheme="minorHAnsi"/>
                <w:szCs w:val="22"/>
              </w:rPr>
            </w:pPr>
            <w:r>
              <w:rPr>
                <w:rFonts w:asciiTheme="minorHAnsi" w:hAnsiTheme="minorHAnsi"/>
                <w:szCs w:val="22"/>
              </w:rPr>
              <w:t>Public Sector Equality Duty</w:t>
            </w:r>
          </w:p>
        </w:tc>
      </w:tr>
      <w:tr w:rsidR="0044368D" w:rsidRPr="005D2BFA" w14:paraId="5598DF1B" w14:textId="77777777" w:rsidTr="00331DD2">
        <w:trPr>
          <w:cantSplit/>
        </w:trPr>
        <w:tc>
          <w:tcPr>
            <w:tcW w:w="2830" w:type="dxa"/>
          </w:tcPr>
          <w:p w14:paraId="4F6BD9E3" w14:textId="77777777" w:rsidR="0044368D" w:rsidRPr="005D2BFA" w:rsidRDefault="0044368D" w:rsidP="00F45359">
            <w:pPr>
              <w:rPr>
                <w:rFonts w:asciiTheme="minorHAnsi" w:hAnsiTheme="minorHAnsi"/>
                <w:b/>
                <w:bCs/>
                <w:szCs w:val="22"/>
              </w:rPr>
            </w:pPr>
            <w:r>
              <w:rPr>
                <w:rFonts w:asciiTheme="minorHAnsi" w:hAnsiTheme="minorHAnsi"/>
                <w:b/>
                <w:bCs/>
                <w:szCs w:val="22"/>
              </w:rPr>
              <w:t>R&amp;I</w:t>
            </w:r>
          </w:p>
        </w:tc>
        <w:tc>
          <w:tcPr>
            <w:tcW w:w="6186" w:type="dxa"/>
          </w:tcPr>
          <w:p w14:paraId="7792CB94" w14:textId="77777777" w:rsidR="0044368D" w:rsidRPr="005D2BFA" w:rsidRDefault="0044368D" w:rsidP="00F45359">
            <w:pPr>
              <w:rPr>
                <w:rFonts w:asciiTheme="minorHAnsi" w:hAnsiTheme="minorHAnsi"/>
                <w:szCs w:val="22"/>
              </w:rPr>
            </w:pPr>
            <w:r>
              <w:rPr>
                <w:rFonts w:asciiTheme="minorHAnsi" w:hAnsiTheme="minorHAnsi"/>
                <w:szCs w:val="22"/>
              </w:rPr>
              <w:t>Research &amp; Innovation (academic contract)</w:t>
            </w:r>
          </w:p>
        </w:tc>
      </w:tr>
      <w:tr w:rsidR="0044368D" w:rsidRPr="005D2BFA" w14:paraId="661A7AB6" w14:textId="77777777" w:rsidTr="00331DD2">
        <w:trPr>
          <w:cantSplit/>
        </w:trPr>
        <w:tc>
          <w:tcPr>
            <w:tcW w:w="2830" w:type="dxa"/>
          </w:tcPr>
          <w:p w14:paraId="64B3EFD7" w14:textId="77777777" w:rsidR="0044368D" w:rsidRPr="005D2BFA" w:rsidRDefault="0044368D" w:rsidP="00F45359">
            <w:pPr>
              <w:rPr>
                <w:rFonts w:asciiTheme="minorHAnsi" w:hAnsiTheme="minorHAnsi"/>
                <w:b/>
                <w:bCs/>
                <w:szCs w:val="22"/>
              </w:rPr>
            </w:pPr>
            <w:r>
              <w:rPr>
                <w:rFonts w:asciiTheme="minorHAnsi" w:hAnsiTheme="minorHAnsi"/>
                <w:b/>
                <w:bCs/>
                <w:szCs w:val="22"/>
              </w:rPr>
              <w:t>REC</w:t>
            </w:r>
          </w:p>
        </w:tc>
        <w:tc>
          <w:tcPr>
            <w:tcW w:w="6186" w:type="dxa"/>
          </w:tcPr>
          <w:p w14:paraId="6604ED8F" w14:textId="77777777" w:rsidR="0044368D" w:rsidRPr="005D2BFA" w:rsidRDefault="0044368D" w:rsidP="00F45359">
            <w:pPr>
              <w:rPr>
                <w:rFonts w:asciiTheme="minorHAnsi" w:hAnsiTheme="minorHAnsi"/>
                <w:szCs w:val="22"/>
              </w:rPr>
            </w:pPr>
            <w:r>
              <w:rPr>
                <w:rFonts w:asciiTheme="minorHAnsi" w:hAnsiTheme="minorHAnsi"/>
                <w:szCs w:val="22"/>
              </w:rPr>
              <w:t>Race Equality Charter</w:t>
            </w:r>
          </w:p>
        </w:tc>
      </w:tr>
      <w:tr w:rsidR="0044368D" w:rsidRPr="005D2BFA" w14:paraId="23F155B4" w14:textId="77777777" w:rsidTr="00331DD2">
        <w:trPr>
          <w:cantSplit/>
        </w:trPr>
        <w:tc>
          <w:tcPr>
            <w:tcW w:w="2830" w:type="dxa"/>
          </w:tcPr>
          <w:p w14:paraId="20E28A4F" w14:textId="77777777" w:rsidR="0044368D" w:rsidRPr="005D2BFA" w:rsidRDefault="0044368D" w:rsidP="00F45359">
            <w:pPr>
              <w:rPr>
                <w:rFonts w:asciiTheme="minorHAnsi" w:hAnsiTheme="minorHAnsi"/>
                <w:b/>
                <w:bCs/>
                <w:szCs w:val="22"/>
              </w:rPr>
            </w:pPr>
            <w:r>
              <w:rPr>
                <w:rFonts w:asciiTheme="minorHAnsi" w:hAnsiTheme="minorHAnsi"/>
                <w:b/>
                <w:bCs/>
                <w:szCs w:val="22"/>
              </w:rPr>
              <w:t>RSP</w:t>
            </w:r>
          </w:p>
        </w:tc>
        <w:tc>
          <w:tcPr>
            <w:tcW w:w="6186" w:type="dxa"/>
          </w:tcPr>
          <w:p w14:paraId="2DE0CBA5" w14:textId="77777777" w:rsidR="0044368D" w:rsidRPr="005D2BFA" w:rsidRDefault="0044368D" w:rsidP="00F45359">
            <w:pPr>
              <w:rPr>
                <w:rFonts w:asciiTheme="minorHAnsi" w:hAnsiTheme="minorHAnsi"/>
                <w:szCs w:val="22"/>
              </w:rPr>
            </w:pPr>
            <w:r>
              <w:rPr>
                <w:rFonts w:asciiTheme="minorHAnsi" w:hAnsiTheme="minorHAnsi"/>
                <w:szCs w:val="22"/>
              </w:rPr>
              <w:t>Returners Support Programme</w:t>
            </w:r>
          </w:p>
        </w:tc>
      </w:tr>
      <w:tr w:rsidR="0044368D" w:rsidRPr="005D2BFA" w14:paraId="2E08516A" w14:textId="77777777" w:rsidTr="00331DD2">
        <w:trPr>
          <w:cantSplit/>
        </w:trPr>
        <w:tc>
          <w:tcPr>
            <w:tcW w:w="2830" w:type="dxa"/>
          </w:tcPr>
          <w:p w14:paraId="7C71AF48" w14:textId="77777777" w:rsidR="0044368D" w:rsidRDefault="0044368D" w:rsidP="00F45359">
            <w:pPr>
              <w:rPr>
                <w:rFonts w:asciiTheme="minorHAnsi" w:hAnsiTheme="minorHAnsi"/>
                <w:b/>
                <w:bCs/>
                <w:szCs w:val="22"/>
              </w:rPr>
            </w:pPr>
            <w:proofErr w:type="spellStart"/>
            <w:r>
              <w:rPr>
                <w:rFonts w:asciiTheme="minorHAnsi" w:hAnsiTheme="minorHAnsi"/>
                <w:b/>
                <w:bCs/>
                <w:szCs w:val="22"/>
              </w:rPr>
              <w:t>SAgE</w:t>
            </w:r>
            <w:proofErr w:type="spellEnd"/>
          </w:p>
        </w:tc>
        <w:tc>
          <w:tcPr>
            <w:tcW w:w="6186" w:type="dxa"/>
          </w:tcPr>
          <w:p w14:paraId="305E55A4" w14:textId="77777777" w:rsidR="0044368D" w:rsidRDefault="0044368D" w:rsidP="00F45359">
            <w:pPr>
              <w:rPr>
                <w:rFonts w:asciiTheme="minorHAnsi" w:hAnsiTheme="minorHAnsi"/>
                <w:szCs w:val="22"/>
              </w:rPr>
            </w:pPr>
            <w:r>
              <w:rPr>
                <w:rFonts w:asciiTheme="minorHAnsi" w:hAnsiTheme="minorHAnsi"/>
                <w:szCs w:val="22"/>
              </w:rPr>
              <w:t>Faculty of Science, Agriculture and Engineering</w:t>
            </w:r>
          </w:p>
        </w:tc>
      </w:tr>
      <w:tr w:rsidR="0046445C" w:rsidRPr="005D2BFA" w14:paraId="7B585DA8" w14:textId="77777777" w:rsidTr="0046445C">
        <w:trPr>
          <w:cantSplit/>
        </w:trPr>
        <w:tc>
          <w:tcPr>
            <w:tcW w:w="2830" w:type="dxa"/>
          </w:tcPr>
          <w:p w14:paraId="04E8F092" w14:textId="5D2C9BB0" w:rsidR="0046445C" w:rsidRDefault="0046445C" w:rsidP="00F45359">
            <w:pPr>
              <w:rPr>
                <w:rFonts w:asciiTheme="minorHAnsi" w:hAnsiTheme="minorHAnsi"/>
                <w:b/>
                <w:bCs/>
                <w:szCs w:val="22"/>
              </w:rPr>
            </w:pPr>
            <w:r>
              <w:rPr>
                <w:rFonts w:asciiTheme="minorHAnsi" w:hAnsiTheme="minorHAnsi"/>
                <w:b/>
                <w:bCs/>
                <w:szCs w:val="22"/>
              </w:rPr>
              <w:t>SEND</w:t>
            </w:r>
          </w:p>
        </w:tc>
        <w:tc>
          <w:tcPr>
            <w:tcW w:w="6186" w:type="dxa"/>
          </w:tcPr>
          <w:p w14:paraId="7761BB38" w14:textId="7A052552" w:rsidR="0046445C" w:rsidRDefault="0046445C" w:rsidP="00F45359">
            <w:pPr>
              <w:rPr>
                <w:rFonts w:asciiTheme="minorHAnsi" w:hAnsiTheme="minorHAnsi"/>
                <w:szCs w:val="22"/>
              </w:rPr>
            </w:pPr>
            <w:r w:rsidRPr="0046445C">
              <w:rPr>
                <w:rFonts w:asciiTheme="minorHAnsi" w:hAnsiTheme="minorHAnsi"/>
                <w:szCs w:val="22"/>
              </w:rPr>
              <w:t>Special Educational Needs and Disabilities</w:t>
            </w:r>
          </w:p>
        </w:tc>
      </w:tr>
      <w:tr w:rsidR="0044368D" w:rsidRPr="005D2BFA" w14:paraId="63B7E3CC" w14:textId="77777777" w:rsidTr="00331DD2">
        <w:trPr>
          <w:cantSplit/>
        </w:trPr>
        <w:tc>
          <w:tcPr>
            <w:tcW w:w="2830" w:type="dxa"/>
          </w:tcPr>
          <w:p w14:paraId="10282B60" w14:textId="77777777" w:rsidR="0044368D" w:rsidRDefault="0044368D" w:rsidP="00F45359">
            <w:pPr>
              <w:rPr>
                <w:rFonts w:asciiTheme="minorHAnsi" w:hAnsiTheme="minorHAnsi"/>
                <w:b/>
                <w:bCs/>
                <w:szCs w:val="22"/>
              </w:rPr>
            </w:pPr>
            <w:r>
              <w:rPr>
                <w:rFonts w:asciiTheme="minorHAnsi" w:hAnsiTheme="minorHAnsi"/>
                <w:b/>
                <w:bCs/>
                <w:szCs w:val="22"/>
              </w:rPr>
              <w:t>T&amp;R</w:t>
            </w:r>
          </w:p>
        </w:tc>
        <w:tc>
          <w:tcPr>
            <w:tcW w:w="6186" w:type="dxa"/>
          </w:tcPr>
          <w:p w14:paraId="7014A982" w14:textId="77777777" w:rsidR="0044368D" w:rsidRDefault="0044368D" w:rsidP="00F45359">
            <w:pPr>
              <w:rPr>
                <w:rFonts w:asciiTheme="minorHAnsi" w:hAnsiTheme="minorHAnsi"/>
                <w:szCs w:val="22"/>
              </w:rPr>
            </w:pPr>
            <w:r>
              <w:rPr>
                <w:rFonts w:asciiTheme="minorHAnsi" w:hAnsiTheme="minorHAnsi"/>
                <w:szCs w:val="22"/>
              </w:rPr>
              <w:t>Teaching &amp; Research (academic contract)</w:t>
            </w:r>
          </w:p>
        </w:tc>
      </w:tr>
      <w:tr w:rsidR="0044368D" w:rsidRPr="005D2BFA" w14:paraId="272EA6E0" w14:textId="77777777" w:rsidTr="00331DD2">
        <w:trPr>
          <w:cantSplit/>
        </w:trPr>
        <w:tc>
          <w:tcPr>
            <w:tcW w:w="2830" w:type="dxa"/>
          </w:tcPr>
          <w:p w14:paraId="20AB07D1" w14:textId="77777777" w:rsidR="0044368D" w:rsidRDefault="0044368D" w:rsidP="00F45359">
            <w:pPr>
              <w:rPr>
                <w:rFonts w:asciiTheme="minorHAnsi" w:hAnsiTheme="minorHAnsi"/>
                <w:b/>
                <w:bCs/>
                <w:szCs w:val="22"/>
              </w:rPr>
            </w:pPr>
            <w:r>
              <w:rPr>
                <w:rFonts w:asciiTheme="minorHAnsi" w:hAnsiTheme="minorHAnsi"/>
                <w:b/>
                <w:bCs/>
                <w:szCs w:val="22"/>
              </w:rPr>
              <w:t>T&amp;S</w:t>
            </w:r>
          </w:p>
        </w:tc>
        <w:tc>
          <w:tcPr>
            <w:tcW w:w="6186" w:type="dxa"/>
          </w:tcPr>
          <w:p w14:paraId="5C579652" w14:textId="77777777" w:rsidR="0044368D" w:rsidRDefault="0044368D" w:rsidP="00F45359">
            <w:pPr>
              <w:rPr>
                <w:rFonts w:asciiTheme="minorHAnsi" w:hAnsiTheme="minorHAnsi"/>
                <w:szCs w:val="22"/>
              </w:rPr>
            </w:pPr>
            <w:r>
              <w:rPr>
                <w:rFonts w:asciiTheme="minorHAnsi" w:hAnsiTheme="minorHAnsi"/>
                <w:szCs w:val="22"/>
              </w:rPr>
              <w:t>Teaching &amp; Scholarship (academic contract)</w:t>
            </w:r>
          </w:p>
        </w:tc>
      </w:tr>
      <w:tr w:rsidR="0044368D" w:rsidRPr="005D2BFA" w14:paraId="32ED19F0" w14:textId="77777777" w:rsidTr="00331DD2">
        <w:trPr>
          <w:cantSplit/>
        </w:trPr>
        <w:tc>
          <w:tcPr>
            <w:tcW w:w="2830" w:type="dxa"/>
          </w:tcPr>
          <w:p w14:paraId="43C4A61B" w14:textId="77777777" w:rsidR="0044368D" w:rsidRDefault="0044368D" w:rsidP="00F45359">
            <w:pPr>
              <w:rPr>
                <w:rFonts w:asciiTheme="minorHAnsi" w:hAnsiTheme="minorHAnsi"/>
                <w:b/>
                <w:bCs/>
                <w:szCs w:val="22"/>
              </w:rPr>
            </w:pPr>
            <w:r>
              <w:rPr>
                <w:rFonts w:asciiTheme="minorHAnsi" w:hAnsiTheme="minorHAnsi"/>
                <w:b/>
                <w:bCs/>
                <w:szCs w:val="22"/>
              </w:rPr>
              <w:t>UG</w:t>
            </w:r>
          </w:p>
        </w:tc>
        <w:tc>
          <w:tcPr>
            <w:tcW w:w="6186" w:type="dxa"/>
          </w:tcPr>
          <w:p w14:paraId="6A2545A1" w14:textId="77777777" w:rsidR="0044368D" w:rsidRDefault="0044368D" w:rsidP="00F45359">
            <w:pPr>
              <w:rPr>
                <w:rFonts w:asciiTheme="minorHAnsi" w:hAnsiTheme="minorHAnsi"/>
                <w:szCs w:val="22"/>
              </w:rPr>
            </w:pPr>
            <w:r>
              <w:rPr>
                <w:rFonts w:asciiTheme="minorHAnsi" w:hAnsiTheme="minorHAnsi"/>
                <w:szCs w:val="22"/>
              </w:rPr>
              <w:t>Undergraduate</w:t>
            </w:r>
          </w:p>
        </w:tc>
      </w:tr>
    </w:tbl>
    <w:p w14:paraId="4BEA3EB3" w14:textId="77777777" w:rsidR="001C6DED" w:rsidRDefault="001C6DED" w:rsidP="00E07335">
      <w:pPr>
        <w:rPr>
          <w:rFonts w:asciiTheme="majorHAnsi" w:hAnsiTheme="majorHAnsi"/>
          <w:color w:val="0B769F" w:themeColor="accent4" w:themeShade="BF"/>
          <w:sz w:val="40"/>
          <w:szCs w:val="44"/>
        </w:rPr>
      </w:pPr>
    </w:p>
    <w:p w14:paraId="6BFA176E" w14:textId="2162A0D5" w:rsidR="00630A2F" w:rsidRPr="0084282D" w:rsidRDefault="00630A2F" w:rsidP="00E07335">
      <w:pPr>
        <w:rPr>
          <w:rFonts w:asciiTheme="majorHAnsi" w:hAnsiTheme="majorHAnsi"/>
          <w:color w:val="0B769F" w:themeColor="accent4" w:themeShade="BF"/>
          <w:sz w:val="40"/>
          <w:szCs w:val="44"/>
        </w:rPr>
        <w:sectPr w:rsidR="00630A2F" w:rsidRPr="0084282D">
          <w:headerReference w:type="default" r:id="rId19"/>
          <w:footerReference w:type="default" r:id="rId20"/>
          <w:pgSz w:w="11906" w:h="16838"/>
          <w:pgMar w:top="1440" w:right="1440" w:bottom="1440" w:left="1440" w:header="708" w:footer="708" w:gutter="0"/>
          <w:cols w:space="708"/>
          <w:docGrid w:linePitch="360"/>
        </w:sectPr>
      </w:pPr>
    </w:p>
    <w:p w14:paraId="1D857235" w14:textId="77777777" w:rsidR="00630A2F" w:rsidRDefault="00630A2F" w:rsidP="00482B2A">
      <w:pPr>
        <w:spacing w:after="0"/>
        <w:rPr>
          <w:rFonts w:asciiTheme="majorHAnsi" w:hAnsiTheme="majorHAnsi"/>
          <w:color w:val="0B769F" w:themeColor="accent4" w:themeShade="BF"/>
          <w:sz w:val="40"/>
          <w:szCs w:val="44"/>
        </w:rPr>
      </w:pPr>
      <w:r w:rsidRPr="009F08C0">
        <w:rPr>
          <w:rFonts w:asciiTheme="majorHAnsi" w:hAnsiTheme="majorHAnsi"/>
          <w:color w:val="0B769F" w:themeColor="accent4" w:themeShade="BF"/>
          <w:sz w:val="40"/>
          <w:szCs w:val="44"/>
        </w:rPr>
        <w:lastRenderedPageBreak/>
        <w:t>Appendix 2: Workforce Data Tables</w:t>
      </w:r>
    </w:p>
    <w:p w14:paraId="510946A9" w14:textId="77777777" w:rsidR="00D30F25" w:rsidRPr="007E2527" w:rsidRDefault="00D30F25" w:rsidP="00D30F25">
      <w:pPr>
        <w:spacing w:after="0"/>
        <w:rPr>
          <w:rFonts w:asciiTheme="minorHAnsi" w:hAnsiTheme="minorHAnsi"/>
          <w:color w:val="0B769F" w:themeColor="accent4" w:themeShade="BF"/>
          <w:szCs w:val="22"/>
        </w:rPr>
      </w:pPr>
    </w:p>
    <w:p w14:paraId="4F2D346A" w14:textId="1E8B2601" w:rsidR="00630A2F" w:rsidRPr="00B042E0" w:rsidRDefault="00630A2F" w:rsidP="00482B2A">
      <w:pPr>
        <w:pStyle w:val="ListParagraph"/>
        <w:numPr>
          <w:ilvl w:val="1"/>
          <w:numId w:val="11"/>
        </w:numPr>
        <w:rPr>
          <w:rFonts w:asciiTheme="minorHAnsi" w:hAnsiTheme="minorHAnsi"/>
          <w:color w:val="0B769F" w:themeColor="accent4" w:themeShade="BF"/>
          <w:sz w:val="28"/>
          <w:szCs w:val="28"/>
        </w:rPr>
      </w:pPr>
      <w:r w:rsidRPr="00B042E0">
        <w:rPr>
          <w:rFonts w:asciiTheme="minorHAnsi" w:hAnsiTheme="minorHAnsi"/>
          <w:color w:val="0B769F" w:themeColor="accent4" w:themeShade="BF"/>
          <w:sz w:val="28"/>
          <w:szCs w:val="28"/>
        </w:rPr>
        <w:t>Age</w:t>
      </w:r>
    </w:p>
    <w:p w14:paraId="3A8F17A7" w14:textId="77777777" w:rsidR="00482B2A" w:rsidRPr="007E2527" w:rsidRDefault="00482B2A" w:rsidP="00482B2A">
      <w:pPr>
        <w:pStyle w:val="ListParagraph"/>
        <w:rPr>
          <w:rFonts w:asciiTheme="minorHAnsi" w:hAnsiTheme="minorHAnsi"/>
          <w:color w:val="0B769F" w:themeColor="accent4" w:themeShade="BF"/>
          <w:szCs w:val="22"/>
        </w:rPr>
      </w:pPr>
    </w:p>
    <w:p w14:paraId="46CDC11E" w14:textId="4244E44E" w:rsidR="00630A2F" w:rsidRPr="007E2527" w:rsidRDefault="00630A2F" w:rsidP="00E765AE">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age group over time, 2019-2025</w:t>
      </w:r>
    </w:p>
    <w:tbl>
      <w:tblPr>
        <w:tblW w:w="12204" w:type="dxa"/>
        <w:tblLayout w:type="fixed"/>
        <w:tblLook w:val="04A0" w:firstRow="1" w:lastRow="0" w:firstColumn="1" w:lastColumn="0" w:noHBand="0" w:noVBand="1"/>
      </w:tblPr>
      <w:tblGrid>
        <w:gridCol w:w="1644"/>
        <w:gridCol w:w="960"/>
        <w:gridCol w:w="960"/>
        <w:gridCol w:w="960"/>
        <w:gridCol w:w="960"/>
        <w:gridCol w:w="960"/>
        <w:gridCol w:w="960"/>
        <w:gridCol w:w="960"/>
        <w:gridCol w:w="960"/>
        <w:gridCol w:w="960"/>
        <w:gridCol w:w="960"/>
        <w:gridCol w:w="960"/>
      </w:tblGrid>
      <w:tr w:rsidR="00705688" w:rsidRPr="00705688" w14:paraId="0D7EF541" w14:textId="77777777" w:rsidTr="00B042E0">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4372AD92" w14:textId="77777777" w:rsidR="00705688" w:rsidRPr="00705688" w:rsidRDefault="00705688" w:rsidP="00705688">
            <w:pPr>
              <w:spacing w:after="0" w:line="240" w:lineRule="auto"/>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21799E38" w14:textId="77777777" w:rsidR="00705688" w:rsidRPr="00705688" w:rsidRDefault="00705688" w:rsidP="0070568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2019</w:t>
            </w:r>
          </w:p>
        </w:tc>
        <w:tc>
          <w:tcPr>
            <w:tcW w:w="960" w:type="dxa"/>
            <w:tcBorders>
              <w:top w:val="single" w:sz="4" w:space="0" w:color="auto"/>
              <w:left w:val="nil"/>
              <w:bottom w:val="nil"/>
              <w:right w:val="nil"/>
            </w:tcBorders>
            <w:shd w:val="clear" w:color="000000" w:fill="FFFFFF"/>
            <w:noWrap/>
            <w:vAlign w:val="bottom"/>
            <w:hideMark/>
          </w:tcPr>
          <w:p w14:paraId="51B79E90" w14:textId="77777777" w:rsidR="00705688" w:rsidRPr="00705688" w:rsidRDefault="00705688" w:rsidP="0070568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2020</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0C4ADA73" w14:textId="77777777" w:rsidR="00705688" w:rsidRPr="00705688" w:rsidRDefault="00705688" w:rsidP="0070568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EAB22FA" w14:textId="77777777" w:rsidR="00705688" w:rsidRPr="00705688" w:rsidRDefault="00705688" w:rsidP="0070568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669A94F" w14:textId="77777777" w:rsidR="00705688" w:rsidRPr="00705688" w:rsidRDefault="00705688" w:rsidP="0070568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4E912965" w14:textId="77777777" w:rsidR="00705688" w:rsidRPr="00705688" w:rsidRDefault="00705688" w:rsidP="0070568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1EDDE89" w14:textId="77777777" w:rsidR="00705688" w:rsidRPr="00705688" w:rsidRDefault="00705688" w:rsidP="0070568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2025</w:t>
            </w:r>
          </w:p>
        </w:tc>
      </w:tr>
      <w:tr w:rsidR="00705688" w:rsidRPr="007E2527" w14:paraId="2C6D7133" w14:textId="77777777" w:rsidTr="00B042E0">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5A937D07" w14:textId="77777777" w:rsidR="00705688" w:rsidRPr="00705688" w:rsidRDefault="00705688" w:rsidP="00705688">
            <w:pPr>
              <w:spacing w:after="0" w:line="240" w:lineRule="auto"/>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7305B25"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5257FF8"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AAB2BA7"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3B6885A"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2C99A0A4"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1CB4730B"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1AE4111"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502FB60"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E724F50"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259AE2C"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57B7612" w14:textId="77777777" w:rsidR="00705688" w:rsidRPr="00705688" w:rsidRDefault="00705688" w:rsidP="00705688">
            <w:pPr>
              <w:spacing w:after="0" w:line="240" w:lineRule="auto"/>
              <w:jc w:val="center"/>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w:t>
            </w:r>
          </w:p>
        </w:tc>
      </w:tr>
      <w:tr w:rsidR="00705688" w:rsidRPr="007E2527" w14:paraId="3D37AC6F"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7D9C8824" w14:textId="77777777" w:rsidR="00705688" w:rsidRPr="00705688" w:rsidRDefault="00705688" w:rsidP="00705688">
            <w:pPr>
              <w:spacing w:after="0" w:line="240" w:lineRule="auto"/>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&lt;=25</w:t>
            </w:r>
          </w:p>
        </w:tc>
        <w:tc>
          <w:tcPr>
            <w:tcW w:w="960" w:type="dxa"/>
            <w:tcBorders>
              <w:top w:val="nil"/>
              <w:left w:val="nil"/>
              <w:bottom w:val="nil"/>
              <w:right w:val="single" w:sz="4" w:space="0" w:color="auto"/>
            </w:tcBorders>
            <w:shd w:val="clear" w:color="000000" w:fill="FFFFFF"/>
            <w:noWrap/>
            <w:vAlign w:val="bottom"/>
            <w:hideMark/>
          </w:tcPr>
          <w:p w14:paraId="791FCC61"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4.1%</w:t>
            </w:r>
          </w:p>
        </w:tc>
        <w:tc>
          <w:tcPr>
            <w:tcW w:w="960" w:type="dxa"/>
            <w:tcBorders>
              <w:top w:val="nil"/>
              <w:left w:val="nil"/>
              <w:bottom w:val="nil"/>
              <w:right w:val="nil"/>
            </w:tcBorders>
            <w:shd w:val="clear" w:color="000000" w:fill="FFFFFF"/>
            <w:noWrap/>
            <w:vAlign w:val="bottom"/>
            <w:hideMark/>
          </w:tcPr>
          <w:p w14:paraId="53F09674"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4.5%</w:t>
            </w:r>
          </w:p>
        </w:tc>
        <w:tc>
          <w:tcPr>
            <w:tcW w:w="960" w:type="dxa"/>
            <w:tcBorders>
              <w:top w:val="nil"/>
              <w:left w:val="single" w:sz="4" w:space="0" w:color="auto"/>
              <w:bottom w:val="nil"/>
              <w:right w:val="single" w:sz="4" w:space="0" w:color="auto"/>
            </w:tcBorders>
            <w:shd w:val="clear" w:color="000000" w:fill="FFFFFF"/>
            <w:noWrap/>
            <w:vAlign w:val="bottom"/>
            <w:hideMark/>
          </w:tcPr>
          <w:p w14:paraId="4FC8CBA9"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3.5%</w:t>
            </w:r>
          </w:p>
        </w:tc>
        <w:tc>
          <w:tcPr>
            <w:tcW w:w="960" w:type="dxa"/>
            <w:tcBorders>
              <w:top w:val="nil"/>
              <w:left w:val="nil"/>
              <w:bottom w:val="nil"/>
              <w:right w:val="nil"/>
            </w:tcBorders>
            <w:shd w:val="clear" w:color="000000" w:fill="FFFFFF"/>
            <w:noWrap/>
            <w:vAlign w:val="bottom"/>
            <w:hideMark/>
          </w:tcPr>
          <w:p w14:paraId="653A0555"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231</w:t>
            </w:r>
          </w:p>
        </w:tc>
        <w:tc>
          <w:tcPr>
            <w:tcW w:w="960" w:type="dxa"/>
            <w:tcBorders>
              <w:top w:val="nil"/>
              <w:left w:val="nil"/>
              <w:bottom w:val="nil"/>
              <w:right w:val="nil"/>
            </w:tcBorders>
            <w:shd w:val="clear" w:color="000000" w:fill="FFFFFF"/>
            <w:noWrap/>
            <w:vAlign w:val="bottom"/>
            <w:hideMark/>
          </w:tcPr>
          <w:p w14:paraId="7DEB8024"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3.6%</w:t>
            </w:r>
          </w:p>
        </w:tc>
        <w:tc>
          <w:tcPr>
            <w:tcW w:w="960" w:type="dxa"/>
            <w:tcBorders>
              <w:top w:val="nil"/>
              <w:left w:val="single" w:sz="4" w:space="0" w:color="auto"/>
              <w:bottom w:val="nil"/>
              <w:right w:val="nil"/>
            </w:tcBorders>
            <w:shd w:val="clear" w:color="000000" w:fill="FFFFFF"/>
            <w:noWrap/>
            <w:vAlign w:val="bottom"/>
            <w:hideMark/>
          </w:tcPr>
          <w:p w14:paraId="4E9FE55B"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*255</w:t>
            </w:r>
          </w:p>
        </w:tc>
        <w:tc>
          <w:tcPr>
            <w:tcW w:w="960" w:type="dxa"/>
            <w:tcBorders>
              <w:top w:val="nil"/>
              <w:left w:val="nil"/>
              <w:bottom w:val="nil"/>
              <w:right w:val="single" w:sz="4" w:space="0" w:color="auto"/>
            </w:tcBorders>
            <w:shd w:val="clear" w:color="000000" w:fill="FFFFFF"/>
            <w:noWrap/>
            <w:vAlign w:val="bottom"/>
            <w:hideMark/>
          </w:tcPr>
          <w:p w14:paraId="672EACB2"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4.0%</w:t>
            </w:r>
          </w:p>
        </w:tc>
        <w:tc>
          <w:tcPr>
            <w:tcW w:w="960" w:type="dxa"/>
            <w:tcBorders>
              <w:top w:val="nil"/>
              <w:left w:val="nil"/>
              <w:bottom w:val="nil"/>
              <w:right w:val="nil"/>
            </w:tcBorders>
            <w:shd w:val="clear" w:color="000000" w:fill="FFFFFF"/>
            <w:noWrap/>
            <w:vAlign w:val="bottom"/>
            <w:hideMark/>
          </w:tcPr>
          <w:p w14:paraId="04A4244D"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281</w:t>
            </w:r>
          </w:p>
        </w:tc>
        <w:tc>
          <w:tcPr>
            <w:tcW w:w="960" w:type="dxa"/>
            <w:tcBorders>
              <w:top w:val="nil"/>
              <w:left w:val="nil"/>
              <w:bottom w:val="nil"/>
              <w:right w:val="single" w:sz="4" w:space="0" w:color="auto"/>
            </w:tcBorders>
            <w:shd w:val="clear" w:color="000000" w:fill="FFFFFF"/>
            <w:noWrap/>
            <w:vAlign w:val="bottom"/>
            <w:hideMark/>
          </w:tcPr>
          <w:p w14:paraId="28114636"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4.3%</w:t>
            </w:r>
          </w:p>
        </w:tc>
        <w:tc>
          <w:tcPr>
            <w:tcW w:w="960" w:type="dxa"/>
            <w:tcBorders>
              <w:top w:val="nil"/>
              <w:left w:val="nil"/>
              <w:bottom w:val="nil"/>
              <w:right w:val="nil"/>
            </w:tcBorders>
            <w:shd w:val="clear" w:color="000000" w:fill="FFFFFF"/>
            <w:noWrap/>
            <w:vAlign w:val="bottom"/>
            <w:hideMark/>
          </w:tcPr>
          <w:p w14:paraId="39BF4DD9"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212</w:t>
            </w:r>
          </w:p>
        </w:tc>
        <w:tc>
          <w:tcPr>
            <w:tcW w:w="960" w:type="dxa"/>
            <w:tcBorders>
              <w:top w:val="nil"/>
              <w:left w:val="nil"/>
              <w:bottom w:val="nil"/>
              <w:right w:val="single" w:sz="4" w:space="0" w:color="auto"/>
            </w:tcBorders>
            <w:shd w:val="clear" w:color="000000" w:fill="FFFFFF"/>
            <w:noWrap/>
            <w:vAlign w:val="bottom"/>
            <w:hideMark/>
          </w:tcPr>
          <w:p w14:paraId="7B1A5B90"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3.4%</w:t>
            </w:r>
          </w:p>
        </w:tc>
      </w:tr>
      <w:tr w:rsidR="00705688" w:rsidRPr="007E2527" w14:paraId="1D438403"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1BDEE163" w14:textId="77777777" w:rsidR="00705688" w:rsidRPr="00705688" w:rsidRDefault="00705688" w:rsidP="00705688">
            <w:pPr>
              <w:spacing w:after="0" w:line="240" w:lineRule="auto"/>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26-35</w:t>
            </w:r>
          </w:p>
        </w:tc>
        <w:tc>
          <w:tcPr>
            <w:tcW w:w="960" w:type="dxa"/>
            <w:tcBorders>
              <w:top w:val="nil"/>
              <w:left w:val="nil"/>
              <w:bottom w:val="nil"/>
              <w:right w:val="single" w:sz="4" w:space="0" w:color="auto"/>
            </w:tcBorders>
            <w:shd w:val="clear" w:color="000000" w:fill="FFFFFF"/>
            <w:noWrap/>
            <w:vAlign w:val="bottom"/>
            <w:hideMark/>
          </w:tcPr>
          <w:p w14:paraId="50795C3E"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24.9%</w:t>
            </w:r>
          </w:p>
        </w:tc>
        <w:tc>
          <w:tcPr>
            <w:tcW w:w="960" w:type="dxa"/>
            <w:tcBorders>
              <w:top w:val="nil"/>
              <w:left w:val="nil"/>
              <w:bottom w:val="nil"/>
              <w:right w:val="nil"/>
            </w:tcBorders>
            <w:shd w:val="clear" w:color="000000" w:fill="FFFFFF"/>
            <w:noWrap/>
            <w:vAlign w:val="bottom"/>
            <w:hideMark/>
          </w:tcPr>
          <w:p w14:paraId="5AD4A916"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25.0%</w:t>
            </w:r>
          </w:p>
        </w:tc>
        <w:tc>
          <w:tcPr>
            <w:tcW w:w="960" w:type="dxa"/>
            <w:tcBorders>
              <w:top w:val="nil"/>
              <w:left w:val="single" w:sz="4" w:space="0" w:color="auto"/>
              <w:bottom w:val="nil"/>
              <w:right w:val="single" w:sz="4" w:space="0" w:color="auto"/>
            </w:tcBorders>
            <w:shd w:val="clear" w:color="000000" w:fill="FFFFFF"/>
            <w:noWrap/>
            <w:vAlign w:val="bottom"/>
            <w:hideMark/>
          </w:tcPr>
          <w:p w14:paraId="2B67A6C8"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24.2%</w:t>
            </w:r>
          </w:p>
        </w:tc>
        <w:tc>
          <w:tcPr>
            <w:tcW w:w="960" w:type="dxa"/>
            <w:tcBorders>
              <w:top w:val="nil"/>
              <w:left w:val="nil"/>
              <w:bottom w:val="nil"/>
              <w:right w:val="nil"/>
            </w:tcBorders>
            <w:shd w:val="clear" w:color="000000" w:fill="FFFFFF"/>
            <w:noWrap/>
            <w:vAlign w:val="bottom"/>
            <w:hideMark/>
          </w:tcPr>
          <w:p w14:paraId="42760ED0"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1563</w:t>
            </w:r>
          </w:p>
        </w:tc>
        <w:tc>
          <w:tcPr>
            <w:tcW w:w="960" w:type="dxa"/>
            <w:tcBorders>
              <w:top w:val="nil"/>
              <w:left w:val="nil"/>
              <w:bottom w:val="nil"/>
              <w:right w:val="nil"/>
            </w:tcBorders>
            <w:shd w:val="clear" w:color="000000" w:fill="FFFFFF"/>
            <w:noWrap/>
            <w:vAlign w:val="bottom"/>
            <w:hideMark/>
          </w:tcPr>
          <w:p w14:paraId="46231854"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24.4%</w:t>
            </w:r>
          </w:p>
        </w:tc>
        <w:tc>
          <w:tcPr>
            <w:tcW w:w="960" w:type="dxa"/>
            <w:tcBorders>
              <w:top w:val="nil"/>
              <w:left w:val="single" w:sz="4" w:space="0" w:color="auto"/>
              <w:bottom w:val="nil"/>
              <w:right w:val="nil"/>
            </w:tcBorders>
            <w:shd w:val="clear" w:color="000000" w:fill="FFFFFF"/>
            <w:noWrap/>
            <w:vAlign w:val="bottom"/>
            <w:hideMark/>
          </w:tcPr>
          <w:p w14:paraId="4B693564"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1538</w:t>
            </w:r>
          </w:p>
        </w:tc>
        <w:tc>
          <w:tcPr>
            <w:tcW w:w="960" w:type="dxa"/>
            <w:tcBorders>
              <w:top w:val="nil"/>
              <w:left w:val="nil"/>
              <w:bottom w:val="nil"/>
              <w:right w:val="single" w:sz="4" w:space="0" w:color="auto"/>
            </w:tcBorders>
            <w:shd w:val="clear" w:color="000000" w:fill="FFFFFF"/>
            <w:noWrap/>
            <w:vAlign w:val="bottom"/>
            <w:hideMark/>
          </w:tcPr>
          <w:p w14:paraId="1E32263B"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24.1%</w:t>
            </w:r>
          </w:p>
        </w:tc>
        <w:tc>
          <w:tcPr>
            <w:tcW w:w="960" w:type="dxa"/>
            <w:tcBorders>
              <w:top w:val="nil"/>
              <w:left w:val="nil"/>
              <w:bottom w:val="nil"/>
              <w:right w:val="nil"/>
            </w:tcBorders>
            <w:shd w:val="clear" w:color="000000" w:fill="FFFFFF"/>
            <w:noWrap/>
            <w:vAlign w:val="bottom"/>
            <w:hideMark/>
          </w:tcPr>
          <w:p w14:paraId="04F1644D"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1587</w:t>
            </w:r>
          </w:p>
        </w:tc>
        <w:tc>
          <w:tcPr>
            <w:tcW w:w="960" w:type="dxa"/>
            <w:tcBorders>
              <w:top w:val="nil"/>
              <w:left w:val="nil"/>
              <w:bottom w:val="nil"/>
              <w:right w:val="single" w:sz="4" w:space="0" w:color="auto"/>
            </w:tcBorders>
            <w:shd w:val="clear" w:color="000000" w:fill="FFFFFF"/>
            <w:noWrap/>
            <w:vAlign w:val="bottom"/>
            <w:hideMark/>
          </w:tcPr>
          <w:p w14:paraId="3BA1A0A9"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24.1%</w:t>
            </w:r>
          </w:p>
        </w:tc>
        <w:tc>
          <w:tcPr>
            <w:tcW w:w="960" w:type="dxa"/>
            <w:tcBorders>
              <w:top w:val="nil"/>
              <w:left w:val="nil"/>
              <w:bottom w:val="nil"/>
              <w:right w:val="nil"/>
            </w:tcBorders>
            <w:shd w:val="clear" w:color="000000" w:fill="FFFFFF"/>
            <w:noWrap/>
            <w:vAlign w:val="bottom"/>
            <w:hideMark/>
          </w:tcPr>
          <w:p w14:paraId="429D4032"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1475</w:t>
            </w:r>
          </w:p>
        </w:tc>
        <w:tc>
          <w:tcPr>
            <w:tcW w:w="960" w:type="dxa"/>
            <w:tcBorders>
              <w:top w:val="nil"/>
              <w:left w:val="nil"/>
              <w:bottom w:val="nil"/>
              <w:right w:val="single" w:sz="4" w:space="0" w:color="auto"/>
            </w:tcBorders>
            <w:shd w:val="clear" w:color="000000" w:fill="FFFFFF"/>
            <w:noWrap/>
            <w:vAlign w:val="bottom"/>
            <w:hideMark/>
          </w:tcPr>
          <w:p w14:paraId="25B49EF9"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23.6%</w:t>
            </w:r>
          </w:p>
        </w:tc>
      </w:tr>
      <w:tr w:rsidR="00705688" w:rsidRPr="007E2527" w14:paraId="04CB01D9"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422C1A7E" w14:textId="77777777" w:rsidR="00705688" w:rsidRPr="00705688" w:rsidRDefault="00705688" w:rsidP="00705688">
            <w:pPr>
              <w:spacing w:after="0" w:line="240" w:lineRule="auto"/>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36-45</w:t>
            </w:r>
          </w:p>
        </w:tc>
        <w:tc>
          <w:tcPr>
            <w:tcW w:w="960" w:type="dxa"/>
            <w:tcBorders>
              <w:top w:val="nil"/>
              <w:left w:val="nil"/>
              <w:bottom w:val="nil"/>
              <w:right w:val="single" w:sz="4" w:space="0" w:color="auto"/>
            </w:tcBorders>
            <w:shd w:val="clear" w:color="000000" w:fill="FFFFFF"/>
            <w:noWrap/>
            <w:vAlign w:val="bottom"/>
            <w:hideMark/>
          </w:tcPr>
          <w:p w14:paraId="31011E7A"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28.1%</w:t>
            </w:r>
          </w:p>
        </w:tc>
        <w:tc>
          <w:tcPr>
            <w:tcW w:w="960" w:type="dxa"/>
            <w:tcBorders>
              <w:top w:val="nil"/>
              <w:left w:val="nil"/>
              <w:bottom w:val="nil"/>
              <w:right w:val="nil"/>
            </w:tcBorders>
            <w:shd w:val="clear" w:color="000000" w:fill="FFFFFF"/>
            <w:noWrap/>
            <w:vAlign w:val="bottom"/>
            <w:hideMark/>
          </w:tcPr>
          <w:p w14:paraId="12FB0BD5"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27.8%</w:t>
            </w:r>
          </w:p>
        </w:tc>
        <w:tc>
          <w:tcPr>
            <w:tcW w:w="960" w:type="dxa"/>
            <w:tcBorders>
              <w:top w:val="nil"/>
              <w:left w:val="single" w:sz="4" w:space="0" w:color="auto"/>
              <w:bottom w:val="nil"/>
              <w:right w:val="single" w:sz="4" w:space="0" w:color="auto"/>
            </w:tcBorders>
            <w:shd w:val="clear" w:color="000000" w:fill="FFFFFF"/>
            <w:noWrap/>
            <w:vAlign w:val="bottom"/>
            <w:hideMark/>
          </w:tcPr>
          <w:p w14:paraId="4401B83B"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28.6%</w:t>
            </w:r>
          </w:p>
        </w:tc>
        <w:tc>
          <w:tcPr>
            <w:tcW w:w="960" w:type="dxa"/>
            <w:tcBorders>
              <w:top w:val="nil"/>
              <w:left w:val="nil"/>
              <w:bottom w:val="nil"/>
              <w:right w:val="nil"/>
            </w:tcBorders>
            <w:shd w:val="clear" w:color="000000" w:fill="FFFFFF"/>
            <w:noWrap/>
            <w:vAlign w:val="bottom"/>
            <w:hideMark/>
          </w:tcPr>
          <w:p w14:paraId="11057EB6"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1880</w:t>
            </w:r>
          </w:p>
        </w:tc>
        <w:tc>
          <w:tcPr>
            <w:tcW w:w="960" w:type="dxa"/>
            <w:tcBorders>
              <w:top w:val="nil"/>
              <w:left w:val="nil"/>
              <w:bottom w:val="nil"/>
              <w:right w:val="nil"/>
            </w:tcBorders>
            <w:shd w:val="clear" w:color="000000" w:fill="FFFFFF"/>
            <w:noWrap/>
            <w:vAlign w:val="bottom"/>
            <w:hideMark/>
          </w:tcPr>
          <w:p w14:paraId="1ADAC657"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29.3%</w:t>
            </w:r>
          </w:p>
        </w:tc>
        <w:tc>
          <w:tcPr>
            <w:tcW w:w="960" w:type="dxa"/>
            <w:tcBorders>
              <w:top w:val="nil"/>
              <w:left w:val="single" w:sz="4" w:space="0" w:color="auto"/>
              <w:bottom w:val="nil"/>
              <w:right w:val="nil"/>
            </w:tcBorders>
            <w:shd w:val="clear" w:color="000000" w:fill="FFFFFF"/>
            <w:noWrap/>
            <w:vAlign w:val="bottom"/>
            <w:hideMark/>
          </w:tcPr>
          <w:p w14:paraId="55F7B040"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1858</w:t>
            </w:r>
          </w:p>
        </w:tc>
        <w:tc>
          <w:tcPr>
            <w:tcW w:w="960" w:type="dxa"/>
            <w:tcBorders>
              <w:top w:val="nil"/>
              <w:left w:val="nil"/>
              <w:bottom w:val="nil"/>
              <w:right w:val="single" w:sz="4" w:space="0" w:color="auto"/>
            </w:tcBorders>
            <w:shd w:val="clear" w:color="000000" w:fill="FFFFFF"/>
            <w:noWrap/>
            <w:vAlign w:val="bottom"/>
            <w:hideMark/>
          </w:tcPr>
          <w:p w14:paraId="1A316D61"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29.1%</w:t>
            </w:r>
          </w:p>
        </w:tc>
        <w:tc>
          <w:tcPr>
            <w:tcW w:w="960" w:type="dxa"/>
            <w:tcBorders>
              <w:top w:val="nil"/>
              <w:left w:val="nil"/>
              <w:bottom w:val="nil"/>
              <w:right w:val="nil"/>
            </w:tcBorders>
            <w:shd w:val="clear" w:color="000000" w:fill="FFFFFF"/>
            <w:noWrap/>
            <w:vAlign w:val="bottom"/>
            <w:hideMark/>
          </w:tcPr>
          <w:p w14:paraId="753DEBD1"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1913</w:t>
            </w:r>
          </w:p>
        </w:tc>
        <w:tc>
          <w:tcPr>
            <w:tcW w:w="960" w:type="dxa"/>
            <w:tcBorders>
              <w:top w:val="nil"/>
              <w:left w:val="nil"/>
              <w:bottom w:val="nil"/>
              <w:right w:val="single" w:sz="4" w:space="0" w:color="auto"/>
            </w:tcBorders>
            <w:shd w:val="clear" w:color="000000" w:fill="FFFFFF"/>
            <w:noWrap/>
            <w:vAlign w:val="bottom"/>
            <w:hideMark/>
          </w:tcPr>
          <w:p w14:paraId="638C9900"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29.1%</w:t>
            </w:r>
          </w:p>
        </w:tc>
        <w:tc>
          <w:tcPr>
            <w:tcW w:w="960" w:type="dxa"/>
            <w:tcBorders>
              <w:top w:val="nil"/>
              <w:left w:val="nil"/>
              <w:bottom w:val="nil"/>
              <w:right w:val="nil"/>
            </w:tcBorders>
            <w:shd w:val="clear" w:color="000000" w:fill="FFFFFF"/>
            <w:noWrap/>
            <w:vAlign w:val="bottom"/>
            <w:hideMark/>
          </w:tcPr>
          <w:p w14:paraId="23D67A61"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1851</w:t>
            </w:r>
          </w:p>
        </w:tc>
        <w:tc>
          <w:tcPr>
            <w:tcW w:w="960" w:type="dxa"/>
            <w:tcBorders>
              <w:top w:val="nil"/>
              <w:left w:val="nil"/>
              <w:bottom w:val="nil"/>
              <w:right w:val="single" w:sz="4" w:space="0" w:color="auto"/>
            </w:tcBorders>
            <w:shd w:val="clear" w:color="000000" w:fill="FFFFFF"/>
            <w:noWrap/>
            <w:vAlign w:val="bottom"/>
            <w:hideMark/>
          </w:tcPr>
          <w:p w14:paraId="7621ABDC"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29.7%</w:t>
            </w:r>
          </w:p>
        </w:tc>
      </w:tr>
      <w:tr w:rsidR="00705688" w:rsidRPr="007E2527" w14:paraId="133577D0"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7B129D19" w14:textId="77777777" w:rsidR="00705688" w:rsidRPr="00705688" w:rsidRDefault="00705688" w:rsidP="00705688">
            <w:pPr>
              <w:spacing w:after="0" w:line="240" w:lineRule="auto"/>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46-55</w:t>
            </w:r>
          </w:p>
        </w:tc>
        <w:tc>
          <w:tcPr>
            <w:tcW w:w="960" w:type="dxa"/>
            <w:tcBorders>
              <w:top w:val="nil"/>
              <w:left w:val="nil"/>
              <w:bottom w:val="nil"/>
              <w:right w:val="single" w:sz="4" w:space="0" w:color="auto"/>
            </w:tcBorders>
            <w:shd w:val="clear" w:color="000000" w:fill="FFFFFF"/>
            <w:noWrap/>
            <w:vAlign w:val="bottom"/>
            <w:hideMark/>
          </w:tcPr>
          <w:p w14:paraId="1421BBED"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25.1%</w:t>
            </w:r>
          </w:p>
        </w:tc>
        <w:tc>
          <w:tcPr>
            <w:tcW w:w="960" w:type="dxa"/>
            <w:tcBorders>
              <w:top w:val="nil"/>
              <w:left w:val="nil"/>
              <w:bottom w:val="nil"/>
              <w:right w:val="nil"/>
            </w:tcBorders>
            <w:shd w:val="clear" w:color="000000" w:fill="FFFFFF"/>
            <w:noWrap/>
            <w:vAlign w:val="bottom"/>
            <w:hideMark/>
          </w:tcPr>
          <w:p w14:paraId="6D331FAD"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24.1%</w:t>
            </w:r>
          </w:p>
        </w:tc>
        <w:tc>
          <w:tcPr>
            <w:tcW w:w="960" w:type="dxa"/>
            <w:tcBorders>
              <w:top w:val="nil"/>
              <w:left w:val="single" w:sz="4" w:space="0" w:color="auto"/>
              <w:bottom w:val="nil"/>
              <w:right w:val="single" w:sz="4" w:space="0" w:color="auto"/>
            </w:tcBorders>
            <w:shd w:val="clear" w:color="000000" w:fill="FFFFFF"/>
            <w:noWrap/>
            <w:vAlign w:val="bottom"/>
            <w:hideMark/>
          </w:tcPr>
          <w:p w14:paraId="5D5332F9"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24.3%</w:t>
            </w:r>
          </w:p>
        </w:tc>
        <w:tc>
          <w:tcPr>
            <w:tcW w:w="960" w:type="dxa"/>
            <w:tcBorders>
              <w:top w:val="nil"/>
              <w:left w:val="nil"/>
              <w:bottom w:val="nil"/>
              <w:right w:val="nil"/>
            </w:tcBorders>
            <w:shd w:val="clear" w:color="000000" w:fill="FFFFFF"/>
            <w:noWrap/>
            <w:vAlign w:val="bottom"/>
            <w:hideMark/>
          </w:tcPr>
          <w:p w14:paraId="5BD74F80"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1529</w:t>
            </w:r>
          </w:p>
        </w:tc>
        <w:tc>
          <w:tcPr>
            <w:tcW w:w="960" w:type="dxa"/>
            <w:tcBorders>
              <w:top w:val="nil"/>
              <w:left w:val="nil"/>
              <w:bottom w:val="nil"/>
              <w:right w:val="nil"/>
            </w:tcBorders>
            <w:shd w:val="clear" w:color="000000" w:fill="FFFFFF"/>
            <w:noWrap/>
            <w:vAlign w:val="bottom"/>
            <w:hideMark/>
          </w:tcPr>
          <w:p w14:paraId="6E11C18E"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23.8%</w:t>
            </w:r>
          </w:p>
        </w:tc>
        <w:tc>
          <w:tcPr>
            <w:tcW w:w="960" w:type="dxa"/>
            <w:tcBorders>
              <w:top w:val="nil"/>
              <w:left w:val="single" w:sz="4" w:space="0" w:color="auto"/>
              <w:bottom w:val="nil"/>
              <w:right w:val="nil"/>
            </w:tcBorders>
            <w:shd w:val="clear" w:color="000000" w:fill="FFFFFF"/>
            <w:noWrap/>
            <w:vAlign w:val="bottom"/>
            <w:hideMark/>
          </w:tcPr>
          <w:p w14:paraId="3A3B5F8B"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1514</w:t>
            </w:r>
          </w:p>
        </w:tc>
        <w:tc>
          <w:tcPr>
            <w:tcW w:w="960" w:type="dxa"/>
            <w:tcBorders>
              <w:top w:val="nil"/>
              <w:left w:val="nil"/>
              <w:bottom w:val="nil"/>
              <w:right w:val="single" w:sz="4" w:space="0" w:color="auto"/>
            </w:tcBorders>
            <w:shd w:val="clear" w:color="000000" w:fill="FFFFFF"/>
            <w:noWrap/>
            <w:vAlign w:val="bottom"/>
            <w:hideMark/>
          </w:tcPr>
          <w:p w14:paraId="12CD342F"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23.7%</w:t>
            </w:r>
          </w:p>
        </w:tc>
        <w:tc>
          <w:tcPr>
            <w:tcW w:w="960" w:type="dxa"/>
            <w:tcBorders>
              <w:top w:val="nil"/>
              <w:left w:val="nil"/>
              <w:bottom w:val="nil"/>
              <w:right w:val="nil"/>
            </w:tcBorders>
            <w:shd w:val="clear" w:color="000000" w:fill="FFFFFF"/>
            <w:noWrap/>
            <w:vAlign w:val="bottom"/>
            <w:hideMark/>
          </w:tcPr>
          <w:p w14:paraId="6557BCFF"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1582</w:t>
            </w:r>
          </w:p>
        </w:tc>
        <w:tc>
          <w:tcPr>
            <w:tcW w:w="960" w:type="dxa"/>
            <w:tcBorders>
              <w:top w:val="nil"/>
              <w:left w:val="nil"/>
              <w:bottom w:val="nil"/>
              <w:right w:val="single" w:sz="4" w:space="0" w:color="auto"/>
            </w:tcBorders>
            <w:shd w:val="clear" w:color="000000" w:fill="FFFFFF"/>
            <w:noWrap/>
            <w:vAlign w:val="bottom"/>
            <w:hideMark/>
          </w:tcPr>
          <w:p w14:paraId="71FA7F3D"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24.1%</w:t>
            </w:r>
          </w:p>
        </w:tc>
        <w:tc>
          <w:tcPr>
            <w:tcW w:w="960" w:type="dxa"/>
            <w:tcBorders>
              <w:top w:val="nil"/>
              <w:left w:val="nil"/>
              <w:bottom w:val="nil"/>
              <w:right w:val="nil"/>
            </w:tcBorders>
            <w:shd w:val="clear" w:color="000000" w:fill="FFFFFF"/>
            <w:noWrap/>
            <w:vAlign w:val="bottom"/>
            <w:hideMark/>
          </w:tcPr>
          <w:p w14:paraId="31F049FC"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1548</w:t>
            </w:r>
          </w:p>
        </w:tc>
        <w:tc>
          <w:tcPr>
            <w:tcW w:w="960" w:type="dxa"/>
            <w:tcBorders>
              <w:top w:val="nil"/>
              <w:left w:val="nil"/>
              <w:bottom w:val="nil"/>
              <w:right w:val="single" w:sz="4" w:space="0" w:color="auto"/>
            </w:tcBorders>
            <w:shd w:val="clear" w:color="000000" w:fill="FFFFFF"/>
            <w:noWrap/>
            <w:vAlign w:val="bottom"/>
            <w:hideMark/>
          </w:tcPr>
          <w:p w14:paraId="6A532814"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24.8%</w:t>
            </w:r>
          </w:p>
        </w:tc>
      </w:tr>
      <w:tr w:rsidR="00705688" w:rsidRPr="007E2527" w14:paraId="4A7486EA"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0542134C" w14:textId="77777777" w:rsidR="00705688" w:rsidRPr="00705688" w:rsidRDefault="00705688" w:rsidP="00705688">
            <w:pPr>
              <w:spacing w:after="0" w:line="240" w:lineRule="auto"/>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56-65</w:t>
            </w:r>
          </w:p>
        </w:tc>
        <w:tc>
          <w:tcPr>
            <w:tcW w:w="960" w:type="dxa"/>
            <w:tcBorders>
              <w:top w:val="nil"/>
              <w:left w:val="nil"/>
              <w:bottom w:val="nil"/>
              <w:right w:val="single" w:sz="4" w:space="0" w:color="auto"/>
            </w:tcBorders>
            <w:shd w:val="clear" w:color="000000" w:fill="FFFFFF"/>
            <w:noWrap/>
            <w:vAlign w:val="bottom"/>
            <w:hideMark/>
          </w:tcPr>
          <w:p w14:paraId="52EB0EF1"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15.8%</w:t>
            </w:r>
          </w:p>
        </w:tc>
        <w:tc>
          <w:tcPr>
            <w:tcW w:w="960" w:type="dxa"/>
            <w:tcBorders>
              <w:top w:val="nil"/>
              <w:left w:val="nil"/>
              <w:bottom w:val="nil"/>
              <w:right w:val="nil"/>
            </w:tcBorders>
            <w:shd w:val="clear" w:color="000000" w:fill="FFFFFF"/>
            <w:noWrap/>
            <w:vAlign w:val="bottom"/>
            <w:hideMark/>
          </w:tcPr>
          <w:p w14:paraId="1EA92691"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16.4%</w:t>
            </w:r>
          </w:p>
        </w:tc>
        <w:tc>
          <w:tcPr>
            <w:tcW w:w="960" w:type="dxa"/>
            <w:tcBorders>
              <w:top w:val="nil"/>
              <w:left w:val="single" w:sz="4" w:space="0" w:color="auto"/>
              <w:bottom w:val="nil"/>
              <w:right w:val="single" w:sz="4" w:space="0" w:color="auto"/>
            </w:tcBorders>
            <w:shd w:val="clear" w:color="000000" w:fill="FFFFFF"/>
            <w:noWrap/>
            <w:vAlign w:val="bottom"/>
            <w:hideMark/>
          </w:tcPr>
          <w:p w14:paraId="5A395B8C"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16.8%</w:t>
            </w:r>
          </w:p>
        </w:tc>
        <w:tc>
          <w:tcPr>
            <w:tcW w:w="960" w:type="dxa"/>
            <w:tcBorders>
              <w:top w:val="nil"/>
              <w:left w:val="nil"/>
              <w:bottom w:val="nil"/>
              <w:right w:val="nil"/>
            </w:tcBorders>
            <w:shd w:val="clear" w:color="000000" w:fill="FFFFFF"/>
            <w:noWrap/>
            <w:vAlign w:val="bottom"/>
            <w:hideMark/>
          </w:tcPr>
          <w:p w14:paraId="6579DFA6"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1058</w:t>
            </w:r>
          </w:p>
        </w:tc>
        <w:tc>
          <w:tcPr>
            <w:tcW w:w="960" w:type="dxa"/>
            <w:tcBorders>
              <w:top w:val="nil"/>
              <w:left w:val="nil"/>
              <w:bottom w:val="nil"/>
              <w:right w:val="nil"/>
            </w:tcBorders>
            <w:shd w:val="clear" w:color="000000" w:fill="FFFFFF"/>
            <w:noWrap/>
            <w:vAlign w:val="bottom"/>
            <w:hideMark/>
          </w:tcPr>
          <w:p w14:paraId="0F85E2B0"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16.5%</w:t>
            </w:r>
          </w:p>
        </w:tc>
        <w:tc>
          <w:tcPr>
            <w:tcW w:w="960" w:type="dxa"/>
            <w:tcBorders>
              <w:top w:val="nil"/>
              <w:left w:val="single" w:sz="4" w:space="0" w:color="auto"/>
              <w:bottom w:val="nil"/>
              <w:right w:val="nil"/>
            </w:tcBorders>
            <w:shd w:val="clear" w:color="000000" w:fill="FFFFFF"/>
            <w:noWrap/>
            <w:vAlign w:val="bottom"/>
            <w:hideMark/>
          </w:tcPr>
          <w:p w14:paraId="1E562553"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1079</w:t>
            </w:r>
          </w:p>
        </w:tc>
        <w:tc>
          <w:tcPr>
            <w:tcW w:w="960" w:type="dxa"/>
            <w:tcBorders>
              <w:top w:val="nil"/>
              <w:left w:val="nil"/>
              <w:bottom w:val="nil"/>
              <w:right w:val="single" w:sz="4" w:space="0" w:color="auto"/>
            </w:tcBorders>
            <w:shd w:val="clear" w:color="000000" w:fill="FFFFFF"/>
            <w:noWrap/>
            <w:vAlign w:val="bottom"/>
            <w:hideMark/>
          </w:tcPr>
          <w:p w14:paraId="69E29B25"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16.9%</w:t>
            </w:r>
          </w:p>
        </w:tc>
        <w:tc>
          <w:tcPr>
            <w:tcW w:w="960" w:type="dxa"/>
            <w:tcBorders>
              <w:top w:val="nil"/>
              <w:left w:val="nil"/>
              <w:bottom w:val="nil"/>
              <w:right w:val="nil"/>
            </w:tcBorders>
            <w:shd w:val="clear" w:color="000000" w:fill="FFFFFF"/>
            <w:noWrap/>
            <w:vAlign w:val="bottom"/>
            <w:hideMark/>
          </w:tcPr>
          <w:p w14:paraId="3566CAE9"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1057</w:t>
            </w:r>
          </w:p>
        </w:tc>
        <w:tc>
          <w:tcPr>
            <w:tcW w:w="960" w:type="dxa"/>
            <w:tcBorders>
              <w:top w:val="nil"/>
              <w:left w:val="nil"/>
              <w:bottom w:val="nil"/>
              <w:right w:val="single" w:sz="4" w:space="0" w:color="auto"/>
            </w:tcBorders>
            <w:shd w:val="clear" w:color="000000" w:fill="FFFFFF"/>
            <w:noWrap/>
            <w:vAlign w:val="bottom"/>
            <w:hideMark/>
          </w:tcPr>
          <w:p w14:paraId="438318C6"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16.1%</w:t>
            </w:r>
          </w:p>
        </w:tc>
        <w:tc>
          <w:tcPr>
            <w:tcW w:w="960" w:type="dxa"/>
            <w:tcBorders>
              <w:top w:val="nil"/>
              <w:left w:val="nil"/>
              <w:bottom w:val="nil"/>
              <w:right w:val="nil"/>
            </w:tcBorders>
            <w:shd w:val="clear" w:color="000000" w:fill="FFFFFF"/>
            <w:noWrap/>
            <w:vAlign w:val="bottom"/>
            <w:hideMark/>
          </w:tcPr>
          <w:p w14:paraId="175A2C63"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1006</w:t>
            </w:r>
          </w:p>
        </w:tc>
        <w:tc>
          <w:tcPr>
            <w:tcW w:w="960" w:type="dxa"/>
            <w:tcBorders>
              <w:top w:val="nil"/>
              <w:left w:val="nil"/>
              <w:bottom w:val="nil"/>
              <w:right w:val="single" w:sz="4" w:space="0" w:color="auto"/>
            </w:tcBorders>
            <w:shd w:val="clear" w:color="000000" w:fill="FFFFFF"/>
            <w:noWrap/>
            <w:vAlign w:val="bottom"/>
            <w:hideMark/>
          </w:tcPr>
          <w:p w14:paraId="79659E3D"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16.1%</w:t>
            </w:r>
          </w:p>
        </w:tc>
      </w:tr>
      <w:tr w:rsidR="00705688" w:rsidRPr="007E2527" w14:paraId="72C1838A"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7368A97A" w14:textId="77777777" w:rsidR="00705688" w:rsidRPr="00705688" w:rsidRDefault="00705688" w:rsidP="00705688">
            <w:pPr>
              <w:spacing w:after="0" w:line="240" w:lineRule="auto"/>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&gt;=66</w:t>
            </w:r>
          </w:p>
        </w:tc>
        <w:tc>
          <w:tcPr>
            <w:tcW w:w="960" w:type="dxa"/>
            <w:tcBorders>
              <w:top w:val="nil"/>
              <w:left w:val="nil"/>
              <w:bottom w:val="nil"/>
              <w:right w:val="single" w:sz="4" w:space="0" w:color="auto"/>
            </w:tcBorders>
            <w:shd w:val="clear" w:color="000000" w:fill="FFFFFF"/>
            <w:noWrap/>
            <w:vAlign w:val="bottom"/>
            <w:hideMark/>
          </w:tcPr>
          <w:p w14:paraId="113AB1CC"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2.0%</w:t>
            </w:r>
          </w:p>
        </w:tc>
        <w:tc>
          <w:tcPr>
            <w:tcW w:w="960" w:type="dxa"/>
            <w:tcBorders>
              <w:top w:val="nil"/>
              <w:left w:val="nil"/>
              <w:bottom w:val="nil"/>
              <w:right w:val="nil"/>
            </w:tcBorders>
            <w:shd w:val="clear" w:color="000000" w:fill="FFFFFF"/>
            <w:noWrap/>
            <w:vAlign w:val="bottom"/>
            <w:hideMark/>
          </w:tcPr>
          <w:p w14:paraId="13C397FC"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2.2%</w:t>
            </w:r>
          </w:p>
        </w:tc>
        <w:tc>
          <w:tcPr>
            <w:tcW w:w="960" w:type="dxa"/>
            <w:tcBorders>
              <w:top w:val="nil"/>
              <w:left w:val="single" w:sz="4" w:space="0" w:color="auto"/>
              <w:bottom w:val="nil"/>
              <w:right w:val="single" w:sz="4" w:space="0" w:color="auto"/>
            </w:tcBorders>
            <w:shd w:val="clear" w:color="000000" w:fill="FFFFFF"/>
            <w:noWrap/>
            <w:vAlign w:val="bottom"/>
            <w:hideMark/>
          </w:tcPr>
          <w:p w14:paraId="51AA4CDA"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nil"/>
            </w:tcBorders>
            <w:shd w:val="clear" w:color="000000" w:fill="FFFFFF"/>
            <w:noWrap/>
            <w:vAlign w:val="bottom"/>
            <w:hideMark/>
          </w:tcPr>
          <w:p w14:paraId="0D532AC7"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154</w:t>
            </w:r>
          </w:p>
        </w:tc>
        <w:tc>
          <w:tcPr>
            <w:tcW w:w="960" w:type="dxa"/>
            <w:tcBorders>
              <w:top w:val="nil"/>
              <w:left w:val="nil"/>
              <w:bottom w:val="nil"/>
              <w:right w:val="nil"/>
            </w:tcBorders>
            <w:shd w:val="clear" w:color="000000" w:fill="FFFFFF"/>
            <w:noWrap/>
            <w:vAlign w:val="bottom"/>
            <w:hideMark/>
          </w:tcPr>
          <w:p w14:paraId="4A9CD721"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w:t>
            </w:r>
          </w:p>
        </w:tc>
        <w:tc>
          <w:tcPr>
            <w:tcW w:w="960" w:type="dxa"/>
            <w:tcBorders>
              <w:top w:val="nil"/>
              <w:left w:val="single" w:sz="4" w:space="0" w:color="auto"/>
              <w:bottom w:val="nil"/>
              <w:right w:val="nil"/>
            </w:tcBorders>
            <w:shd w:val="clear" w:color="000000" w:fill="FFFFFF"/>
            <w:noWrap/>
            <w:vAlign w:val="bottom"/>
            <w:hideMark/>
          </w:tcPr>
          <w:p w14:paraId="7DF5E7B9"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151</w:t>
            </w:r>
          </w:p>
        </w:tc>
        <w:tc>
          <w:tcPr>
            <w:tcW w:w="960" w:type="dxa"/>
            <w:tcBorders>
              <w:top w:val="nil"/>
              <w:left w:val="nil"/>
              <w:bottom w:val="nil"/>
              <w:right w:val="single" w:sz="4" w:space="0" w:color="auto"/>
            </w:tcBorders>
            <w:shd w:val="clear" w:color="000000" w:fill="FFFFFF"/>
            <w:noWrap/>
            <w:vAlign w:val="bottom"/>
            <w:hideMark/>
          </w:tcPr>
          <w:p w14:paraId="5DC7A322"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nil"/>
            </w:tcBorders>
            <w:shd w:val="clear" w:color="000000" w:fill="FFFFFF"/>
            <w:noWrap/>
            <w:vAlign w:val="bottom"/>
            <w:hideMark/>
          </w:tcPr>
          <w:p w14:paraId="4ECA442A"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154</w:t>
            </w:r>
          </w:p>
        </w:tc>
        <w:tc>
          <w:tcPr>
            <w:tcW w:w="960" w:type="dxa"/>
            <w:tcBorders>
              <w:top w:val="nil"/>
              <w:left w:val="nil"/>
              <w:bottom w:val="nil"/>
              <w:right w:val="single" w:sz="4" w:space="0" w:color="auto"/>
            </w:tcBorders>
            <w:shd w:val="clear" w:color="000000" w:fill="FFFFFF"/>
            <w:noWrap/>
            <w:vAlign w:val="bottom"/>
            <w:hideMark/>
          </w:tcPr>
          <w:p w14:paraId="40A5DFEA"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2.3%</w:t>
            </w:r>
          </w:p>
        </w:tc>
        <w:tc>
          <w:tcPr>
            <w:tcW w:w="960" w:type="dxa"/>
            <w:tcBorders>
              <w:top w:val="nil"/>
              <w:left w:val="nil"/>
              <w:bottom w:val="nil"/>
              <w:right w:val="nil"/>
            </w:tcBorders>
            <w:shd w:val="clear" w:color="000000" w:fill="FFFFFF"/>
            <w:noWrap/>
            <w:vAlign w:val="bottom"/>
            <w:hideMark/>
          </w:tcPr>
          <w:p w14:paraId="368BF9FC"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149</w:t>
            </w:r>
          </w:p>
        </w:tc>
        <w:tc>
          <w:tcPr>
            <w:tcW w:w="960" w:type="dxa"/>
            <w:tcBorders>
              <w:top w:val="nil"/>
              <w:left w:val="nil"/>
              <w:bottom w:val="nil"/>
              <w:right w:val="single" w:sz="4" w:space="0" w:color="auto"/>
            </w:tcBorders>
            <w:shd w:val="clear" w:color="000000" w:fill="FFFFFF"/>
            <w:noWrap/>
            <w:vAlign w:val="bottom"/>
            <w:hideMark/>
          </w:tcPr>
          <w:p w14:paraId="33021A8E" w14:textId="77777777" w:rsidR="00705688" w:rsidRPr="00705688" w:rsidRDefault="00705688" w:rsidP="00705688">
            <w:pPr>
              <w:spacing w:after="0" w:line="240" w:lineRule="auto"/>
              <w:jc w:val="right"/>
              <w:rPr>
                <w:rFonts w:asciiTheme="minorHAnsi" w:eastAsia="Times New Roman" w:hAnsiTheme="minorHAnsi" w:cs="Times New Roman"/>
                <w:color w:val="000000"/>
                <w:kern w:val="0"/>
                <w:szCs w:val="22"/>
                <w:lang w:eastAsia="en-GB"/>
                <w14:ligatures w14:val="none"/>
              </w:rPr>
            </w:pPr>
            <w:r w:rsidRPr="00705688">
              <w:rPr>
                <w:rFonts w:asciiTheme="minorHAnsi" w:eastAsia="Times New Roman" w:hAnsiTheme="minorHAnsi" w:cs="Times New Roman"/>
                <w:color w:val="000000"/>
                <w:kern w:val="0"/>
                <w:szCs w:val="22"/>
                <w:lang w:eastAsia="en-GB"/>
                <w14:ligatures w14:val="none"/>
              </w:rPr>
              <w:t>2.4%</w:t>
            </w:r>
          </w:p>
        </w:tc>
      </w:tr>
      <w:tr w:rsidR="00705688" w:rsidRPr="007E2527" w14:paraId="43397D0A" w14:textId="77777777" w:rsidTr="00B042E0">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04E029B1" w14:textId="77777777" w:rsidR="00705688" w:rsidRPr="00705688" w:rsidRDefault="00705688" w:rsidP="00705688">
            <w:pPr>
              <w:spacing w:after="0" w:line="240" w:lineRule="auto"/>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26AC15C9"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2CC997C"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6E28FF3D"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35D4B528"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6415</w:t>
            </w:r>
          </w:p>
        </w:tc>
        <w:tc>
          <w:tcPr>
            <w:tcW w:w="960" w:type="dxa"/>
            <w:tcBorders>
              <w:top w:val="dotted" w:sz="4" w:space="0" w:color="auto"/>
              <w:left w:val="nil"/>
              <w:bottom w:val="double" w:sz="6" w:space="0" w:color="auto"/>
              <w:right w:val="nil"/>
            </w:tcBorders>
            <w:shd w:val="clear" w:color="000000" w:fill="FFFFFF"/>
            <w:noWrap/>
            <w:vAlign w:val="bottom"/>
            <w:hideMark/>
          </w:tcPr>
          <w:p w14:paraId="3C368BE2"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3A13A77"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*6395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B4CA725"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6B50DF5"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6574</w:t>
            </w:r>
          </w:p>
        </w:tc>
        <w:tc>
          <w:tcPr>
            <w:tcW w:w="960" w:type="dxa"/>
            <w:tcBorders>
              <w:top w:val="dotted" w:sz="4" w:space="0" w:color="auto"/>
              <w:left w:val="nil"/>
              <w:bottom w:val="double" w:sz="6" w:space="0" w:color="auto"/>
              <w:right w:val="nil"/>
            </w:tcBorders>
            <w:shd w:val="clear" w:color="000000" w:fill="FFFFFF"/>
            <w:noWrap/>
            <w:vAlign w:val="bottom"/>
            <w:hideMark/>
          </w:tcPr>
          <w:p w14:paraId="5AE54FD6"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2A34AACC"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6241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18916B9" w14:textId="77777777" w:rsidR="00705688" w:rsidRPr="00705688" w:rsidRDefault="00705688" w:rsidP="0070568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05688">
              <w:rPr>
                <w:rFonts w:asciiTheme="minorHAnsi" w:eastAsia="Times New Roman" w:hAnsiTheme="minorHAnsi" w:cs="Times New Roman"/>
                <w:b/>
                <w:bCs/>
                <w:color w:val="000000"/>
                <w:kern w:val="0"/>
                <w:szCs w:val="22"/>
                <w:lang w:eastAsia="en-GB"/>
                <w14:ligatures w14:val="none"/>
              </w:rPr>
              <w:t>100%</w:t>
            </w:r>
          </w:p>
        </w:tc>
      </w:tr>
    </w:tbl>
    <w:p w14:paraId="0AD73E0F" w14:textId="77777777" w:rsidR="008B2204" w:rsidRPr="007E2527" w:rsidRDefault="008B2204" w:rsidP="008B2204">
      <w:pPr>
        <w:spacing w:after="0"/>
        <w:rPr>
          <w:rFonts w:asciiTheme="minorHAnsi" w:hAnsiTheme="minorHAnsi"/>
          <w:szCs w:val="22"/>
        </w:rPr>
      </w:pPr>
    </w:p>
    <w:p w14:paraId="319EA64D" w14:textId="105AEA32" w:rsidR="008A64C4" w:rsidRPr="007E2527" w:rsidRDefault="008A64C4" w:rsidP="00E07335">
      <w:pPr>
        <w:rPr>
          <w:rFonts w:asciiTheme="minorHAnsi" w:hAnsiTheme="minorHAnsi"/>
          <w:szCs w:val="22"/>
        </w:rPr>
      </w:pPr>
      <w:r w:rsidRPr="007E2527">
        <w:rPr>
          <w:rFonts w:asciiTheme="minorHAnsi" w:hAnsiTheme="minorHAnsi"/>
          <w:szCs w:val="22"/>
        </w:rPr>
        <w:t>* These figures have been adjusted to correct a minor inaccuracy in previous reporting.</w:t>
      </w:r>
    </w:p>
    <w:p w14:paraId="160889FE" w14:textId="77777777" w:rsidR="000F5084" w:rsidRPr="007E2527" w:rsidRDefault="000F5084" w:rsidP="00E07335">
      <w:pPr>
        <w:rPr>
          <w:rFonts w:asciiTheme="minorHAnsi" w:hAnsiTheme="minorHAnsi"/>
          <w:szCs w:val="22"/>
        </w:rPr>
      </w:pPr>
    </w:p>
    <w:p w14:paraId="7C745A46" w14:textId="77777777" w:rsidR="004F0C5A" w:rsidRPr="007E2527" w:rsidRDefault="004F0C5A" w:rsidP="00E07335">
      <w:pPr>
        <w:rPr>
          <w:rFonts w:asciiTheme="minorHAnsi" w:hAnsiTheme="minorHAnsi"/>
          <w:szCs w:val="22"/>
        </w:rPr>
      </w:pPr>
    </w:p>
    <w:p w14:paraId="34FC5519" w14:textId="77777777" w:rsidR="004F0C5A" w:rsidRPr="007E2527" w:rsidRDefault="004F0C5A" w:rsidP="00E07335">
      <w:pPr>
        <w:rPr>
          <w:rFonts w:asciiTheme="minorHAnsi" w:hAnsiTheme="minorHAnsi"/>
          <w:szCs w:val="22"/>
        </w:rPr>
      </w:pPr>
    </w:p>
    <w:p w14:paraId="33A7A6F0" w14:textId="77777777" w:rsidR="004F0C5A" w:rsidRPr="007E2527" w:rsidRDefault="004F0C5A" w:rsidP="00E07335">
      <w:pPr>
        <w:rPr>
          <w:rFonts w:asciiTheme="minorHAnsi" w:hAnsiTheme="minorHAnsi"/>
          <w:szCs w:val="22"/>
        </w:rPr>
      </w:pPr>
    </w:p>
    <w:p w14:paraId="67195712" w14:textId="77777777" w:rsidR="004F0C5A" w:rsidRPr="007E2527" w:rsidRDefault="004F0C5A" w:rsidP="00E07335">
      <w:pPr>
        <w:rPr>
          <w:rFonts w:asciiTheme="minorHAnsi" w:hAnsiTheme="minorHAnsi"/>
          <w:szCs w:val="22"/>
        </w:rPr>
      </w:pPr>
    </w:p>
    <w:p w14:paraId="507B5C78" w14:textId="77777777" w:rsidR="004F0C5A" w:rsidRPr="007E2527" w:rsidRDefault="004F0C5A" w:rsidP="00E07335">
      <w:pPr>
        <w:rPr>
          <w:rFonts w:asciiTheme="minorHAnsi" w:hAnsiTheme="minorHAnsi"/>
          <w:szCs w:val="22"/>
        </w:rPr>
      </w:pPr>
    </w:p>
    <w:p w14:paraId="718DA74B" w14:textId="77777777" w:rsidR="004F0C5A" w:rsidRPr="007E2527" w:rsidRDefault="004F0C5A" w:rsidP="00E07335">
      <w:pPr>
        <w:rPr>
          <w:rFonts w:asciiTheme="minorHAnsi" w:hAnsiTheme="minorHAnsi"/>
          <w:szCs w:val="22"/>
        </w:rPr>
      </w:pPr>
    </w:p>
    <w:p w14:paraId="56CF5AA3" w14:textId="44BEC214" w:rsidR="000F5084" w:rsidRPr="007E2527" w:rsidRDefault="000F5084"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age group and occupation, 2025 (N=6,241)</w:t>
      </w:r>
    </w:p>
    <w:tbl>
      <w:tblPr>
        <w:tblW w:w="7404" w:type="dxa"/>
        <w:tblLayout w:type="fixed"/>
        <w:tblLook w:val="04A0" w:firstRow="1" w:lastRow="0" w:firstColumn="1" w:lastColumn="0" w:noHBand="0" w:noVBand="1"/>
      </w:tblPr>
      <w:tblGrid>
        <w:gridCol w:w="1644"/>
        <w:gridCol w:w="960"/>
        <w:gridCol w:w="960"/>
        <w:gridCol w:w="960"/>
        <w:gridCol w:w="960"/>
        <w:gridCol w:w="960"/>
        <w:gridCol w:w="960"/>
      </w:tblGrid>
      <w:tr w:rsidR="004F0C5A" w:rsidRPr="004F0C5A" w14:paraId="1887B99E" w14:textId="77777777" w:rsidTr="00B042E0">
        <w:trPr>
          <w:trHeight w:val="300"/>
        </w:trPr>
        <w:tc>
          <w:tcPr>
            <w:tcW w:w="1644" w:type="dxa"/>
            <w:tcBorders>
              <w:top w:val="single" w:sz="4" w:space="0" w:color="auto"/>
              <w:left w:val="single" w:sz="4" w:space="0" w:color="auto"/>
              <w:bottom w:val="nil"/>
              <w:right w:val="single" w:sz="4" w:space="0" w:color="auto"/>
            </w:tcBorders>
            <w:shd w:val="clear" w:color="000000" w:fill="FFFFFF"/>
            <w:noWrap/>
            <w:vAlign w:val="bottom"/>
            <w:hideMark/>
          </w:tcPr>
          <w:p w14:paraId="39B21308" w14:textId="77777777" w:rsidR="004F0C5A" w:rsidRPr="004F0C5A" w:rsidRDefault="004F0C5A" w:rsidP="004F0C5A">
            <w:pPr>
              <w:spacing w:after="0" w:line="240" w:lineRule="auto"/>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F90E91A" w14:textId="77777777" w:rsidR="004F0C5A" w:rsidRPr="004F0C5A" w:rsidRDefault="004F0C5A" w:rsidP="004F0C5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54B8A6B" w14:textId="77777777" w:rsidR="004F0C5A" w:rsidRPr="004F0C5A" w:rsidRDefault="004F0C5A" w:rsidP="004F0C5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E0A345D" w14:textId="77777777" w:rsidR="004F0C5A" w:rsidRPr="004F0C5A" w:rsidRDefault="004F0C5A" w:rsidP="004F0C5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PS</w:t>
            </w:r>
          </w:p>
        </w:tc>
      </w:tr>
      <w:tr w:rsidR="007E2527" w:rsidRPr="007E2527" w14:paraId="179D42A1" w14:textId="77777777" w:rsidTr="00B042E0">
        <w:trPr>
          <w:trHeight w:val="300"/>
        </w:trPr>
        <w:tc>
          <w:tcPr>
            <w:tcW w:w="1644" w:type="dxa"/>
            <w:tcBorders>
              <w:top w:val="nil"/>
              <w:left w:val="single" w:sz="4" w:space="0" w:color="auto"/>
              <w:bottom w:val="single" w:sz="4" w:space="0" w:color="auto"/>
              <w:right w:val="single" w:sz="4" w:space="0" w:color="auto"/>
            </w:tcBorders>
            <w:shd w:val="clear" w:color="000000" w:fill="FFFFFF"/>
            <w:noWrap/>
            <w:vAlign w:val="bottom"/>
            <w:hideMark/>
          </w:tcPr>
          <w:p w14:paraId="29E8902E" w14:textId="77777777" w:rsidR="004F0C5A" w:rsidRPr="004F0C5A" w:rsidRDefault="004F0C5A" w:rsidP="004F0C5A">
            <w:pPr>
              <w:spacing w:after="0" w:line="240" w:lineRule="auto"/>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single" w:sz="4" w:space="0" w:color="auto"/>
              <w:right w:val="nil"/>
            </w:tcBorders>
            <w:shd w:val="clear" w:color="000000" w:fill="FFFFFF"/>
            <w:noWrap/>
            <w:vAlign w:val="bottom"/>
            <w:hideMark/>
          </w:tcPr>
          <w:p w14:paraId="59F00DE0" w14:textId="77777777" w:rsidR="004F0C5A" w:rsidRPr="004F0C5A" w:rsidRDefault="004F0C5A" w:rsidP="004F0C5A">
            <w:pPr>
              <w:spacing w:after="0" w:line="240" w:lineRule="auto"/>
              <w:jc w:val="center"/>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9512A0E" w14:textId="77777777" w:rsidR="004F0C5A" w:rsidRPr="004F0C5A" w:rsidRDefault="004F0C5A" w:rsidP="004F0C5A">
            <w:pPr>
              <w:spacing w:after="0" w:line="240" w:lineRule="auto"/>
              <w:jc w:val="center"/>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9C75990" w14:textId="77777777" w:rsidR="004F0C5A" w:rsidRPr="004F0C5A" w:rsidRDefault="004F0C5A" w:rsidP="004F0C5A">
            <w:pPr>
              <w:spacing w:after="0" w:line="240" w:lineRule="auto"/>
              <w:jc w:val="center"/>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FC3DA88" w14:textId="77777777" w:rsidR="004F0C5A" w:rsidRPr="004F0C5A" w:rsidRDefault="004F0C5A" w:rsidP="004F0C5A">
            <w:pPr>
              <w:spacing w:after="0" w:line="240" w:lineRule="auto"/>
              <w:jc w:val="center"/>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7A3587E" w14:textId="77777777" w:rsidR="004F0C5A" w:rsidRPr="004F0C5A" w:rsidRDefault="004F0C5A" w:rsidP="004F0C5A">
            <w:pPr>
              <w:spacing w:after="0" w:line="240" w:lineRule="auto"/>
              <w:jc w:val="center"/>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0869F63" w14:textId="77777777" w:rsidR="004F0C5A" w:rsidRPr="004F0C5A" w:rsidRDefault="004F0C5A" w:rsidP="004F0C5A">
            <w:pPr>
              <w:spacing w:after="0" w:line="240" w:lineRule="auto"/>
              <w:jc w:val="center"/>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w:t>
            </w:r>
          </w:p>
        </w:tc>
      </w:tr>
      <w:tr w:rsidR="007E2527" w:rsidRPr="007E2527" w14:paraId="4B3697FA"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0711CDAB" w14:textId="77777777" w:rsidR="004F0C5A" w:rsidRPr="004F0C5A" w:rsidRDefault="004F0C5A" w:rsidP="004F0C5A">
            <w:pPr>
              <w:spacing w:after="0" w:line="240" w:lineRule="auto"/>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&lt;=25</w:t>
            </w:r>
          </w:p>
        </w:tc>
        <w:tc>
          <w:tcPr>
            <w:tcW w:w="960" w:type="dxa"/>
            <w:tcBorders>
              <w:top w:val="nil"/>
              <w:left w:val="nil"/>
              <w:bottom w:val="nil"/>
              <w:right w:val="nil"/>
            </w:tcBorders>
            <w:shd w:val="clear" w:color="000000" w:fill="FFFFFF"/>
            <w:noWrap/>
            <w:vAlign w:val="bottom"/>
            <w:hideMark/>
          </w:tcPr>
          <w:p w14:paraId="510BCEEB"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single" w:sz="4" w:space="0" w:color="auto"/>
            </w:tcBorders>
            <w:shd w:val="clear" w:color="000000" w:fill="FFFFFF"/>
            <w:noWrap/>
            <w:vAlign w:val="bottom"/>
            <w:hideMark/>
          </w:tcPr>
          <w:p w14:paraId="4D0DF73F"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0.4%</w:t>
            </w:r>
          </w:p>
        </w:tc>
        <w:tc>
          <w:tcPr>
            <w:tcW w:w="960" w:type="dxa"/>
            <w:tcBorders>
              <w:top w:val="nil"/>
              <w:left w:val="nil"/>
              <w:bottom w:val="nil"/>
              <w:right w:val="nil"/>
            </w:tcBorders>
            <w:shd w:val="clear" w:color="000000" w:fill="FFFFFF"/>
            <w:noWrap/>
            <w:vAlign w:val="bottom"/>
            <w:hideMark/>
          </w:tcPr>
          <w:p w14:paraId="2BD2F89D"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single" w:sz="4" w:space="0" w:color="auto"/>
            </w:tcBorders>
            <w:shd w:val="clear" w:color="000000" w:fill="FFFFFF"/>
            <w:noWrap/>
            <w:vAlign w:val="bottom"/>
            <w:hideMark/>
          </w:tcPr>
          <w:p w14:paraId="579878E0"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nil"/>
            </w:tcBorders>
            <w:shd w:val="clear" w:color="000000" w:fill="FFFFFF"/>
            <w:noWrap/>
            <w:vAlign w:val="bottom"/>
            <w:hideMark/>
          </w:tcPr>
          <w:p w14:paraId="0F61FB0D"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175</w:t>
            </w:r>
          </w:p>
        </w:tc>
        <w:tc>
          <w:tcPr>
            <w:tcW w:w="960" w:type="dxa"/>
            <w:tcBorders>
              <w:top w:val="nil"/>
              <w:left w:val="nil"/>
              <w:bottom w:val="nil"/>
              <w:right w:val="single" w:sz="4" w:space="0" w:color="auto"/>
            </w:tcBorders>
            <w:shd w:val="clear" w:color="000000" w:fill="FFFFFF"/>
            <w:noWrap/>
            <w:vAlign w:val="bottom"/>
            <w:hideMark/>
          </w:tcPr>
          <w:p w14:paraId="3CE8D4C0"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5.2%</w:t>
            </w:r>
          </w:p>
        </w:tc>
      </w:tr>
      <w:tr w:rsidR="007E2527" w:rsidRPr="007E2527" w14:paraId="444FC318"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08711D94" w14:textId="77777777" w:rsidR="004F0C5A" w:rsidRPr="004F0C5A" w:rsidRDefault="004F0C5A" w:rsidP="004F0C5A">
            <w:pPr>
              <w:spacing w:after="0" w:line="240" w:lineRule="auto"/>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26-35</w:t>
            </w:r>
          </w:p>
        </w:tc>
        <w:tc>
          <w:tcPr>
            <w:tcW w:w="960" w:type="dxa"/>
            <w:tcBorders>
              <w:top w:val="nil"/>
              <w:left w:val="nil"/>
              <w:bottom w:val="nil"/>
              <w:right w:val="nil"/>
            </w:tcBorders>
            <w:shd w:val="clear" w:color="000000" w:fill="FFFFFF"/>
            <w:noWrap/>
            <w:vAlign w:val="bottom"/>
            <w:hideMark/>
          </w:tcPr>
          <w:p w14:paraId="76885C60"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191</w:t>
            </w:r>
          </w:p>
        </w:tc>
        <w:tc>
          <w:tcPr>
            <w:tcW w:w="960" w:type="dxa"/>
            <w:tcBorders>
              <w:top w:val="nil"/>
              <w:left w:val="nil"/>
              <w:bottom w:val="nil"/>
              <w:right w:val="single" w:sz="4" w:space="0" w:color="auto"/>
            </w:tcBorders>
            <w:shd w:val="clear" w:color="000000" w:fill="FFFFFF"/>
            <w:noWrap/>
            <w:vAlign w:val="bottom"/>
            <w:hideMark/>
          </w:tcPr>
          <w:p w14:paraId="684CD61E"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10.3%</w:t>
            </w:r>
          </w:p>
        </w:tc>
        <w:tc>
          <w:tcPr>
            <w:tcW w:w="960" w:type="dxa"/>
            <w:tcBorders>
              <w:top w:val="nil"/>
              <w:left w:val="nil"/>
              <w:bottom w:val="nil"/>
              <w:right w:val="nil"/>
            </w:tcBorders>
            <w:shd w:val="clear" w:color="000000" w:fill="FFFFFF"/>
            <w:noWrap/>
            <w:vAlign w:val="bottom"/>
            <w:hideMark/>
          </w:tcPr>
          <w:p w14:paraId="66BF37DB"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504</w:t>
            </w:r>
          </w:p>
        </w:tc>
        <w:tc>
          <w:tcPr>
            <w:tcW w:w="960" w:type="dxa"/>
            <w:tcBorders>
              <w:top w:val="nil"/>
              <w:left w:val="nil"/>
              <w:bottom w:val="nil"/>
              <w:right w:val="single" w:sz="4" w:space="0" w:color="auto"/>
            </w:tcBorders>
            <w:shd w:val="clear" w:color="000000" w:fill="FFFFFF"/>
            <w:noWrap/>
            <w:vAlign w:val="bottom"/>
            <w:hideMark/>
          </w:tcPr>
          <w:p w14:paraId="50CEA92B"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50.4%</w:t>
            </w:r>
          </w:p>
        </w:tc>
        <w:tc>
          <w:tcPr>
            <w:tcW w:w="960" w:type="dxa"/>
            <w:tcBorders>
              <w:top w:val="nil"/>
              <w:left w:val="nil"/>
              <w:bottom w:val="nil"/>
              <w:right w:val="nil"/>
            </w:tcBorders>
            <w:shd w:val="clear" w:color="000000" w:fill="FFFFFF"/>
            <w:noWrap/>
            <w:vAlign w:val="bottom"/>
            <w:hideMark/>
          </w:tcPr>
          <w:p w14:paraId="233CC3F2"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780</w:t>
            </w:r>
          </w:p>
        </w:tc>
        <w:tc>
          <w:tcPr>
            <w:tcW w:w="960" w:type="dxa"/>
            <w:tcBorders>
              <w:top w:val="nil"/>
              <w:left w:val="nil"/>
              <w:bottom w:val="nil"/>
              <w:right w:val="single" w:sz="4" w:space="0" w:color="auto"/>
            </w:tcBorders>
            <w:shd w:val="clear" w:color="000000" w:fill="FFFFFF"/>
            <w:noWrap/>
            <w:vAlign w:val="bottom"/>
            <w:hideMark/>
          </w:tcPr>
          <w:p w14:paraId="6D35CEE9"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23.1%</w:t>
            </w:r>
          </w:p>
        </w:tc>
      </w:tr>
      <w:tr w:rsidR="007E2527" w:rsidRPr="007E2527" w14:paraId="274DBFD5"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42FC52B3" w14:textId="77777777" w:rsidR="004F0C5A" w:rsidRPr="004F0C5A" w:rsidRDefault="004F0C5A" w:rsidP="004F0C5A">
            <w:pPr>
              <w:spacing w:after="0" w:line="240" w:lineRule="auto"/>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36-45</w:t>
            </w:r>
          </w:p>
        </w:tc>
        <w:tc>
          <w:tcPr>
            <w:tcW w:w="960" w:type="dxa"/>
            <w:tcBorders>
              <w:top w:val="nil"/>
              <w:left w:val="nil"/>
              <w:bottom w:val="nil"/>
              <w:right w:val="nil"/>
            </w:tcBorders>
            <w:shd w:val="clear" w:color="000000" w:fill="FFFFFF"/>
            <w:noWrap/>
            <w:vAlign w:val="bottom"/>
            <w:hideMark/>
          </w:tcPr>
          <w:p w14:paraId="64FD74D7"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636</w:t>
            </w:r>
          </w:p>
        </w:tc>
        <w:tc>
          <w:tcPr>
            <w:tcW w:w="960" w:type="dxa"/>
            <w:tcBorders>
              <w:top w:val="nil"/>
              <w:left w:val="nil"/>
              <w:bottom w:val="nil"/>
              <w:right w:val="single" w:sz="4" w:space="0" w:color="auto"/>
            </w:tcBorders>
            <w:shd w:val="clear" w:color="000000" w:fill="FFFFFF"/>
            <w:noWrap/>
            <w:vAlign w:val="bottom"/>
            <w:hideMark/>
          </w:tcPr>
          <w:p w14:paraId="6A7857CF"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34.2%</w:t>
            </w:r>
          </w:p>
        </w:tc>
        <w:tc>
          <w:tcPr>
            <w:tcW w:w="960" w:type="dxa"/>
            <w:tcBorders>
              <w:top w:val="nil"/>
              <w:left w:val="nil"/>
              <w:bottom w:val="nil"/>
              <w:right w:val="nil"/>
            </w:tcBorders>
            <w:shd w:val="clear" w:color="000000" w:fill="FFFFFF"/>
            <w:noWrap/>
            <w:vAlign w:val="bottom"/>
            <w:hideMark/>
          </w:tcPr>
          <w:p w14:paraId="25CD9C22"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300</w:t>
            </w:r>
          </w:p>
        </w:tc>
        <w:tc>
          <w:tcPr>
            <w:tcW w:w="960" w:type="dxa"/>
            <w:tcBorders>
              <w:top w:val="nil"/>
              <w:left w:val="nil"/>
              <w:bottom w:val="nil"/>
              <w:right w:val="single" w:sz="4" w:space="0" w:color="auto"/>
            </w:tcBorders>
            <w:shd w:val="clear" w:color="000000" w:fill="FFFFFF"/>
            <w:noWrap/>
            <w:vAlign w:val="bottom"/>
            <w:hideMark/>
          </w:tcPr>
          <w:p w14:paraId="5BEB8876"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30.0%</w:t>
            </w:r>
          </w:p>
        </w:tc>
        <w:tc>
          <w:tcPr>
            <w:tcW w:w="960" w:type="dxa"/>
            <w:tcBorders>
              <w:top w:val="nil"/>
              <w:left w:val="nil"/>
              <w:bottom w:val="nil"/>
              <w:right w:val="nil"/>
            </w:tcBorders>
            <w:shd w:val="clear" w:color="000000" w:fill="FFFFFF"/>
            <w:noWrap/>
            <w:vAlign w:val="bottom"/>
            <w:hideMark/>
          </w:tcPr>
          <w:p w14:paraId="75DEF4F9"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915</w:t>
            </w:r>
          </w:p>
        </w:tc>
        <w:tc>
          <w:tcPr>
            <w:tcW w:w="960" w:type="dxa"/>
            <w:tcBorders>
              <w:top w:val="nil"/>
              <w:left w:val="nil"/>
              <w:bottom w:val="nil"/>
              <w:right w:val="single" w:sz="4" w:space="0" w:color="auto"/>
            </w:tcBorders>
            <w:shd w:val="clear" w:color="000000" w:fill="FFFFFF"/>
            <w:noWrap/>
            <w:vAlign w:val="bottom"/>
            <w:hideMark/>
          </w:tcPr>
          <w:p w14:paraId="0568FA0F"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27.1%</w:t>
            </w:r>
          </w:p>
        </w:tc>
      </w:tr>
      <w:tr w:rsidR="007E2527" w:rsidRPr="007E2527" w14:paraId="3D39CE21"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6CC51290" w14:textId="77777777" w:rsidR="004F0C5A" w:rsidRPr="004F0C5A" w:rsidRDefault="004F0C5A" w:rsidP="004F0C5A">
            <w:pPr>
              <w:spacing w:after="0" w:line="240" w:lineRule="auto"/>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46-55</w:t>
            </w:r>
          </w:p>
        </w:tc>
        <w:tc>
          <w:tcPr>
            <w:tcW w:w="960" w:type="dxa"/>
            <w:tcBorders>
              <w:top w:val="nil"/>
              <w:left w:val="nil"/>
              <w:bottom w:val="nil"/>
              <w:right w:val="nil"/>
            </w:tcBorders>
            <w:shd w:val="clear" w:color="000000" w:fill="FFFFFF"/>
            <w:noWrap/>
            <w:vAlign w:val="bottom"/>
            <w:hideMark/>
          </w:tcPr>
          <w:p w14:paraId="5F660364"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602</w:t>
            </w:r>
          </w:p>
        </w:tc>
        <w:tc>
          <w:tcPr>
            <w:tcW w:w="960" w:type="dxa"/>
            <w:tcBorders>
              <w:top w:val="nil"/>
              <w:left w:val="nil"/>
              <w:bottom w:val="nil"/>
              <w:right w:val="single" w:sz="4" w:space="0" w:color="auto"/>
            </w:tcBorders>
            <w:shd w:val="clear" w:color="000000" w:fill="FFFFFF"/>
            <w:noWrap/>
            <w:vAlign w:val="bottom"/>
            <w:hideMark/>
          </w:tcPr>
          <w:p w14:paraId="679CEE84"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32.4%</w:t>
            </w:r>
          </w:p>
        </w:tc>
        <w:tc>
          <w:tcPr>
            <w:tcW w:w="960" w:type="dxa"/>
            <w:tcBorders>
              <w:top w:val="nil"/>
              <w:left w:val="nil"/>
              <w:bottom w:val="nil"/>
              <w:right w:val="nil"/>
            </w:tcBorders>
            <w:shd w:val="clear" w:color="000000" w:fill="FFFFFF"/>
            <w:noWrap/>
            <w:vAlign w:val="bottom"/>
            <w:hideMark/>
          </w:tcPr>
          <w:p w14:paraId="0A7719F8"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single" w:sz="4" w:space="0" w:color="auto"/>
            </w:tcBorders>
            <w:shd w:val="clear" w:color="000000" w:fill="FFFFFF"/>
            <w:noWrap/>
            <w:vAlign w:val="bottom"/>
            <w:hideMark/>
          </w:tcPr>
          <w:p w14:paraId="162BF4AC"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nil"/>
            </w:tcBorders>
            <w:shd w:val="clear" w:color="000000" w:fill="FFFFFF"/>
            <w:noWrap/>
            <w:vAlign w:val="bottom"/>
            <w:hideMark/>
          </w:tcPr>
          <w:p w14:paraId="2F561917"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845</w:t>
            </w:r>
          </w:p>
        </w:tc>
        <w:tc>
          <w:tcPr>
            <w:tcW w:w="960" w:type="dxa"/>
            <w:tcBorders>
              <w:top w:val="nil"/>
              <w:left w:val="nil"/>
              <w:bottom w:val="nil"/>
              <w:right w:val="single" w:sz="4" w:space="0" w:color="auto"/>
            </w:tcBorders>
            <w:shd w:val="clear" w:color="000000" w:fill="FFFFFF"/>
            <w:noWrap/>
            <w:vAlign w:val="bottom"/>
            <w:hideMark/>
          </w:tcPr>
          <w:p w14:paraId="150D6073"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25.0%</w:t>
            </w:r>
          </w:p>
        </w:tc>
      </w:tr>
      <w:tr w:rsidR="007E2527" w:rsidRPr="007E2527" w14:paraId="46390326"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6DA5A439" w14:textId="77777777" w:rsidR="004F0C5A" w:rsidRPr="004F0C5A" w:rsidRDefault="004F0C5A" w:rsidP="004F0C5A">
            <w:pPr>
              <w:spacing w:after="0" w:line="240" w:lineRule="auto"/>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56-65</w:t>
            </w:r>
          </w:p>
        </w:tc>
        <w:tc>
          <w:tcPr>
            <w:tcW w:w="960" w:type="dxa"/>
            <w:tcBorders>
              <w:top w:val="nil"/>
              <w:left w:val="nil"/>
              <w:bottom w:val="nil"/>
              <w:right w:val="nil"/>
            </w:tcBorders>
            <w:shd w:val="clear" w:color="000000" w:fill="FFFFFF"/>
            <w:noWrap/>
            <w:vAlign w:val="bottom"/>
            <w:hideMark/>
          </w:tcPr>
          <w:p w14:paraId="069A0F8E"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351</w:t>
            </w:r>
          </w:p>
        </w:tc>
        <w:tc>
          <w:tcPr>
            <w:tcW w:w="960" w:type="dxa"/>
            <w:tcBorders>
              <w:top w:val="nil"/>
              <w:left w:val="nil"/>
              <w:bottom w:val="nil"/>
              <w:right w:val="single" w:sz="4" w:space="0" w:color="auto"/>
            </w:tcBorders>
            <w:shd w:val="clear" w:color="000000" w:fill="FFFFFF"/>
            <w:noWrap/>
            <w:vAlign w:val="bottom"/>
            <w:hideMark/>
          </w:tcPr>
          <w:p w14:paraId="5F535CFA"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18.9%</w:t>
            </w:r>
          </w:p>
        </w:tc>
        <w:tc>
          <w:tcPr>
            <w:tcW w:w="960" w:type="dxa"/>
            <w:tcBorders>
              <w:top w:val="nil"/>
              <w:left w:val="nil"/>
              <w:bottom w:val="nil"/>
              <w:right w:val="nil"/>
            </w:tcBorders>
            <w:shd w:val="clear" w:color="000000" w:fill="FFFFFF"/>
            <w:noWrap/>
            <w:vAlign w:val="bottom"/>
            <w:hideMark/>
          </w:tcPr>
          <w:p w14:paraId="1C22CAF9"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54</w:t>
            </w:r>
          </w:p>
        </w:tc>
        <w:tc>
          <w:tcPr>
            <w:tcW w:w="960" w:type="dxa"/>
            <w:tcBorders>
              <w:top w:val="nil"/>
              <w:left w:val="nil"/>
              <w:bottom w:val="nil"/>
              <w:right w:val="single" w:sz="4" w:space="0" w:color="auto"/>
            </w:tcBorders>
            <w:shd w:val="clear" w:color="000000" w:fill="FFFFFF"/>
            <w:noWrap/>
            <w:vAlign w:val="bottom"/>
            <w:hideMark/>
          </w:tcPr>
          <w:p w14:paraId="7DD1785D"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5.4%</w:t>
            </w:r>
          </w:p>
        </w:tc>
        <w:tc>
          <w:tcPr>
            <w:tcW w:w="960" w:type="dxa"/>
            <w:tcBorders>
              <w:top w:val="nil"/>
              <w:left w:val="nil"/>
              <w:bottom w:val="nil"/>
              <w:right w:val="nil"/>
            </w:tcBorders>
            <w:shd w:val="clear" w:color="000000" w:fill="FFFFFF"/>
            <w:noWrap/>
            <w:vAlign w:val="bottom"/>
            <w:hideMark/>
          </w:tcPr>
          <w:p w14:paraId="680373AE"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601</w:t>
            </w:r>
          </w:p>
        </w:tc>
        <w:tc>
          <w:tcPr>
            <w:tcW w:w="960" w:type="dxa"/>
            <w:tcBorders>
              <w:top w:val="nil"/>
              <w:left w:val="nil"/>
              <w:bottom w:val="nil"/>
              <w:right w:val="single" w:sz="4" w:space="0" w:color="auto"/>
            </w:tcBorders>
            <w:shd w:val="clear" w:color="000000" w:fill="FFFFFF"/>
            <w:noWrap/>
            <w:vAlign w:val="bottom"/>
            <w:hideMark/>
          </w:tcPr>
          <w:p w14:paraId="6779C9A1"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17.8%</w:t>
            </w:r>
          </w:p>
        </w:tc>
      </w:tr>
      <w:tr w:rsidR="007E2527" w:rsidRPr="007E2527" w14:paraId="7A080003"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143AA498" w14:textId="77777777" w:rsidR="004F0C5A" w:rsidRPr="004F0C5A" w:rsidRDefault="004F0C5A" w:rsidP="004F0C5A">
            <w:pPr>
              <w:spacing w:after="0" w:line="240" w:lineRule="auto"/>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&gt;=66</w:t>
            </w:r>
          </w:p>
        </w:tc>
        <w:tc>
          <w:tcPr>
            <w:tcW w:w="960" w:type="dxa"/>
            <w:tcBorders>
              <w:top w:val="nil"/>
              <w:left w:val="nil"/>
              <w:bottom w:val="nil"/>
              <w:right w:val="nil"/>
            </w:tcBorders>
            <w:shd w:val="clear" w:color="000000" w:fill="FFFFFF"/>
            <w:noWrap/>
            <w:vAlign w:val="bottom"/>
            <w:hideMark/>
          </w:tcPr>
          <w:p w14:paraId="28C92241"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73</w:t>
            </w:r>
          </w:p>
        </w:tc>
        <w:tc>
          <w:tcPr>
            <w:tcW w:w="960" w:type="dxa"/>
            <w:tcBorders>
              <w:top w:val="nil"/>
              <w:left w:val="nil"/>
              <w:bottom w:val="nil"/>
              <w:right w:val="single" w:sz="4" w:space="0" w:color="auto"/>
            </w:tcBorders>
            <w:shd w:val="clear" w:color="000000" w:fill="FFFFFF"/>
            <w:noWrap/>
            <w:vAlign w:val="bottom"/>
            <w:hideMark/>
          </w:tcPr>
          <w:p w14:paraId="4733D295"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3.9%</w:t>
            </w:r>
          </w:p>
        </w:tc>
        <w:tc>
          <w:tcPr>
            <w:tcW w:w="960" w:type="dxa"/>
            <w:tcBorders>
              <w:top w:val="nil"/>
              <w:left w:val="nil"/>
              <w:bottom w:val="nil"/>
              <w:right w:val="nil"/>
            </w:tcBorders>
            <w:shd w:val="clear" w:color="000000" w:fill="FFFFFF"/>
            <w:noWrap/>
            <w:vAlign w:val="bottom"/>
            <w:hideMark/>
          </w:tcPr>
          <w:p w14:paraId="2A227619"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single" w:sz="4" w:space="0" w:color="auto"/>
            </w:tcBorders>
            <w:shd w:val="clear" w:color="000000" w:fill="FFFFFF"/>
            <w:noWrap/>
            <w:vAlign w:val="bottom"/>
            <w:hideMark/>
          </w:tcPr>
          <w:p w14:paraId="07195A01"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nil"/>
            </w:tcBorders>
            <w:shd w:val="clear" w:color="000000" w:fill="FFFFFF"/>
            <w:noWrap/>
            <w:vAlign w:val="bottom"/>
            <w:hideMark/>
          </w:tcPr>
          <w:p w14:paraId="729E7F53"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65</w:t>
            </w:r>
          </w:p>
        </w:tc>
        <w:tc>
          <w:tcPr>
            <w:tcW w:w="960" w:type="dxa"/>
            <w:tcBorders>
              <w:top w:val="nil"/>
              <w:left w:val="nil"/>
              <w:bottom w:val="nil"/>
              <w:right w:val="single" w:sz="4" w:space="0" w:color="auto"/>
            </w:tcBorders>
            <w:shd w:val="clear" w:color="000000" w:fill="FFFFFF"/>
            <w:noWrap/>
            <w:vAlign w:val="bottom"/>
            <w:hideMark/>
          </w:tcPr>
          <w:p w14:paraId="45877E60" w14:textId="77777777" w:rsidR="004F0C5A" w:rsidRPr="004F0C5A" w:rsidRDefault="004F0C5A" w:rsidP="004F0C5A">
            <w:pPr>
              <w:spacing w:after="0" w:line="240" w:lineRule="auto"/>
              <w:jc w:val="right"/>
              <w:rPr>
                <w:rFonts w:asciiTheme="minorHAnsi" w:eastAsia="Times New Roman" w:hAnsiTheme="minorHAnsi" w:cs="Times New Roman"/>
                <w:color w:val="000000"/>
                <w:kern w:val="0"/>
                <w:szCs w:val="22"/>
                <w:lang w:eastAsia="en-GB"/>
                <w14:ligatures w14:val="none"/>
              </w:rPr>
            </w:pPr>
            <w:r w:rsidRPr="004F0C5A">
              <w:rPr>
                <w:rFonts w:asciiTheme="minorHAnsi" w:eastAsia="Times New Roman" w:hAnsiTheme="minorHAnsi" w:cs="Times New Roman"/>
                <w:color w:val="000000"/>
                <w:kern w:val="0"/>
                <w:szCs w:val="22"/>
                <w:lang w:eastAsia="en-GB"/>
                <w14:ligatures w14:val="none"/>
              </w:rPr>
              <w:t>1.9%</w:t>
            </w:r>
          </w:p>
        </w:tc>
      </w:tr>
      <w:tr w:rsidR="007E2527" w:rsidRPr="007E2527" w14:paraId="1317111B" w14:textId="77777777" w:rsidTr="00B042E0">
        <w:trPr>
          <w:trHeight w:val="315"/>
        </w:trPr>
        <w:tc>
          <w:tcPr>
            <w:tcW w:w="1644"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1FF57CCF" w14:textId="77777777" w:rsidR="004F0C5A" w:rsidRPr="004F0C5A" w:rsidRDefault="004F0C5A" w:rsidP="004F0C5A">
            <w:pPr>
              <w:spacing w:after="0" w:line="240" w:lineRule="auto"/>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nil"/>
              <w:bottom w:val="double" w:sz="6" w:space="0" w:color="auto"/>
              <w:right w:val="nil"/>
            </w:tcBorders>
            <w:shd w:val="clear" w:color="000000" w:fill="FFFFFF"/>
            <w:noWrap/>
            <w:vAlign w:val="bottom"/>
            <w:hideMark/>
          </w:tcPr>
          <w:p w14:paraId="27C1E5A5" w14:textId="77777777" w:rsidR="004F0C5A" w:rsidRPr="004F0C5A" w:rsidRDefault="004F0C5A" w:rsidP="004F0C5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1860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493B99D" w14:textId="77777777" w:rsidR="004F0C5A" w:rsidRPr="004F0C5A" w:rsidRDefault="004F0C5A" w:rsidP="004F0C5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244B199" w14:textId="77777777" w:rsidR="004F0C5A" w:rsidRPr="004F0C5A" w:rsidRDefault="004F0C5A" w:rsidP="004F0C5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1000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05E1432" w14:textId="77777777" w:rsidR="004F0C5A" w:rsidRPr="004F0C5A" w:rsidRDefault="004F0C5A" w:rsidP="004F0C5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439A54C" w14:textId="77777777" w:rsidR="004F0C5A" w:rsidRPr="004F0C5A" w:rsidRDefault="004F0C5A" w:rsidP="004F0C5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3381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2871401" w14:textId="77777777" w:rsidR="004F0C5A" w:rsidRPr="004F0C5A" w:rsidRDefault="004F0C5A" w:rsidP="004F0C5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F0C5A">
              <w:rPr>
                <w:rFonts w:asciiTheme="minorHAnsi" w:eastAsia="Times New Roman" w:hAnsiTheme="minorHAnsi" w:cs="Times New Roman"/>
                <w:b/>
                <w:bCs/>
                <w:color w:val="000000"/>
                <w:kern w:val="0"/>
                <w:szCs w:val="22"/>
                <w:lang w:eastAsia="en-GB"/>
                <w14:ligatures w14:val="none"/>
              </w:rPr>
              <w:t>100%</w:t>
            </w:r>
          </w:p>
        </w:tc>
      </w:tr>
    </w:tbl>
    <w:p w14:paraId="5849D6A2" w14:textId="77777777" w:rsidR="004F0C5A" w:rsidRPr="007E2527" w:rsidRDefault="004F0C5A" w:rsidP="00E07335">
      <w:pPr>
        <w:rPr>
          <w:rFonts w:asciiTheme="minorHAnsi" w:hAnsiTheme="minorHAnsi"/>
          <w:b/>
          <w:bCs/>
          <w:szCs w:val="22"/>
        </w:rPr>
      </w:pPr>
    </w:p>
    <w:p w14:paraId="631975A4" w14:textId="77777777" w:rsidR="001B5E3A" w:rsidRPr="007E2527" w:rsidRDefault="001B5E3A" w:rsidP="00E07335">
      <w:pPr>
        <w:rPr>
          <w:rFonts w:asciiTheme="minorHAnsi" w:hAnsiTheme="minorHAnsi"/>
          <w:b/>
          <w:bCs/>
          <w:szCs w:val="22"/>
        </w:rPr>
      </w:pPr>
    </w:p>
    <w:p w14:paraId="1AA2EB70" w14:textId="6608AFAB" w:rsidR="00CE7736" w:rsidRPr="007E2527" w:rsidRDefault="00CE7736" w:rsidP="00E765AE">
      <w:pPr>
        <w:pStyle w:val="ListParagraph"/>
        <w:numPr>
          <w:ilvl w:val="2"/>
          <w:numId w:val="11"/>
        </w:numPr>
        <w:rPr>
          <w:rFonts w:asciiTheme="minorHAnsi" w:hAnsiTheme="minorHAnsi"/>
          <w:b/>
          <w:bCs/>
          <w:szCs w:val="22"/>
        </w:rPr>
      </w:pPr>
      <w:r w:rsidRPr="007E2527">
        <w:rPr>
          <w:rFonts w:asciiTheme="minorHAnsi" w:hAnsiTheme="minorHAnsi"/>
          <w:b/>
          <w:bCs/>
          <w:szCs w:val="22"/>
        </w:rPr>
        <w:t>PS colleagues only by age group and job family, 2025 (n=3,381)</w:t>
      </w:r>
    </w:p>
    <w:tbl>
      <w:tblPr>
        <w:tblW w:w="9324" w:type="dxa"/>
        <w:tblLayout w:type="fixed"/>
        <w:tblLook w:val="04A0" w:firstRow="1" w:lastRow="0" w:firstColumn="1" w:lastColumn="0" w:noHBand="0" w:noVBand="1"/>
      </w:tblPr>
      <w:tblGrid>
        <w:gridCol w:w="1644"/>
        <w:gridCol w:w="960"/>
        <w:gridCol w:w="960"/>
        <w:gridCol w:w="960"/>
        <w:gridCol w:w="960"/>
        <w:gridCol w:w="960"/>
        <w:gridCol w:w="960"/>
        <w:gridCol w:w="960"/>
        <w:gridCol w:w="960"/>
      </w:tblGrid>
      <w:tr w:rsidR="00BD6DB6" w:rsidRPr="00BD6DB6" w14:paraId="3605DE74" w14:textId="77777777" w:rsidTr="00B042E0">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04A05D52" w14:textId="77777777" w:rsidR="00BD6DB6" w:rsidRPr="00BD6DB6" w:rsidRDefault="00BD6DB6" w:rsidP="00BD6DB6">
            <w:pPr>
              <w:spacing w:after="0" w:line="240" w:lineRule="auto"/>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728D793" w14:textId="77777777" w:rsidR="00BD6DB6" w:rsidRPr="00BD6DB6" w:rsidRDefault="00BD6DB6" w:rsidP="00BD6DB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Administrative</w:t>
            </w:r>
          </w:p>
        </w:tc>
        <w:tc>
          <w:tcPr>
            <w:tcW w:w="1920" w:type="dxa"/>
            <w:gridSpan w:val="2"/>
            <w:tcBorders>
              <w:top w:val="single" w:sz="4" w:space="0" w:color="auto"/>
              <w:left w:val="nil"/>
              <w:bottom w:val="nil"/>
              <w:right w:val="nil"/>
            </w:tcBorders>
            <w:shd w:val="clear" w:color="000000" w:fill="FFFFFF"/>
            <w:noWrap/>
            <w:vAlign w:val="bottom"/>
            <w:hideMark/>
          </w:tcPr>
          <w:p w14:paraId="14E2F281" w14:textId="77777777" w:rsidR="00BD6DB6" w:rsidRPr="00BD6DB6" w:rsidRDefault="00BD6DB6" w:rsidP="00BD6DB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Maintenance</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17DF902" w14:textId="77777777" w:rsidR="00BD6DB6" w:rsidRPr="00BD6DB6" w:rsidRDefault="00BD6DB6" w:rsidP="00BD6DB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Operational</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8C699C5" w14:textId="77777777" w:rsidR="00BD6DB6" w:rsidRPr="00BD6DB6" w:rsidRDefault="00BD6DB6" w:rsidP="00BD6DB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Specialist</w:t>
            </w:r>
          </w:p>
        </w:tc>
      </w:tr>
      <w:tr w:rsidR="00BD6DB6" w:rsidRPr="007E2527" w14:paraId="440E62B1" w14:textId="77777777" w:rsidTr="00B042E0">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1A33D159" w14:textId="77777777" w:rsidR="00BD6DB6" w:rsidRPr="00BD6DB6" w:rsidRDefault="00BD6DB6" w:rsidP="00BD6DB6">
            <w:pPr>
              <w:spacing w:after="0" w:line="240" w:lineRule="auto"/>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0F30891"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69C7639"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B70307E"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A0105B2"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4447925"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1E86779"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BD63712"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40B642A" w14:textId="77777777" w:rsidR="00BD6DB6" w:rsidRPr="00BD6DB6" w:rsidRDefault="00BD6DB6" w:rsidP="00BD6DB6">
            <w:pPr>
              <w:spacing w:after="0" w:line="240" w:lineRule="auto"/>
              <w:jc w:val="center"/>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w:t>
            </w:r>
          </w:p>
        </w:tc>
      </w:tr>
      <w:tr w:rsidR="00BD6DB6" w:rsidRPr="007E2527" w14:paraId="14E52676"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76ED0C6B" w14:textId="77777777" w:rsidR="00BD6DB6" w:rsidRPr="00BD6DB6" w:rsidRDefault="00BD6DB6" w:rsidP="00BD6DB6">
            <w:pPr>
              <w:spacing w:after="0" w:line="240" w:lineRule="auto"/>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&lt;=25</w:t>
            </w:r>
          </w:p>
        </w:tc>
        <w:tc>
          <w:tcPr>
            <w:tcW w:w="960" w:type="dxa"/>
            <w:tcBorders>
              <w:top w:val="nil"/>
              <w:left w:val="nil"/>
              <w:bottom w:val="nil"/>
              <w:right w:val="nil"/>
            </w:tcBorders>
            <w:shd w:val="clear" w:color="000000" w:fill="FFFFFF"/>
            <w:noWrap/>
            <w:vAlign w:val="bottom"/>
            <w:hideMark/>
          </w:tcPr>
          <w:p w14:paraId="7F026931"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110</w:t>
            </w:r>
          </w:p>
        </w:tc>
        <w:tc>
          <w:tcPr>
            <w:tcW w:w="960" w:type="dxa"/>
            <w:tcBorders>
              <w:top w:val="nil"/>
              <w:left w:val="nil"/>
              <w:bottom w:val="nil"/>
              <w:right w:val="single" w:sz="4" w:space="0" w:color="auto"/>
            </w:tcBorders>
            <w:shd w:val="clear" w:color="000000" w:fill="FFFFFF"/>
            <w:noWrap/>
            <w:vAlign w:val="bottom"/>
            <w:hideMark/>
          </w:tcPr>
          <w:p w14:paraId="1A8A749D"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4.9%</w:t>
            </w:r>
          </w:p>
        </w:tc>
        <w:tc>
          <w:tcPr>
            <w:tcW w:w="960" w:type="dxa"/>
            <w:tcBorders>
              <w:top w:val="nil"/>
              <w:left w:val="nil"/>
              <w:bottom w:val="nil"/>
              <w:right w:val="nil"/>
            </w:tcBorders>
            <w:shd w:val="clear" w:color="000000" w:fill="FFFFFF"/>
            <w:noWrap/>
            <w:vAlign w:val="bottom"/>
            <w:hideMark/>
          </w:tcPr>
          <w:p w14:paraId="4CA86F98"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74CDFBC6"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1D40C7CE"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20</w:t>
            </w:r>
          </w:p>
        </w:tc>
        <w:tc>
          <w:tcPr>
            <w:tcW w:w="960" w:type="dxa"/>
            <w:tcBorders>
              <w:top w:val="nil"/>
              <w:left w:val="nil"/>
              <w:bottom w:val="nil"/>
              <w:right w:val="single" w:sz="4" w:space="0" w:color="auto"/>
            </w:tcBorders>
            <w:shd w:val="clear" w:color="000000" w:fill="FFFFFF"/>
            <w:noWrap/>
            <w:vAlign w:val="bottom"/>
            <w:hideMark/>
          </w:tcPr>
          <w:p w14:paraId="593DDA77"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4.0%</w:t>
            </w:r>
          </w:p>
        </w:tc>
        <w:tc>
          <w:tcPr>
            <w:tcW w:w="960" w:type="dxa"/>
            <w:tcBorders>
              <w:top w:val="nil"/>
              <w:left w:val="nil"/>
              <w:bottom w:val="nil"/>
              <w:right w:val="nil"/>
            </w:tcBorders>
            <w:shd w:val="clear" w:color="000000" w:fill="FFFFFF"/>
            <w:noWrap/>
            <w:vAlign w:val="bottom"/>
            <w:hideMark/>
          </w:tcPr>
          <w:p w14:paraId="34F2DCA6"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41</w:t>
            </w:r>
          </w:p>
        </w:tc>
        <w:tc>
          <w:tcPr>
            <w:tcW w:w="960" w:type="dxa"/>
            <w:tcBorders>
              <w:top w:val="nil"/>
              <w:left w:val="nil"/>
              <w:bottom w:val="nil"/>
              <w:right w:val="single" w:sz="4" w:space="0" w:color="auto"/>
            </w:tcBorders>
            <w:shd w:val="clear" w:color="000000" w:fill="FFFFFF"/>
            <w:noWrap/>
            <w:vAlign w:val="bottom"/>
            <w:hideMark/>
          </w:tcPr>
          <w:p w14:paraId="6407A8D7"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7.3%</w:t>
            </w:r>
          </w:p>
        </w:tc>
      </w:tr>
      <w:tr w:rsidR="00BD6DB6" w:rsidRPr="007E2527" w14:paraId="4CB3FEE2"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360134FD" w14:textId="77777777" w:rsidR="00BD6DB6" w:rsidRPr="00BD6DB6" w:rsidRDefault="00BD6DB6" w:rsidP="00BD6DB6">
            <w:pPr>
              <w:spacing w:after="0" w:line="240" w:lineRule="auto"/>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26-35</w:t>
            </w:r>
          </w:p>
        </w:tc>
        <w:tc>
          <w:tcPr>
            <w:tcW w:w="960" w:type="dxa"/>
            <w:tcBorders>
              <w:top w:val="nil"/>
              <w:left w:val="nil"/>
              <w:bottom w:val="nil"/>
              <w:right w:val="nil"/>
            </w:tcBorders>
            <w:shd w:val="clear" w:color="000000" w:fill="FFFFFF"/>
            <w:noWrap/>
            <w:vAlign w:val="bottom"/>
            <w:hideMark/>
          </w:tcPr>
          <w:p w14:paraId="675AA99F"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557</w:t>
            </w:r>
          </w:p>
        </w:tc>
        <w:tc>
          <w:tcPr>
            <w:tcW w:w="960" w:type="dxa"/>
            <w:tcBorders>
              <w:top w:val="nil"/>
              <w:left w:val="nil"/>
              <w:bottom w:val="nil"/>
              <w:right w:val="single" w:sz="4" w:space="0" w:color="auto"/>
            </w:tcBorders>
            <w:shd w:val="clear" w:color="000000" w:fill="FFFFFF"/>
            <w:noWrap/>
            <w:vAlign w:val="bottom"/>
            <w:hideMark/>
          </w:tcPr>
          <w:p w14:paraId="1C2A1F31"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24.6%</w:t>
            </w:r>
          </w:p>
        </w:tc>
        <w:tc>
          <w:tcPr>
            <w:tcW w:w="960" w:type="dxa"/>
            <w:tcBorders>
              <w:top w:val="nil"/>
              <w:left w:val="nil"/>
              <w:bottom w:val="nil"/>
              <w:right w:val="nil"/>
            </w:tcBorders>
            <w:shd w:val="clear" w:color="000000" w:fill="FFFFFF"/>
            <w:noWrap/>
            <w:vAlign w:val="bottom"/>
            <w:hideMark/>
          </w:tcPr>
          <w:p w14:paraId="16FB59E5"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nil"/>
            </w:tcBorders>
            <w:shd w:val="clear" w:color="000000" w:fill="FFFFFF"/>
            <w:noWrap/>
            <w:vAlign w:val="bottom"/>
            <w:hideMark/>
          </w:tcPr>
          <w:p w14:paraId="43B4576B"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21.3%</w:t>
            </w:r>
          </w:p>
        </w:tc>
        <w:tc>
          <w:tcPr>
            <w:tcW w:w="960" w:type="dxa"/>
            <w:tcBorders>
              <w:top w:val="nil"/>
              <w:left w:val="single" w:sz="4" w:space="0" w:color="auto"/>
              <w:bottom w:val="nil"/>
              <w:right w:val="nil"/>
            </w:tcBorders>
            <w:shd w:val="clear" w:color="000000" w:fill="FFFFFF"/>
            <w:noWrap/>
            <w:vAlign w:val="bottom"/>
            <w:hideMark/>
          </w:tcPr>
          <w:p w14:paraId="788A8AAB"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52</w:t>
            </w:r>
          </w:p>
        </w:tc>
        <w:tc>
          <w:tcPr>
            <w:tcW w:w="960" w:type="dxa"/>
            <w:tcBorders>
              <w:top w:val="nil"/>
              <w:left w:val="nil"/>
              <w:bottom w:val="nil"/>
              <w:right w:val="single" w:sz="4" w:space="0" w:color="auto"/>
            </w:tcBorders>
            <w:shd w:val="clear" w:color="000000" w:fill="FFFFFF"/>
            <w:noWrap/>
            <w:vAlign w:val="bottom"/>
            <w:hideMark/>
          </w:tcPr>
          <w:p w14:paraId="75F6CA6A"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10.5%</w:t>
            </w:r>
          </w:p>
        </w:tc>
        <w:tc>
          <w:tcPr>
            <w:tcW w:w="960" w:type="dxa"/>
            <w:tcBorders>
              <w:top w:val="nil"/>
              <w:left w:val="nil"/>
              <w:bottom w:val="nil"/>
              <w:right w:val="nil"/>
            </w:tcBorders>
            <w:shd w:val="clear" w:color="000000" w:fill="FFFFFF"/>
            <w:noWrap/>
            <w:vAlign w:val="bottom"/>
            <w:hideMark/>
          </w:tcPr>
          <w:p w14:paraId="17C02DEF"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158</w:t>
            </w:r>
          </w:p>
        </w:tc>
        <w:tc>
          <w:tcPr>
            <w:tcW w:w="960" w:type="dxa"/>
            <w:tcBorders>
              <w:top w:val="nil"/>
              <w:left w:val="nil"/>
              <w:bottom w:val="nil"/>
              <w:right w:val="single" w:sz="4" w:space="0" w:color="auto"/>
            </w:tcBorders>
            <w:shd w:val="clear" w:color="000000" w:fill="FFFFFF"/>
            <w:noWrap/>
            <w:vAlign w:val="bottom"/>
            <w:hideMark/>
          </w:tcPr>
          <w:p w14:paraId="42AEF32E"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28.1%</w:t>
            </w:r>
          </w:p>
        </w:tc>
      </w:tr>
      <w:tr w:rsidR="00BD6DB6" w:rsidRPr="007E2527" w14:paraId="29A236DD"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3045EF68" w14:textId="77777777" w:rsidR="00BD6DB6" w:rsidRPr="00BD6DB6" w:rsidRDefault="00BD6DB6" w:rsidP="00BD6DB6">
            <w:pPr>
              <w:spacing w:after="0" w:line="240" w:lineRule="auto"/>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36-45</w:t>
            </w:r>
          </w:p>
        </w:tc>
        <w:tc>
          <w:tcPr>
            <w:tcW w:w="960" w:type="dxa"/>
            <w:tcBorders>
              <w:top w:val="nil"/>
              <w:left w:val="nil"/>
              <w:bottom w:val="nil"/>
              <w:right w:val="nil"/>
            </w:tcBorders>
            <w:shd w:val="clear" w:color="000000" w:fill="FFFFFF"/>
            <w:noWrap/>
            <w:vAlign w:val="bottom"/>
            <w:hideMark/>
          </w:tcPr>
          <w:p w14:paraId="05FE3151"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677</w:t>
            </w:r>
          </w:p>
        </w:tc>
        <w:tc>
          <w:tcPr>
            <w:tcW w:w="960" w:type="dxa"/>
            <w:tcBorders>
              <w:top w:val="nil"/>
              <w:left w:val="nil"/>
              <w:bottom w:val="nil"/>
              <w:right w:val="single" w:sz="4" w:space="0" w:color="auto"/>
            </w:tcBorders>
            <w:shd w:val="clear" w:color="000000" w:fill="FFFFFF"/>
            <w:noWrap/>
            <w:vAlign w:val="bottom"/>
            <w:hideMark/>
          </w:tcPr>
          <w:p w14:paraId="03B69D50"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29.9%</w:t>
            </w:r>
          </w:p>
        </w:tc>
        <w:tc>
          <w:tcPr>
            <w:tcW w:w="960" w:type="dxa"/>
            <w:tcBorders>
              <w:top w:val="nil"/>
              <w:left w:val="nil"/>
              <w:bottom w:val="nil"/>
              <w:right w:val="nil"/>
            </w:tcBorders>
            <w:shd w:val="clear" w:color="000000" w:fill="FFFFFF"/>
            <w:noWrap/>
            <w:vAlign w:val="bottom"/>
            <w:hideMark/>
          </w:tcPr>
          <w:p w14:paraId="0FBDB1F9"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nil"/>
            </w:tcBorders>
            <w:shd w:val="clear" w:color="000000" w:fill="FFFFFF"/>
            <w:noWrap/>
            <w:vAlign w:val="bottom"/>
            <w:hideMark/>
          </w:tcPr>
          <w:p w14:paraId="7B6161DD"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14.8%</w:t>
            </w:r>
          </w:p>
        </w:tc>
        <w:tc>
          <w:tcPr>
            <w:tcW w:w="960" w:type="dxa"/>
            <w:tcBorders>
              <w:top w:val="nil"/>
              <w:left w:val="single" w:sz="4" w:space="0" w:color="auto"/>
              <w:bottom w:val="nil"/>
              <w:right w:val="nil"/>
            </w:tcBorders>
            <w:shd w:val="clear" w:color="000000" w:fill="FFFFFF"/>
            <w:noWrap/>
            <w:vAlign w:val="bottom"/>
            <w:hideMark/>
          </w:tcPr>
          <w:p w14:paraId="61F45544"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85</w:t>
            </w:r>
          </w:p>
        </w:tc>
        <w:tc>
          <w:tcPr>
            <w:tcW w:w="960" w:type="dxa"/>
            <w:tcBorders>
              <w:top w:val="nil"/>
              <w:left w:val="nil"/>
              <w:bottom w:val="nil"/>
              <w:right w:val="single" w:sz="4" w:space="0" w:color="auto"/>
            </w:tcBorders>
            <w:shd w:val="clear" w:color="000000" w:fill="FFFFFF"/>
            <w:noWrap/>
            <w:vAlign w:val="bottom"/>
            <w:hideMark/>
          </w:tcPr>
          <w:p w14:paraId="757806D0"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17.2%</w:t>
            </w:r>
          </w:p>
        </w:tc>
        <w:tc>
          <w:tcPr>
            <w:tcW w:w="960" w:type="dxa"/>
            <w:tcBorders>
              <w:top w:val="nil"/>
              <w:left w:val="nil"/>
              <w:bottom w:val="nil"/>
              <w:right w:val="nil"/>
            </w:tcBorders>
            <w:shd w:val="clear" w:color="000000" w:fill="FFFFFF"/>
            <w:noWrap/>
            <w:vAlign w:val="bottom"/>
            <w:hideMark/>
          </w:tcPr>
          <w:p w14:paraId="18AA5619"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144</w:t>
            </w:r>
          </w:p>
        </w:tc>
        <w:tc>
          <w:tcPr>
            <w:tcW w:w="960" w:type="dxa"/>
            <w:tcBorders>
              <w:top w:val="nil"/>
              <w:left w:val="nil"/>
              <w:bottom w:val="nil"/>
              <w:right w:val="single" w:sz="4" w:space="0" w:color="auto"/>
            </w:tcBorders>
            <w:shd w:val="clear" w:color="000000" w:fill="FFFFFF"/>
            <w:noWrap/>
            <w:vAlign w:val="bottom"/>
            <w:hideMark/>
          </w:tcPr>
          <w:p w14:paraId="59B5AC5C"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25.6%</w:t>
            </w:r>
          </w:p>
        </w:tc>
      </w:tr>
      <w:tr w:rsidR="00BD6DB6" w:rsidRPr="007E2527" w14:paraId="04C53B41"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4F1F9646" w14:textId="77777777" w:rsidR="00BD6DB6" w:rsidRPr="00BD6DB6" w:rsidRDefault="00BD6DB6" w:rsidP="00BD6DB6">
            <w:pPr>
              <w:spacing w:after="0" w:line="240" w:lineRule="auto"/>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46-55</w:t>
            </w:r>
          </w:p>
        </w:tc>
        <w:tc>
          <w:tcPr>
            <w:tcW w:w="960" w:type="dxa"/>
            <w:tcBorders>
              <w:top w:val="nil"/>
              <w:left w:val="nil"/>
              <w:bottom w:val="nil"/>
              <w:right w:val="nil"/>
            </w:tcBorders>
            <w:shd w:val="clear" w:color="000000" w:fill="FFFFFF"/>
            <w:noWrap/>
            <w:vAlign w:val="bottom"/>
            <w:hideMark/>
          </w:tcPr>
          <w:p w14:paraId="09D4DB0B"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588</w:t>
            </w:r>
          </w:p>
        </w:tc>
        <w:tc>
          <w:tcPr>
            <w:tcW w:w="960" w:type="dxa"/>
            <w:tcBorders>
              <w:top w:val="nil"/>
              <w:left w:val="nil"/>
              <w:bottom w:val="nil"/>
              <w:right w:val="single" w:sz="4" w:space="0" w:color="auto"/>
            </w:tcBorders>
            <w:shd w:val="clear" w:color="000000" w:fill="FFFFFF"/>
            <w:noWrap/>
            <w:vAlign w:val="bottom"/>
            <w:hideMark/>
          </w:tcPr>
          <w:p w14:paraId="45E3DFC8"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26.0%</w:t>
            </w:r>
          </w:p>
        </w:tc>
        <w:tc>
          <w:tcPr>
            <w:tcW w:w="960" w:type="dxa"/>
            <w:tcBorders>
              <w:top w:val="nil"/>
              <w:left w:val="nil"/>
              <w:bottom w:val="nil"/>
              <w:right w:val="nil"/>
            </w:tcBorders>
            <w:shd w:val="clear" w:color="000000" w:fill="FFFFFF"/>
            <w:noWrap/>
            <w:vAlign w:val="bottom"/>
            <w:hideMark/>
          </w:tcPr>
          <w:p w14:paraId="520CCAA1"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nil"/>
            </w:tcBorders>
            <w:shd w:val="clear" w:color="000000" w:fill="FFFFFF"/>
            <w:noWrap/>
            <w:vAlign w:val="bottom"/>
            <w:hideMark/>
          </w:tcPr>
          <w:p w14:paraId="4FC66D8F"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19.7%</w:t>
            </w:r>
          </w:p>
        </w:tc>
        <w:tc>
          <w:tcPr>
            <w:tcW w:w="960" w:type="dxa"/>
            <w:tcBorders>
              <w:top w:val="nil"/>
              <w:left w:val="single" w:sz="4" w:space="0" w:color="auto"/>
              <w:bottom w:val="nil"/>
              <w:right w:val="nil"/>
            </w:tcBorders>
            <w:shd w:val="clear" w:color="000000" w:fill="FFFFFF"/>
            <w:noWrap/>
            <w:vAlign w:val="bottom"/>
            <w:hideMark/>
          </w:tcPr>
          <w:p w14:paraId="0A65F672"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113</w:t>
            </w:r>
          </w:p>
        </w:tc>
        <w:tc>
          <w:tcPr>
            <w:tcW w:w="960" w:type="dxa"/>
            <w:tcBorders>
              <w:top w:val="nil"/>
              <w:left w:val="nil"/>
              <w:bottom w:val="nil"/>
              <w:right w:val="single" w:sz="4" w:space="0" w:color="auto"/>
            </w:tcBorders>
            <w:shd w:val="clear" w:color="000000" w:fill="FFFFFF"/>
            <w:noWrap/>
            <w:vAlign w:val="bottom"/>
            <w:hideMark/>
          </w:tcPr>
          <w:p w14:paraId="04AC31AF"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22.8%</w:t>
            </w:r>
          </w:p>
        </w:tc>
        <w:tc>
          <w:tcPr>
            <w:tcW w:w="960" w:type="dxa"/>
            <w:tcBorders>
              <w:top w:val="nil"/>
              <w:left w:val="nil"/>
              <w:bottom w:val="nil"/>
              <w:right w:val="nil"/>
            </w:tcBorders>
            <w:shd w:val="clear" w:color="000000" w:fill="FFFFFF"/>
            <w:noWrap/>
            <w:vAlign w:val="bottom"/>
            <w:hideMark/>
          </w:tcPr>
          <w:p w14:paraId="5CFAB7E0"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132</w:t>
            </w:r>
          </w:p>
        </w:tc>
        <w:tc>
          <w:tcPr>
            <w:tcW w:w="960" w:type="dxa"/>
            <w:tcBorders>
              <w:top w:val="nil"/>
              <w:left w:val="nil"/>
              <w:bottom w:val="nil"/>
              <w:right w:val="single" w:sz="4" w:space="0" w:color="auto"/>
            </w:tcBorders>
            <w:shd w:val="clear" w:color="000000" w:fill="FFFFFF"/>
            <w:noWrap/>
            <w:vAlign w:val="bottom"/>
            <w:hideMark/>
          </w:tcPr>
          <w:p w14:paraId="196CFA26"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23.5%</w:t>
            </w:r>
          </w:p>
        </w:tc>
      </w:tr>
      <w:tr w:rsidR="00BD6DB6" w:rsidRPr="007E2527" w14:paraId="6240C6FD"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1D7EEFFA" w14:textId="77777777" w:rsidR="00BD6DB6" w:rsidRPr="00BD6DB6" w:rsidRDefault="00BD6DB6" w:rsidP="00BD6DB6">
            <w:pPr>
              <w:spacing w:after="0" w:line="240" w:lineRule="auto"/>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56-65</w:t>
            </w:r>
          </w:p>
        </w:tc>
        <w:tc>
          <w:tcPr>
            <w:tcW w:w="960" w:type="dxa"/>
            <w:tcBorders>
              <w:top w:val="nil"/>
              <w:left w:val="nil"/>
              <w:bottom w:val="nil"/>
              <w:right w:val="nil"/>
            </w:tcBorders>
            <w:shd w:val="clear" w:color="000000" w:fill="FFFFFF"/>
            <w:noWrap/>
            <w:vAlign w:val="bottom"/>
            <w:hideMark/>
          </w:tcPr>
          <w:p w14:paraId="29C9089D"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312</w:t>
            </w:r>
          </w:p>
        </w:tc>
        <w:tc>
          <w:tcPr>
            <w:tcW w:w="960" w:type="dxa"/>
            <w:tcBorders>
              <w:top w:val="nil"/>
              <w:left w:val="nil"/>
              <w:bottom w:val="nil"/>
              <w:right w:val="single" w:sz="4" w:space="0" w:color="auto"/>
            </w:tcBorders>
            <w:shd w:val="clear" w:color="000000" w:fill="FFFFFF"/>
            <w:noWrap/>
            <w:vAlign w:val="bottom"/>
            <w:hideMark/>
          </w:tcPr>
          <w:p w14:paraId="205C2AC1"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13.8%</w:t>
            </w:r>
          </w:p>
        </w:tc>
        <w:tc>
          <w:tcPr>
            <w:tcW w:w="960" w:type="dxa"/>
            <w:tcBorders>
              <w:top w:val="nil"/>
              <w:left w:val="nil"/>
              <w:bottom w:val="nil"/>
              <w:right w:val="nil"/>
            </w:tcBorders>
            <w:shd w:val="clear" w:color="000000" w:fill="FFFFFF"/>
            <w:noWrap/>
            <w:vAlign w:val="bottom"/>
            <w:hideMark/>
          </w:tcPr>
          <w:p w14:paraId="0AE0FF0A"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20</w:t>
            </w:r>
          </w:p>
        </w:tc>
        <w:tc>
          <w:tcPr>
            <w:tcW w:w="960" w:type="dxa"/>
            <w:tcBorders>
              <w:top w:val="nil"/>
              <w:left w:val="nil"/>
              <w:bottom w:val="nil"/>
              <w:right w:val="nil"/>
            </w:tcBorders>
            <w:shd w:val="clear" w:color="000000" w:fill="FFFFFF"/>
            <w:noWrap/>
            <w:vAlign w:val="bottom"/>
            <w:hideMark/>
          </w:tcPr>
          <w:p w14:paraId="74A4DCB3"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32.8%</w:t>
            </w:r>
          </w:p>
        </w:tc>
        <w:tc>
          <w:tcPr>
            <w:tcW w:w="960" w:type="dxa"/>
            <w:tcBorders>
              <w:top w:val="nil"/>
              <w:left w:val="single" w:sz="4" w:space="0" w:color="auto"/>
              <w:bottom w:val="nil"/>
              <w:right w:val="nil"/>
            </w:tcBorders>
            <w:shd w:val="clear" w:color="000000" w:fill="FFFFFF"/>
            <w:noWrap/>
            <w:vAlign w:val="bottom"/>
            <w:hideMark/>
          </w:tcPr>
          <w:p w14:paraId="73B3B676"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193</w:t>
            </w:r>
          </w:p>
        </w:tc>
        <w:tc>
          <w:tcPr>
            <w:tcW w:w="960" w:type="dxa"/>
            <w:tcBorders>
              <w:top w:val="nil"/>
              <w:left w:val="nil"/>
              <w:bottom w:val="nil"/>
              <w:right w:val="single" w:sz="4" w:space="0" w:color="auto"/>
            </w:tcBorders>
            <w:shd w:val="clear" w:color="000000" w:fill="FFFFFF"/>
            <w:noWrap/>
            <w:vAlign w:val="bottom"/>
            <w:hideMark/>
          </w:tcPr>
          <w:p w14:paraId="506BBB63"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39.0%</w:t>
            </w:r>
          </w:p>
        </w:tc>
        <w:tc>
          <w:tcPr>
            <w:tcW w:w="960" w:type="dxa"/>
            <w:tcBorders>
              <w:top w:val="nil"/>
              <w:left w:val="nil"/>
              <w:bottom w:val="nil"/>
              <w:right w:val="nil"/>
            </w:tcBorders>
            <w:shd w:val="clear" w:color="000000" w:fill="FFFFFF"/>
            <w:noWrap/>
            <w:vAlign w:val="bottom"/>
            <w:hideMark/>
          </w:tcPr>
          <w:p w14:paraId="50009BCE"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76</w:t>
            </w:r>
          </w:p>
        </w:tc>
        <w:tc>
          <w:tcPr>
            <w:tcW w:w="960" w:type="dxa"/>
            <w:tcBorders>
              <w:top w:val="nil"/>
              <w:left w:val="nil"/>
              <w:bottom w:val="nil"/>
              <w:right w:val="single" w:sz="4" w:space="0" w:color="auto"/>
            </w:tcBorders>
            <w:shd w:val="clear" w:color="000000" w:fill="FFFFFF"/>
            <w:noWrap/>
            <w:vAlign w:val="bottom"/>
            <w:hideMark/>
          </w:tcPr>
          <w:p w14:paraId="42661BAE"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13.5%</w:t>
            </w:r>
          </w:p>
        </w:tc>
      </w:tr>
      <w:tr w:rsidR="00BD6DB6" w:rsidRPr="007E2527" w14:paraId="69B18610"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6A1EBD83" w14:textId="77777777" w:rsidR="00BD6DB6" w:rsidRPr="00BD6DB6" w:rsidRDefault="00BD6DB6" w:rsidP="00BD6DB6">
            <w:pPr>
              <w:spacing w:after="0" w:line="240" w:lineRule="auto"/>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&gt;=66</w:t>
            </w:r>
          </w:p>
        </w:tc>
        <w:tc>
          <w:tcPr>
            <w:tcW w:w="960" w:type="dxa"/>
            <w:tcBorders>
              <w:top w:val="nil"/>
              <w:left w:val="nil"/>
              <w:bottom w:val="nil"/>
              <w:right w:val="nil"/>
            </w:tcBorders>
            <w:shd w:val="clear" w:color="000000" w:fill="FFFFFF"/>
            <w:noWrap/>
            <w:vAlign w:val="bottom"/>
            <w:hideMark/>
          </w:tcPr>
          <w:p w14:paraId="3859301E"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5097CD75"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0.8%</w:t>
            </w:r>
          </w:p>
        </w:tc>
        <w:tc>
          <w:tcPr>
            <w:tcW w:w="960" w:type="dxa"/>
            <w:tcBorders>
              <w:top w:val="nil"/>
              <w:left w:val="nil"/>
              <w:bottom w:val="nil"/>
              <w:right w:val="nil"/>
            </w:tcBorders>
            <w:shd w:val="clear" w:color="000000" w:fill="FFFFFF"/>
            <w:noWrap/>
            <w:vAlign w:val="bottom"/>
            <w:hideMark/>
          </w:tcPr>
          <w:p w14:paraId="6AB1E42F"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458BC161"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1D868C11"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32</w:t>
            </w:r>
          </w:p>
        </w:tc>
        <w:tc>
          <w:tcPr>
            <w:tcW w:w="960" w:type="dxa"/>
            <w:tcBorders>
              <w:top w:val="nil"/>
              <w:left w:val="nil"/>
              <w:bottom w:val="nil"/>
              <w:right w:val="single" w:sz="4" w:space="0" w:color="auto"/>
            </w:tcBorders>
            <w:shd w:val="clear" w:color="000000" w:fill="FFFFFF"/>
            <w:noWrap/>
            <w:vAlign w:val="bottom"/>
            <w:hideMark/>
          </w:tcPr>
          <w:p w14:paraId="4DB83C3F"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6.5%</w:t>
            </w:r>
          </w:p>
        </w:tc>
        <w:tc>
          <w:tcPr>
            <w:tcW w:w="960" w:type="dxa"/>
            <w:tcBorders>
              <w:top w:val="nil"/>
              <w:left w:val="nil"/>
              <w:bottom w:val="nil"/>
              <w:right w:val="nil"/>
            </w:tcBorders>
            <w:shd w:val="clear" w:color="000000" w:fill="FFFFFF"/>
            <w:noWrap/>
            <w:vAlign w:val="bottom"/>
            <w:hideMark/>
          </w:tcPr>
          <w:p w14:paraId="2FEC0F16"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single" w:sz="4" w:space="0" w:color="auto"/>
            </w:tcBorders>
            <w:shd w:val="clear" w:color="000000" w:fill="FFFFFF"/>
            <w:noWrap/>
            <w:vAlign w:val="bottom"/>
            <w:hideMark/>
          </w:tcPr>
          <w:p w14:paraId="0E0B7C70" w14:textId="77777777" w:rsidR="00BD6DB6" w:rsidRPr="00BD6DB6" w:rsidRDefault="00BD6DB6" w:rsidP="00BD6DB6">
            <w:pPr>
              <w:spacing w:after="0" w:line="240" w:lineRule="auto"/>
              <w:jc w:val="right"/>
              <w:rPr>
                <w:rFonts w:asciiTheme="minorHAnsi" w:eastAsia="Times New Roman" w:hAnsiTheme="minorHAnsi" w:cs="Times New Roman"/>
                <w:color w:val="000000"/>
                <w:kern w:val="0"/>
                <w:szCs w:val="22"/>
                <w:lang w:eastAsia="en-GB"/>
                <w14:ligatures w14:val="none"/>
              </w:rPr>
            </w:pPr>
            <w:r w:rsidRPr="00BD6DB6">
              <w:rPr>
                <w:rFonts w:asciiTheme="minorHAnsi" w:eastAsia="Times New Roman" w:hAnsiTheme="minorHAnsi" w:cs="Times New Roman"/>
                <w:color w:val="000000"/>
                <w:kern w:val="0"/>
                <w:szCs w:val="22"/>
                <w:lang w:eastAsia="en-GB"/>
                <w14:ligatures w14:val="none"/>
              </w:rPr>
              <w:t>2.0%</w:t>
            </w:r>
          </w:p>
        </w:tc>
      </w:tr>
      <w:tr w:rsidR="00BD6DB6" w:rsidRPr="007E2527" w14:paraId="06B2F2B1" w14:textId="77777777" w:rsidTr="00B042E0">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5A71088D" w14:textId="77777777" w:rsidR="00BD6DB6" w:rsidRPr="00BD6DB6" w:rsidRDefault="00BD6DB6" w:rsidP="00BD6DB6">
            <w:pPr>
              <w:spacing w:after="0" w:line="240" w:lineRule="auto"/>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3D61E2EA"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2263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F4AEEBE"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8B5D0A8"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61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2128A95"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C5B4FE4"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495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614CEE5"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75204C6"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562</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08E1B1D" w14:textId="77777777" w:rsidR="00BD6DB6" w:rsidRPr="00BD6DB6" w:rsidRDefault="00BD6DB6" w:rsidP="00BD6DB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D6DB6">
              <w:rPr>
                <w:rFonts w:asciiTheme="minorHAnsi" w:eastAsia="Times New Roman" w:hAnsiTheme="minorHAnsi" w:cs="Times New Roman"/>
                <w:b/>
                <w:bCs/>
                <w:color w:val="000000"/>
                <w:kern w:val="0"/>
                <w:szCs w:val="22"/>
                <w:lang w:eastAsia="en-GB"/>
                <w14:ligatures w14:val="none"/>
              </w:rPr>
              <w:t>100%</w:t>
            </w:r>
          </w:p>
        </w:tc>
      </w:tr>
    </w:tbl>
    <w:p w14:paraId="0BC47B98" w14:textId="532604BA" w:rsidR="00CE7736" w:rsidRPr="007E2527" w:rsidRDefault="00CE7736" w:rsidP="00E07335">
      <w:pPr>
        <w:rPr>
          <w:rFonts w:asciiTheme="minorHAnsi" w:hAnsiTheme="minorHAnsi"/>
          <w:b/>
          <w:bCs/>
          <w:szCs w:val="22"/>
        </w:rPr>
      </w:pPr>
    </w:p>
    <w:p w14:paraId="7AC0538D" w14:textId="77777777" w:rsidR="00BD6DB6" w:rsidRPr="007E2527" w:rsidRDefault="00BD6DB6" w:rsidP="00E07335">
      <w:pPr>
        <w:rPr>
          <w:rFonts w:asciiTheme="minorHAnsi" w:hAnsiTheme="minorHAnsi"/>
          <w:b/>
          <w:bCs/>
          <w:szCs w:val="22"/>
        </w:rPr>
      </w:pPr>
    </w:p>
    <w:p w14:paraId="76308C0F" w14:textId="77777777" w:rsidR="00DB06B3" w:rsidRPr="007E2527" w:rsidRDefault="00DB06B3" w:rsidP="00E07335">
      <w:pPr>
        <w:rPr>
          <w:rFonts w:asciiTheme="minorHAnsi" w:hAnsiTheme="minorHAnsi"/>
          <w:b/>
          <w:bCs/>
          <w:szCs w:val="22"/>
        </w:rPr>
      </w:pPr>
    </w:p>
    <w:p w14:paraId="4B6F5CCF" w14:textId="4DAC4871" w:rsidR="00DB06B3" w:rsidRPr="007E2527" w:rsidRDefault="00DB06B3"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Colleagues on academic contracts only (R&amp;I, T&amp;R or T&amp;S) by age group, and contract type, 2025 (n=2,865)</w:t>
      </w:r>
    </w:p>
    <w:tbl>
      <w:tblPr>
        <w:tblW w:w="7404" w:type="dxa"/>
        <w:tblLayout w:type="fixed"/>
        <w:tblLook w:val="04A0" w:firstRow="1" w:lastRow="0" w:firstColumn="1" w:lastColumn="0" w:noHBand="0" w:noVBand="1"/>
      </w:tblPr>
      <w:tblGrid>
        <w:gridCol w:w="1644"/>
        <w:gridCol w:w="960"/>
        <w:gridCol w:w="960"/>
        <w:gridCol w:w="960"/>
        <w:gridCol w:w="960"/>
        <w:gridCol w:w="960"/>
        <w:gridCol w:w="960"/>
      </w:tblGrid>
      <w:tr w:rsidR="0095130A" w:rsidRPr="0095130A" w14:paraId="0296E63F" w14:textId="77777777" w:rsidTr="00B042E0">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153AD09E" w14:textId="77777777" w:rsidR="0095130A" w:rsidRPr="0095130A" w:rsidRDefault="0095130A" w:rsidP="0095130A">
            <w:pPr>
              <w:spacing w:after="0" w:line="240" w:lineRule="auto"/>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C61ED48" w14:textId="77777777" w:rsidR="0095130A" w:rsidRPr="0095130A" w:rsidRDefault="0095130A" w:rsidP="009513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R&amp;I</w:t>
            </w:r>
          </w:p>
        </w:tc>
        <w:tc>
          <w:tcPr>
            <w:tcW w:w="1920" w:type="dxa"/>
            <w:gridSpan w:val="2"/>
            <w:tcBorders>
              <w:top w:val="single" w:sz="4" w:space="0" w:color="auto"/>
              <w:left w:val="nil"/>
              <w:bottom w:val="nil"/>
              <w:right w:val="nil"/>
            </w:tcBorders>
            <w:shd w:val="clear" w:color="000000" w:fill="FFFFFF"/>
            <w:noWrap/>
            <w:vAlign w:val="bottom"/>
            <w:hideMark/>
          </w:tcPr>
          <w:p w14:paraId="23D89942" w14:textId="77777777" w:rsidR="0095130A" w:rsidRPr="0095130A" w:rsidRDefault="0095130A" w:rsidP="009513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T&amp;R</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77C31FF" w14:textId="77777777" w:rsidR="0095130A" w:rsidRPr="0095130A" w:rsidRDefault="0095130A" w:rsidP="009513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T&amp;S</w:t>
            </w:r>
          </w:p>
        </w:tc>
      </w:tr>
      <w:tr w:rsidR="007E2527" w:rsidRPr="007E2527" w14:paraId="5CB283AE" w14:textId="77777777" w:rsidTr="00B042E0">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720BB3DC" w14:textId="77777777" w:rsidR="0095130A" w:rsidRPr="0095130A" w:rsidRDefault="0095130A" w:rsidP="0095130A">
            <w:pPr>
              <w:spacing w:after="0" w:line="240" w:lineRule="auto"/>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45FFE8DF" w14:textId="77777777" w:rsidR="0095130A" w:rsidRPr="0095130A" w:rsidRDefault="0095130A" w:rsidP="0095130A">
            <w:pPr>
              <w:spacing w:after="0" w:line="240" w:lineRule="auto"/>
              <w:jc w:val="center"/>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5959DCA" w14:textId="77777777" w:rsidR="0095130A" w:rsidRPr="0095130A" w:rsidRDefault="0095130A" w:rsidP="0095130A">
            <w:pPr>
              <w:spacing w:after="0" w:line="240" w:lineRule="auto"/>
              <w:jc w:val="center"/>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7D2FBA3" w14:textId="77777777" w:rsidR="0095130A" w:rsidRPr="0095130A" w:rsidRDefault="0095130A" w:rsidP="0095130A">
            <w:pPr>
              <w:spacing w:after="0" w:line="240" w:lineRule="auto"/>
              <w:jc w:val="center"/>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40C9154" w14:textId="77777777" w:rsidR="0095130A" w:rsidRPr="0095130A" w:rsidRDefault="0095130A" w:rsidP="0095130A">
            <w:pPr>
              <w:spacing w:after="0" w:line="240" w:lineRule="auto"/>
              <w:jc w:val="center"/>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13019B0" w14:textId="77777777" w:rsidR="0095130A" w:rsidRPr="0095130A" w:rsidRDefault="0095130A" w:rsidP="0095130A">
            <w:pPr>
              <w:spacing w:after="0" w:line="240" w:lineRule="auto"/>
              <w:jc w:val="center"/>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D562412" w14:textId="77777777" w:rsidR="0095130A" w:rsidRPr="0095130A" w:rsidRDefault="0095130A" w:rsidP="0095130A">
            <w:pPr>
              <w:spacing w:after="0" w:line="240" w:lineRule="auto"/>
              <w:jc w:val="center"/>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w:t>
            </w:r>
          </w:p>
        </w:tc>
      </w:tr>
      <w:tr w:rsidR="007E2527" w:rsidRPr="007E2527" w14:paraId="7EE13CA1"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477297F1" w14:textId="77777777" w:rsidR="0095130A" w:rsidRPr="0095130A" w:rsidRDefault="0095130A" w:rsidP="0095130A">
            <w:pPr>
              <w:spacing w:after="0" w:line="240" w:lineRule="auto"/>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&lt;=25</w:t>
            </w:r>
          </w:p>
        </w:tc>
        <w:tc>
          <w:tcPr>
            <w:tcW w:w="960" w:type="dxa"/>
            <w:tcBorders>
              <w:top w:val="nil"/>
              <w:left w:val="nil"/>
              <w:bottom w:val="nil"/>
              <w:right w:val="nil"/>
            </w:tcBorders>
            <w:shd w:val="clear" w:color="000000" w:fill="FFFFFF"/>
            <w:noWrap/>
            <w:vAlign w:val="bottom"/>
            <w:hideMark/>
          </w:tcPr>
          <w:p w14:paraId="123BE619"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single" w:sz="4" w:space="0" w:color="auto"/>
            </w:tcBorders>
            <w:shd w:val="clear" w:color="000000" w:fill="FFFFFF"/>
            <w:noWrap/>
            <w:vAlign w:val="bottom"/>
            <w:hideMark/>
          </w:tcPr>
          <w:p w14:paraId="1EF715FD"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nil"/>
            </w:tcBorders>
            <w:shd w:val="clear" w:color="000000" w:fill="FFFFFF"/>
            <w:noWrap/>
            <w:vAlign w:val="bottom"/>
            <w:hideMark/>
          </w:tcPr>
          <w:p w14:paraId="08135AA3"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988DCE1"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428E9062"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single" w:sz="4" w:space="0" w:color="auto"/>
            </w:tcBorders>
            <w:shd w:val="clear" w:color="000000" w:fill="FFFFFF"/>
            <w:noWrap/>
            <w:vAlign w:val="bottom"/>
            <w:hideMark/>
          </w:tcPr>
          <w:p w14:paraId="7245E7F9"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1.6%</w:t>
            </w:r>
          </w:p>
        </w:tc>
      </w:tr>
      <w:tr w:rsidR="007E2527" w:rsidRPr="007E2527" w14:paraId="30954D3D"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21DFF263" w14:textId="77777777" w:rsidR="0095130A" w:rsidRPr="0095130A" w:rsidRDefault="0095130A" w:rsidP="0095130A">
            <w:pPr>
              <w:spacing w:after="0" w:line="240" w:lineRule="auto"/>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26-35</w:t>
            </w:r>
          </w:p>
        </w:tc>
        <w:tc>
          <w:tcPr>
            <w:tcW w:w="960" w:type="dxa"/>
            <w:tcBorders>
              <w:top w:val="nil"/>
              <w:left w:val="nil"/>
              <w:bottom w:val="nil"/>
              <w:right w:val="nil"/>
            </w:tcBorders>
            <w:shd w:val="clear" w:color="000000" w:fill="FFFFFF"/>
            <w:noWrap/>
            <w:vAlign w:val="bottom"/>
            <w:hideMark/>
          </w:tcPr>
          <w:p w14:paraId="27628A38"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504</w:t>
            </w:r>
          </w:p>
        </w:tc>
        <w:tc>
          <w:tcPr>
            <w:tcW w:w="960" w:type="dxa"/>
            <w:tcBorders>
              <w:top w:val="nil"/>
              <w:left w:val="nil"/>
              <w:bottom w:val="nil"/>
              <w:right w:val="single" w:sz="4" w:space="0" w:color="auto"/>
            </w:tcBorders>
            <w:shd w:val="clear" w:color="000000" w:fill="FFFFFF"/>
            <w:noWrap/>
            <w:vAlign w:val="bottom"/>
            <w:hideMark/>
          </w:tcPr>
          <w:p w14:paraId="0A5D6069"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50.0%</w:t>
            </w:r>
          </w:p>
        </w:tc>
        <w:tc>
          <w:tcPr>
            <w:tcW w:w="960" w:type="dxa"/>
            <w:tcBorders>
              <w:top w:val="nil"/>
              <w:left w:val="nil"/>
              <w:bottom w:val="nil"/>
              <w:right w:val="nil"/>
            </w:tcBorders>
            <w:shd w:val="clear" w:color="000000" w:fill="FFFFFF"/>
            <w:noWrap/>
            <w:vAlign w:val="bottom"/>
            <w:hideMark/>
          </w:tcPr>
          <w:p w14:paraId="3B485C5C"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115</w:t>
            </w:r>
          </w:p>
        </w:tc>
        <w:tc>
          <w:tcPr>
            <w:tcW w:w="960" w:type="dxa"/>
            <w:tcBorders>
              <w:top w:val="nil"/>
              <w:left w:val="nil"/>
              <w:bottom w:val="nil"/>
              <w:right w:val="nil"/>
            </w:tcBorders>
            <w:shd w:val="clear" w:color="000000" w:fill="FFFFFF"/>
            <w:noWrap/>
            <w:vAlign w:val="bottom"/>
            <w:hideMark/>
          </w:tcPr>
          <w:p w14:paraId="620C0272"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8.2%</w:t>
            </w:r>
          </w:p>
        </w:tc>
        <w:tc>
          <w:tcPr>
            <w:tcW w:w="960" w:type="dxa"/>
            <w:tcBorders>
              <w:top w:val="nil"/>
              <w:left w:val="single" w:sz="4" w:space="0" w:color="auto"/>
              <w:bottom w:val="nil"/>
              <w:right w:val="nil"/>
            </w:tcBorders>
            <w:shd w:val="clear" w:color="000000" w:fill="FFFFFF"/>
            <w:noWrap/>
            <w:vAlign w:val="bottom"/>
            <w:hideMark/>
          </w:tcPr>
          <w:p w14:paraId="01C6C521"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76</w:t>
            </w:r>
          </w:p>
        </w:tc>
        <w:tc>
          <w:tcPr>
            <w:tcW w:w="960" w:type="dxa"/>
            <w:tcBorders>
              <w:top w:val="nil"/>
              <w:left w:val="nil"/>
              <w:bottom w:val="nil"/>
              <w:right w:val="single" w:sz="4" w:space="0" w:color="auto"/>
            </w:tcBorders>
            <w:shd w:val="clear" w:color="000000" w:fill="FFFFFF"/>
            <w:noWrap/>
            <w:vAlign w:val="bottom"/>
            <w:hideMark/>
          </w:tcPr>
          <w:p w14:paraId="4185442D"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16.9%</w:t>
            </w:r>
          </w:p>
        </w:tc>
      </w:tr>
      <w:tr w:rsidR="007E2527" w:rsidRPr="007E2527" w14:paraId="19C91F2D"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6AC0F44D" w14:textId="77777777" w:rsidR="0095130A" w:rsidRPr="0095130A" w:rsidRDefault="0095130A" w:rsidP="0095130A">
            <w:pPr>
              <w:spacing w:after="0" w:line="240" w:lineRule="auto"/>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36-45</w:t>
            </w:r>
          </w:p>
        </w:tc>
        <w:tc>
          <w:tcPr>
            <w:tcW w:w="960" w:type="dxa"/>
            <w:tcBorders>
              <w:top w:val="nil"/>
              <w:left w:val="nil"/>
              <w:bottom w:val="nil"/>
              <w:right w:val="nil"/>
            </w:tcBorders>
            <w:shd w:val="clear" w:color="000000" w:fill="FFFFFF"/>
            <w:noWrap/>
            <w:vAlign w:val="bottom"/>
            <w:hideMark/>
          </w:tcPr>
          <w:p w14:paraId="07691155"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302</w:t>
            </w:r>
          </w:p>
        </w:tc>
        <w:tc>
          <w:tcPr>
            <w:tcW w:w="960" w:type="dxa"/>
            <w:tcBorders>
              <w:top w:val="nil"/>
              <w:left w:val="nil"/>
              <w:bottom w:val="nil"/>
              <w:right w:val="single" w:sz="4" w:space="0" w:color="auto"/>
            </w:tcBorders>
            <w:shd w:val="clear" w:color="000000" w:fill="FFFFFF"/>
            <w:noWrap/>
            <w:vAlign w:val="bottom"/>
            <w:hideMark/>
          </w:tcPr>
          <w:p w14:paraId="64CA97CF"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30.0%</w:t>
            </w:r>
          </w:p>
        </w:tc>
        <w:tc>
          <w:tcPr>
            <w:tcW w:w="960" w:type="dxa"/>
            <w:tcBorders>
              <w:top w:val="nil"/>
              <w:left w:val="nil"/>
              <w:bottom w:val="nil"/>
              <w:right w:val="nil"/>
            </w:tcBorders>
            <w:shd w:val="clear" w:color="000000" w:fill="FFFFFF"/>
            <w:noWrap/>
            <w:vAlign w:val="bottom"/>
            <w:hideMark/>
          </w:tcPr>
          <w:p w14:paraId="4B2EC74D"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481</w:t>
            </w:r>
          </w:p>
        </w:tc>
        <w:tc>
          <w:tcPr>
            <w:tcW w:w="960" w:type="dxa"/>
            <w:tcBorders>
              <w:top w:val="nil"/>
              <w:left w:val="nil"/>
              <w:bottom w:val="nil"/>
              <w:right w:val="nil"/>
            </w:tcBorders>
            <w:shd w:val="clear" w:color="000000" w:fill="FFFFFF"/>
            <w:noWrap/>
            <w:vAlign w:val="bottom"/>
            <w:hideMark/>
          </w:tcPr>
          <w:p w14:paraId="5CA0AC6A"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34.2%</w:t>
            </w:r>
          </w:p>
        </w:tc>
        <w:tc>
          <w:tcPr>
            <w:tcW w:w="960" w:type="dxa"/>
            <w:tcBorders>
              <w:top w:val="nil"/>
              <w:left w:val="single" w:sz="4" w:space="0" w:color="auto"/>
              <w:bottom w:val="nil"/>
              <w:right w:val="nil"/>
            </w:tcBorders>
            <w:shd w:val="clear" w:color="000000" w:fill="FFFFFF"/>
            <w:noWrap/>
            <w:vAlign w:val="bottom"/>
            <w:hideMark/>
          </w:tcPr>
          <w:p w14:paraId="1B033760"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153</w:t>
            </w:r>
          </w:p>
        </w:tc>
        <w:tc>
          <w:tcPr>
            <w:tcW w:w="960" w:type="dxa"/>
            <w:tcBorders>
              <w:top w:val="nil"/>
              <w:left w:val="nil"/>
              <w:bottom w:val="nil"/>
              <w:right w:val="single" w:sz="4" w:space="0" w:color="auto"/>
            </w:tcBorders>
            <w:shd w:val="clear" w:color="000000" w:fill="FFFFFF"/>
            <w:noWrap/>
            <w:vAlign w:val="bottom"/>
            <w:hideMark/>
          </w:tcPr>
          <w:p w14:paraId="657021AF"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33.9%</w:t>
            </w:r>
          </w:p>
        </w:tc>
      </w:tr>
      <w:tr w:rsidR="007E2527" w:rsidRPr="007E2527" w14:paraId="15AE5D43"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53BDCAB4" w14:textId="77777777" w:rsidR="0095130A" w:rsidRPr="0095130A" w:rsidRDefault="0095130A" w:rsidP="0095130A">
            <w:pPr>
              <w:spacing w:after="0" w:line="240" w:lineRule="auto"/>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46-55</w:t>
            </w:r>
          </w:p>
        </w:tc>
        <w:tc>
          <w:tcPr>
            <w:tcW w:w="960" w:type="dxa"/>
            <w:tcBorders>
              <w:top w:val="nil"/>
              <w:left w:val="nil"/>
              <w:bottom w:val="nil"/>
              <w:right w:val="nil"/>
            </w:tcBorders>
            <w:shd w:val="clear" w:color="000000" w:fill="FFFFFF"/>
            <w:noWrap/>
            <w:vAlign w:val="bottom"/>
            <w:hideMark/>
          </w:tcPr>
          <w:p w14:paraId="33162E90"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single" w:sz="4" w:space="0" w:color="auto"/>
            </w:tcBorders>
            <w:shd w:val="clear" w:color="000000" w:fill="FFFFFF"/>
            <w:noWrap/>
            <w:vAlign w:val="bottom"/>
            <w:hideMark/>
          </w:tcPr>
          <w:p w14:paraId="7505159D"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10.0%</w:t>
            </w:r>
          </w:p>
        </w:tc>
        <w:tc>
          <w:tcPr>
            <w:tcW w:w="960" w:type="dxa"/>
            <w:tcBorders>
              <w:top w:val="nil"/>
              <w:left w:val="nil"/>
              <w:bottom w:val="nil"/>
              <w:right w:val="nil"/>
            </w:tcBorders>
            <w:shd w:val="clear" w:color="000000" w:fill="FFFFFF"/>
            <w:noWrap/>
            <w:vAlign w:val="bottom"/>
            <w:hideMark/>
          </w:tcPr>
          <w:p w14:paraId="5F1B16ED"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487</w:t>
            </w:r>
          </w:p>
        </w:tc>
        <w:tc>
          <w:tcPr>
            <w:tcW w:w="960" w:type="dxa"/>
            <w:tcBorders>
              <w:top w:val="nil"/>
              <w:left w:val="nil"/>
              <w:bottom w:val="nil"/>
              <w:right w:val="nil"/>
            </w:tcBorders>
            <w:shd w:val="clear" w:color="000000" w:fill="FFFFFF"/>
            <w:noWrap/>
            <w:vAlign w:val="bottom"/>
            <w:hideMark/>
          </w:tcPr>
          <w:p w14:paraId="2D4B7BB5"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34.6%</w:t>
            </w:r>
          </w:p>
        </w:tc>
        <w:tc>
          <w:tcPr>
            <w:tcW w:w="960" w:type="dxa"/>
            <w:tcBorders>
              <w:top w:val="nil"/>
              <w:left w:val="single" w:sz="4" w:space="0" w:color="auto"/>
              <w:bottom w:val="nil"/>
              <w:right w:val="nil"/>
            </w:tcBorders>
            <w:shd w:val="clear" w:color="000000" w:fill="FFFFFF"/>
            <w:noWrap/>
            <w:vAlign w:val="bottom"/>
            <w:hideMark/>
          </w:tcPr>
          <w:p w14:paraId="43D5A106"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118</w:t>
            </w:r>
          </w:p>
        </w:tc>
        <w:tc>
          <w:tcPr>
            <w:tcW w:w="960" w:type="dxa"/>
            <w:tcBorders>
              <w:top w:val="nil"/>
              <w:left w:val="nil"/>
              <w:bottom w:val="nil"/>
              <w:right w:val="single" w:sz="4" w:space="0" w:color="auto"/>
            </w:tcBorders>
            <w:shd w:val="clear" w:color="000000" w:fill="FFFFFF"/>
            <w:noWrap/>
            <w:vAlign w:val="bottom"/>
            <w:hideMark/>
          </w:tcPr>
          <w:p w14:paraId="758F4DF3"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26.2%</w:t>
            </w:r>
          </w:p>
        </w:tc>
      </w:tr>
      <w:tr w:rsidR="007E2527" w:rsidRPr="007E2527" w14:paraId="4FEC72EE"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5D3CA217" w14:textId="77777777" w:rsidR="0095130A" w:rsidRPr="0095130A" w:rsidRDefault="0095130A" w:rsidP="0095130A">
            <w:pPr>
              <w:spacing w:after="0" w:line="240" w:lineRule="auto"/>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56-65</w:t>
            </w:r>
          </w:p>
        </w:tc>
        <w:tc>
          <w:tcPr>
            <w:tcW w:w="960" w:type="dxa"/>
            <w:tcBorders>
              <w:top w:val="nil"/>
              <w:left w:val="nil"/>
              <w:bottom w:val="nil"/>
              <w:right w:val="nil"/>
            </w:tcBorders>
            <w:shd w:val="clear" w:color="000000" w:fill="FFFFFF"/>
            <w:noWrap/>
            <w:vAlign w:val="bottom"/>
            <w:hideMark/>
          </w:tcPr>
          <w:p w14:paraId="7A232285"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56</w:t>
            </w:r>
          </w:p>
        </w:tc>
        <w:tc>
          <w:tcPr>
            <w:tcW w:w="960" w:type="dxa"/>
            <w:tcBorders>
              <w:top w:val="nil"/>
              <w:left w:val="nil"/>
              <w:bottom w:val="nil"/>
              <w:right w:val="single" w:sz="4" w:space="0" w:color="auto"/>
            </w:tcBorders>
            <w:shd w:val="clear" w:color="000000" w:fill="FFFFFF"/>
            <w:noWrap/>
            <w:vAlign w:val="bottom"/>
            <w:hideMark/>
          </w:tcPr>
          <w:p w14:paraId="30F0442D"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5.6%</w:t>
            </w:r>
          </w:p>
        </w:tc>
        <w:tc>
          <w:tcPr>
            <w:tcW w:w="960" w:type="dxa"/>
            <w:tcBorders>
              <w:top w:val="nil"/>
              <w:left w:val="nil"/>
              <w:bottom w:val="nil"/>
              <w:right w:val="nil"/>
            </w:tcBorders>
            <w:shd w:val="clear" w:color="000000" w:fill="FFFFFF"/>
            <w:noWrap/>
            <w:vAlign w:val="bottom"/>
            <w:hideMark/>
          </w:tcPr>
          <w:p w14:paraId="0C742F91"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269</w:t>
            </w:r>
          </w:p>
        </w:tc>
        <w:tc>
          <w:tcPr>
            <w:tcW w:w="960" w:type="dxa"/>
            <w:tcBorders>
              <w:top w:val="nil"/>
              <w:left w:val="nil"/>
              <w:bottom w:val="nil"/>
              <w:right w:val="nil"/>
            </w:tcBorders>
            <w:shd w:val="clear" w:color="000000" w:fill="FFFFFF"/>
            <w:noWrap/>
            <w:vAlign w:val="bottom"/>
            <w:hideMark/>
          </w:tcPr>
          <w:p w14:paraId="60519083"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19.1%</w:t>
            </w:r>
          </w:p>
        </w:tc>
        <w:tc>
          <w:tcPr>
            <w:tcW w:w="960" w:type="dxa"/>
            <w:tcBorders>
              <w:top w:val="nil"/>
              <w:left w:val="single" w:sz="4" w:space="0" w:color="auto"/>
              <w:bottom w:val="nil"/>
              <w:right w:val="nil"/>
            </w:tcBorders>
            <w:shd w:val="clear" w:color="000000" w:fill="FFFFFF"/>
            <w:noWrap/>
            <w:vAlign w:val="bottom"/>
            <w:hideMark/>
          </w:tcPr>
          <w:p w14:paraId="3421CC54"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82</w:t>
            </w:r>
          </w:p>
        </w:tc>
        <w:tc>
          <w:tcPr>
            <w:tcW w:w="960" w:type="dxa"/>
            <w:tcBorders>
              <w:top w:val="nil"/>
              <w:left w:val="nil"/>
              <w:bottom w:val="nil"/>
              <w:right w:val="single" w:sz="4" w:space="0" w:color="auto"/>
            </w:tcBorders>
            <w:shd w:val="clear" w:color="000000" w:fill="FFFFFF"/>
            <w:noWrap/>
            <w:vAlign w:val="bottom"/>
            <w:hideMark/>
          </w:tcPr>
          <w:p w14:paraId="0FA88B16"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18.2%</w:t>
            </w:r>
          </w:p>
        </w:tc>
      </w:tr>
      <w:tr w:rsidR="007E2527" w:rsidRPr="007E2527" w14:paraId="14515108" w14:textId="77777777" w:rsidTr="00B042E0">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3D01E72F" w14:textId="77777777" w:rsidR="0095130A" w:rsidRPr="0095130A" w:rsidRDefault="0095130A" w:rsidP="0095130A">
            <w:pPr>
              <w:spacing w:after="0" w:line="240" w:lineRule="auto"/>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&gt;=66</w:t>
            </w:r>
          </w:p>
        </w:tc>
        <w:tc>
          <w:tcPr>
            <w:tcW w:w="960" w:type="dxa"/>
            <w:tcBorders>
              <w:top w:val="nil"/>
              <w:left w:val="nil"/>
              <w:bottom w:val="nil"/>
              <w:right w:val="nil"/>
            </w:tcBorders>
            <w:shd w:val="clear" w:color="000000" w:fill="FFFFFF"/>
            <w:noWrap/>
            <w:vAlign w:val="bottom"/>
            <w:hideMark/>
          </w:tcPr>
          <w:p w14:paraId="0D0EBDEF"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14</w:t>
            </w:r>
          </w:p>
        </w:tc>
        <w:tc>
          <w:tcPr>
            <w:tcW w:w="960" w:type="dxa"/>
            <w:tcBorders>
              <w:top w:val="nil"/>
              <w:left w:val="nil"/>
              <w:bottom w:val="nil"/>
              <w:right w:val="single" w:sz="4" w:space="0" w:color="auto"/>
            </w:tcBorders>
            <w:shd w:val="clear" w:color="000000" w:fill="FFFFFF"/>
            <w:noWrap/>
            <w:vAlign w:val="bottom"/>
            <w:hideMark/>
          </w:tcPr>
          <w:p w14:paraId="099934B9"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1.4%</w:t>
            </w:r>
          </w:p>
        </w:tc>
        <w:tc>
          <w:tcPr>
            <w:tcW w:w="960" w:type="dxa"/>
            <w:tcBorders>
              <w:top w:val="nil"/>
              <w:left w:val="nil"/>
              <w:bottom w:val="nil"/>
              <w:right w:val="nil"/>
            </w:tcBorders>
            <w:shd w:val="clear" w:color="000000" w:fill="FFFFFF"/>
            <w:noWrap/>
            <w:vAlign w:val="bottom"/>
            <w:hideMark/>
          </w:tcPr>
          <w:p w14:paraId="558847D7"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55</w:t>
            </w:r>
          </w:p>
        </w:tc>
        <w:tc>
          <w:tcPr>
            <w:tcW w:w="960" w:type="dxa"/>
            <w:tcBorders>
              <w:top w:val="nil"/>
              <w:left w:val="nil"/>
              <w:bottom w:val="nil"/>
              <w:right w:val="nil"/>
            </w:tcBorders>
            <w:shd w:val="clear" w:color="000000" w:fill="FFFFFF"/>
            <w:noWrap/>
            <w:vAlign w:val="bottom"/>
            <w:hideMark/>
          </w:tcPr>
          <w:p w14:paraId="6838EA81"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3.9%</w:t>
            </w:r>
          </w:p>
        </w:tc>
        <w:tc>
          <w:tcPr>
            <w:tcW w:w="960" w:type="dxa"/>
            <w:tcBorders>
              <w:top w:val="nil"/>
              <w:left w:val="single" w:sz="4" w:space="0" w:color="auto"/>
              <w:bottom w:val="nil"/>
              <w:right w:val="nil"/>
            </w:tcBorders>
            <w:shd w:val="clear" w:color="000000" w:fill="FFFFFF"/>
            <w:noWrap/>
            <w:vAlign w:val="bottom"/>
            <w:hideMark/>
          </w:tcPr>
          <w:p w14:paraId="6A894A2D"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15</w:t>
            </w:r>
          </w:p>
        </w:tc>
        <w:tc>
          <w:tcPr>
            <w:tcW w:w="960" w:type="dxa"/>
            <w:tcBorders>
              <w:top w:val="nil"/>
              <w:left w:val="nil"/>
              <w:bottom w:val="nil"/>
              <w:right w:val="single" w:sz="4" w:space="0" w:color="auto"/>
            </w:tcBorders>
            <w:shd w:val="clear" w:color="000000" w:fill="FFFFFF"/>
            <w:noWrap/>
            <w:vAlign w:val="bottom"/>
            <w:hideMark/>
          </w:tcPr>
          <w:p w14:paraId="2FEF8F18" w14:textId="77777777" w:rsidR="0095130A" w:rsidRPr="0095130A" w:rsidRDefault="0095130A" w:rsidP="0095130A">
            <w:pPr>
              <w:spacing w:after="0" w:line="240" w:lineRule="auto"/>
              <w:jc w:val="right"/>
              <w:rPr>
                <w:rFonts w:asciiTheme="minorHAnsi" w:eastAsia="Times New Roman" w:hAnsiTheme="minorHAnsi" w:cs="Times New Roman"/>
                <w:color w:val="000000"/>
                <w:kern w:val="0"/>
                <w:szCs w:val="22"/>
                <w:lang w:eastAsia="en-GB"/>
                <w14:ligatures w14:val="none"/>
              </w:rPr>
            </w:pPr>
            <w:r w:rsidRPr="0095130A">
              <w:rPr>
                <w:rFonts w:asciiTheme="minorHAnsi" w:eastAsia="Times New Roman" w:hAnsiTheme="minorHAnsi" w:cs="Times New Roman"/>
                <w:color w:val="000000"/>
                <w:kern w:val="0"/>
                <w:szCs w:val="22"/>
                <w:lang w:eastAsia="en-GB"/>
                <w14:ligatures w14:val="none"/>
              </w:rPr>
              <w:t>3.3%</w:t>
            </w:r>
          </w:p>
        </w:tc>
      </w:tr>
      <w:tr w:rsidR="007E2527" w:rsidRPr="007E2527" w14:paraId="7C77057D" w14:textId="77777777" w:rsidTr="00B042E0">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0E9E540F" w14:textId="77777777" w:rsidR="0095130A" w:rsidRPr="0095130A" w:rsidRDefault="0095130A" w:rsidP="0095130A">
            <w:pPr>
              <w:spacing w:after="0" w:line="240" w:lineRule="auto"/>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6B0B871B" w14:textId="77777777" w:rsidR="0095130A" w:rsidRPr="0095130A" w:rsidRDefault="0095130A" w:rsidP="009513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1007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44B17D6" w14:textId="77777777" w:rsidR="0095130A" w:rsidRPr="0095130A" w:rsidRDefault="0095130A" w:rsidP="009513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FDE3E7D" w14:textId="77777777" w:rsidR="0095130A" w:rsidRPr="0095130A" w:rsidRDefault="0095130A" w:rsidP="009513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1407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C1021C4" w14:textId="77777777" w:rsidR="0095130A" w:rsidRPr="0095130A" w:rsidRDefault="0095130A" w:rsidP="009513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1EC4CAC" w14:textId="77777777" w:rsidR="0095130A" w:rsidRPr="0095130A" w:rsidRDefault="0095130A" w:rsidP="009513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451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1462E9E" w14:textId="77777777" w:rsidR="0095130A" w:rsidRPr="0095130A" w:rsidRDefault="0095130A" w:rsidP="009513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5130A">
              <w:rPr>
                <w:rFonts w:asciiTheme="minorHAnsi" w:eastAsia="Times New Roman" w:hAnsiTheme="minorHAnsi" w:cs="Times New Roman"/>
                <w:b/>
                <w:bCs/>
                <w:color w:val="000000"/>
                <w:kern w:val="0"/>
                <w:szCs w:val="22"/>
                <w:lang w:eastAsia="en-GB"/>
                <w14:ligatures w14:val="none"/>
              </w:rPr>
              <w:t>100%</w:t>
            </w:r>
          </w:p>
        </w:tc>
      </w:tr>
    </w:tbl>
    <w:p w14:paraId="034F6B45" w14:textId="522600F8" w:rsidR="00DB06B3" w:rsidRPr="007E2527" w:rsidRDefault="00DB06B3" w:rsidP="00E07335">
      <w:pPr>
        <w:rPr>
          <w:rFonts w:asciiTheme="minorHAnsi" w:hAnsiTheme="minorHAnsi"/>
          <w:b/>
          <w:bCs/>
          <w:szCs w:val="22"/>
        </w:rPr>
      </w:pPr>
    </w:p>
    <w:p w14:paraId="063FAB3E" w14:textId="1C04423F" w:rsidR="00A91C95" w:rsidRPr="007E2527" w:rsidRDefault="00A91C95" w:rsidP="00E07335">
      <w:pPr>
        <w:rPr>
          <w:rFonts w:asciiTheme="minorHAnsi" w:hAnsiTheme="minorHAnsi"/>
          <w:szCs w:val="22"/>
        </w:rPr>
      </w:pPr>
      <w:r w:rsidRPr="007E2527">
        <w:rPr>
          <w:rFonts w:asciiTheme="minorHAnsi" w:hAnsiTheme="minorHAnsi"/>
          <w:szCs w:val="22"/>
        </w:rPr>
        <w:t>Note. There are 9 PS colleagues on T&amp;R contracts included in these numbers.</w:t>
      </w:r>
    </w:p>
    <w:p w14:paraId="701DF9D7" w14:textId="77777777" w:rsidR="00A91C95" w:rsidRPr="007E2527" w:rsidRDefault="00A91C95" w:rsidP="00E07335">
      <w:pPr>
        <w:rPr>
          <w:rFonts w:asciiTheme="minorHAnsi" w:hAnsiTheme="minorHAnsi"/>
          <w:szCs w:val="22"/>
        </w:rPr>
      </w:pPr>
    </w:p>
    <w:p w14:paraId="34250AE0" w14:textId="77777777" w:rsidR="0095130A" w:rsidRPr="007E2527" w:rsidRDefault="0095130A" w:rsidP="00E07335">
      <w:pPr>
        <w:rPr>
          <w:rFonts w:asciiTheme="minorHAnsi" w:hAnsiTheme="minorHAnsi"/>
          <w:szCs w:val="22"/>
        </w:rPr>
      </w:pPr>
    </w:p>
    <w:p w14:paraId="19FDDA30" w14:textId="77777777" w:rsidR="0095130A" w:rsidRPr="007E2527" w:rsidRDefault="0095130A" w:rsidP="00E07335">
      <w:pPr>
        <w:rPr>
          <w:rFonts w:asciiTheme="minorHAnsi" w:hAnsiTheme="minorHAnsi"/>
          <w:szCs w:val="22"/>
        </w:rPr>
      </w:pPr>
    </w:p>
    <w:p w14:paraId="5E447803" w14:textId="77777777" w:rsidR="0095130A" w:rsidRPr="007E2527" w:rsidRDefault="0095130A" w:rsidP="00E07335">
      <w:pPr>
        <w:rPr>
          <w:rFonts w:asciiTheme="minorHAnsi" w:hAnsiTheme="minorHAnsi"/>
          <w:szCs w:val="22"/>
        </w:rPr>
      </w:pPr>
    </w:p>
    <w:p w14:paraId="05337BC2" w14:textId="77777777" w:rsidR="0095130A" w:rsidRPr="007E2527" w:rsidRDefault="0095130A" w:rsidP="00E07335">
      <w:pPr>
        <w:rPr>
          <w:rFonts w:asciiTheme="minorHAnsi" w:hAnsiTheme="minorHAnsi"/>
          <w:szCs w:val="22"/>
        </w:rPr>
      </w:pPr>
    </w:p>
    <w:p w14:paraId="0B9C865F" w14:textId="77777777" w:rsidR="0095130A" w:rsidRPr="007E2527" w:rsidRDefault="0095130A" w:rsidP="00E07335">
      <w:pPr>
        <w:rPr>
          <w:rFonts w:asciiTheme="minorHAnsi" w:hAnsiTheme="minorHAnsi"/>
          <w:szCs w:val="22"/>
        </w:rPr>
      </w:pPr>
    </w:p>
    <w:p w14:paraId="5BF39614" w14:textId="7D2691A3" w:rsidR="008F2135" w:rsidRPr="007E2527" w:rsidRDefault="008F2135">
      <w:pPr>
        <w:rPr>
          <w:rFonts w:asciiTheme="minorHAnsi" w:hAnsiTheme="minorHAnsi"/>
          <w:szCs w:val="22"/>
        </w:rPr>
      </w:pPr>
    </w:p>
    <w:p w14:paraId="5A7FB36C" w14:textId="77777777" w:rsidR="0040247E" w:rsidRPr="007E2527" w:rsidRDefault="0040247E">
      <w:pPr>
        <w:rPr>
          <w:rFonts w:asciiTheme="minorHAnsi" w:hAnsiTheme="minorHAnsi"/>
          <w:szCs w:val="22"/>
        </w:rPr>
      </w:pPr>
    </w:p>
    <w:p w14:paraId="26AA1716" w14:textId="77777777" w:rsidR="0040247E" w:rsidRDefault="0040247E">
      <w:pPr>
        <w:rPr>
          <w:rFonts w:asciiTheme="minorHAnsi" w:hAnsiTheme="minorHAnsi"/>
          <w:szCs w:val="22"/>
        </w:rPr>
      </w:pPr>
    </w:p>
    <w:p w14:paraId="76A32D27" w14:textId="77777777" w:rsidR="00B042E0" w:rsidRPr="007E2527" w:rsidRDefault="00B042E0">
      <w:pPr>
        <w:rPr>
          <w:rFonts w:asciiTheme="minorHAnsi" w:hAnsiTheme="minorHAnsi"/>
          <w:szCs w:val="22"/>
        </w:rPr>
      </w:pPr>
    </w:p>
    <w:p w14:paraId="1D334C08" w14:textId="56C84751" w:rsidR="00A91C95" w:rsidRPr="007E2527" w:rsidRDefault="00A91C95"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and age group, and occupation, 2025 (N=6,241)</w:t>
      </w:r>
    </w:p>
    <w:tbl>
      <w:tblPr>
        <w:tblW w:w="8395" w:type="dxa"/>
        <w:tblLayout w:type="fixed"/>
        <w:tblLook w:val="04A0" w:firstRow="1" w:lastRow="0" w:firstColumn="1" w:lastColumn="0" w:noHBand="0" w:noVBand="1"/>
      </w:tblPr>
      <w:tblGrid>
        <w:gridCol w:w="2381"/>
        <w:gridCol w:w="1002"/>
        <w:gridCol w:w="1002"/>
        <w:gridCol w:w="1003"/>
        <w:gridCol w:w="1002"/>
        <w:gridCol w:w="1002"/>
        <w:gridCol w:w="1003"/>
      </w:tblGrid>
      <w:tr w:rsidR="006947E3" w:rsidRPr="000D5E14" w14:paraId="05AECFA7" w14:textId="77777777" w:rsidTr="006947E3">
        <w:trPr>
          <w:trHeight w:val="300"/>
        </w:trPr>
        <w:tc>
          <w:tcPr>
            <w:tcW w:w="2381" w:type="dxa"/>
            <w:tcBorders>
              <w:top w:val="single" w:sz="4" w:space="0" w:color="auto"/>
              <w:left w:val="single" w:sz="4" w:space="0" w:color="auto"/>
              <w:bottom w:val="nil"/>
              <w:right w:val="nil"/>
            </w:tcBorders>
            <w:shd w:val="clear" w:color="000000" w:fill="FFFFFF"/>
            <w:noWrap/>
            <w:vAlign w:val="bottom"/>
            <w:hideMark/>
          </w:tcPr>
          <w:p w14:paraId="22D667F8" w14:textId="77777777" w:rsidR="000D5E14" w:rsidRPr="000D5E14" w:rsidRDefault="000D5E14" w:rsidP="000D5E14">
            <w:pPr>
              <w:spacing w:after="0" w:line="240" w:lineRule="auto"/>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 </w:t>
            </w:r>
          </w:p>
        </w:tc>
        <w:tc>
          <w:tcPr>
            <w:tcW w:w="2004"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65F639F" w14:textId="77777777" w:rsidR="000D5E14" w:rsidRPr="000D5E14" w:rsidRDefault="000D5E14" w:rsidP="000D5E1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Academic</w:t>
            </w:r>
          </w:p>
        </w:tc>
        <w:tc>
          <w:tcPr>
            <w:tcW w:w="2005" w:type="dxa"/>
            <w:gridSpan w:val="2"/>
            <w:tcBorders>
              <w:top w:val="single" w:sz="4" w:space="0" w:color="auto"/>
              <w:left w:val="nil"/>
              <w:bottom w:val="nil"/>
              <w:right w:val="nil"/>
            </w:tcBorders>
            <w:shd w:val="clear" w:color="000000" w:fill="FFFFFF"/>
            <w:noWrap/>
            <w:vAlign w:val="bottom"/>
            <w:hideMark/>
          </w:tcPr>
          <w:p w14:paraId="647D8C06" w14:textId="77777777" w:rsidR="000D5E14" w:rsidRPr="000D5E14" w:rsidRDefault="000D5E14" w:rsidP="000D5E1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Research</w:t>
            </w:r>
          </w:p>
        </w:tc>
        <w:tc>
          <w:tcPr>
            <w:tcW w:w="2005"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F71A409" w14:textId="77777777" w:rsidR="000D5E14" w:rsidRPr="000D5E14" w:rsidRDefault="000D5E14" w:rsidP="000D5E1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PS</w:t>
            </w:r>
          </w:p>
        </w:tc>
      </w:tr>
      <w:tr w:rsidR="00B4627E" w:rsidRPr="007E2527" w14:paraId="6F0FF1FC" w14:textId="77777777" w:rsidTr="006947E3">
        <w:trPr>
          <w:trHeight w:val="300"/>
        </w:trPr>
        <w:tc>
          <w:tcPr>
            <w:tcW w:w="2381" w:type="dxa"/>
            <w:tcBorders>
              <w:top w:val="nil"/>
              <w:left w:val="single" w:sz="4" w:space="0" w:color="auto"/>
              <w:bottom w:val="single" w:sz="4" w:space="0" w:color="auto"/>
              <w:right w:val="nil"/>
            </w:tcBorders>
            <w:shd w:val="clear" w:color="000000" w:fill="FFFFFF"/>
            <w:noWrap/>
            <w:vAlign w:val="bottom"/>
            <w:hideMark/>
          </w:tcPr>
          <w:p w14:paraId="1E61001A" w14:textId="77777777" w:rsidR="000D5E14" w:rsidRPr="000D5E14" w:rsidRDefault="000D5E14" w:rsidP="000D5E14">
            <w:pPr>
              <w:spacing w:after="0" w:line="240" w:lineRule="auto"/>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 </w:t>
            </w:r>
          </w:p>
        </w:tc>
        <w:tc>
          <w:tcPr>
            <w:tcW w:w="1002" w:type="dxa"/>
            <w:tcBorders>
              <w:top w:val="nil"/>
              <w:left w:val="single" w:sz="4" w:space="0" w:color="auto"/>
              <w:bottom w:val="single" w:sz="4" w:space="0" w:color="auto"/>
              <w:right w:val="nil"/>
            </w:tcBorders>
            <w:shd w:val="clear" w:color="000000" w:fill="FFFFFF"/>
            <w:noWrap/>
            <w:vAlign w:val="bottom"/>
            <w:hideMark/>
          </w:tcPr>
          <w:p w14:paraId="0A4DB566" w14:textId="77777777" w:rsidR="000D5E14" w:rsidRPr="000D5E14" w:rsidRDefault="000D5E14" w:rsidP="000D5E14">
            <w:pPr>
              <w:spacing w:after="0" w:line="240" w:lineRule="auto"/>
              <w:jc w:val="center"/>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n</w:t>
            </w:r>
          </w:p>
        </w:tc>
        <w:tc>
          <w:tcPr>
            <w:tcW w:w="1002" w:type="dxa"/>
            <w:tcBorders>
              <w:top w:val="nil"/>
              <w:left w:val="nil"/>
              <w:bottom w:val="single" w:sz="4" w:space="0" w:color="auto"/>
              <w:right w:val="single" w:sz="4" w:space="0" w:color="auto"/>
            </w:tcBorders>
            <w:shd w:val="clear" w:color="000000" w:fill="FFFFFF"/>
            <w:noWrap/>
            <w:vAlign w:val="bottom"/>
            <w:hideMark/>
          </w:tcPr>
          <w:p w14:paraId="6234B643" w14:textId="77777777" w:rsidR="000D5E14" w:rsidRPr="000D5E14" w:rsidRDefault="000D5E14" w:rsidP="000D5E14">
            <w:pPr>
              <w:spacing w:after="0" w:line="240" w:lineRule="auto"/>
              <w:jc w:val="center"/>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3" w:type="dxa"/>
            <w:tcBorders>
              <w:top w:val="nil"/>
              <w:left w:val="nil"/>
              <w:bottom w:val="single" w:sz="4" w:space="0" w:color="auto"/>
              <w:right w:val="nil"/>
            </w:tcBorders>
            <w:shd w:val="clear" w:color="000000" w:fill="FFFFFF"/>
            <w:noWrap/>
            <w:vAlign w:val="bottom"/>
            <w:hideMark/>
          </w:tcPr>
          <w:p w14:paraId="1B4108A0" w14:textId="77777777" w:rsidR="000D5E14" w:rsidRPr="000D5E14" w:rsidRDefault="000D5E14" w:rsidP="000D5E14">
            <w:pPr>
              <w:spacing w:after="0" w:line="240" w:lineRule="auto"/>
              <w:jc w:val="center"/>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n</w:t>
            </w:r>
          </w:p>
        </w:tc>
        <w:tc>
          <w:tcPr>
            <w:tcW w:w="1002" w:type="dxa"/>
            <w:tcBorders>
              <w:top w:val="nil"/>
              <w:left w:val="nil"/>
              <w:bottom w:val="single" w:sz="4" w:space="0" w:color="auto"/>
              <w:right w:val="nil"/>
            </w:tcBorders>
            <w:shd w:val="clear" w:color="000000" w:fill="FFFFFF"/>
            <w:noWrap/>
            <w:vAlign w:val="bottom"/>
            <w:hideMark/>
          </w:tcPr>
          <w:p w14:paraId="28F4A543" w14:textId="77777777" w:rsidR="000D5E14" w:rsidRPr="000D5E14" w:rsidRDefault="000D5E14" w:rsidP="000D5E14">
            <w:pPr>
              <w:spacing w:after="0" w:line="240" w:lineRule="auto"/>
              <w:jc w:val="center"/>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2" w:type="dxa"/>
            <w:tcBorders>
              <w:top w:val="nil"/>
              <w:left w:val="single" w:sz="4" w:space="0" w:color="auto"/>
              <w:bottom w:val="single" w:sz="4" w:space="0" w:color="auto"/>
              <w:right w:val="nil"/>
            </w:tcBorders>
            <w:shd w:val="clear" w:color="000000" w:fill="FFFFFF"/>
            <w:noWrap/>
            <w:vAlign w:val="bottom"/>
            <w:hideMark/>
          </w:tcPr>
          <w:p w14:paraId="4C74CB96" w14:textId="77777777" w:rsidR="000D5E14" w:rsidRPr="000D5E14" w:rsidRDefault="000D5E14" w:rsidP="000D5E14">
            <w:pPr>
              <w:spacing w:after="0" w:line="240" w:lineRule="auto"/>
              <w:jc w:val="center"/>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n</w:t>
            </w:r>
          </w:p>
        </w:tc>
        <w:tc>
          <w:tcPr>
            <w:tcW w:w="1003" w:type="dxa"/>
            <w:tcBorders>
              <w:top w:val="nil"/>
              <w:left w:val="nil"/>
              <w:bottom w:val="single" w:sz="4" w:space="0" w:color="auto"/>
              <w:right w:val="single" w:sz="4" w:space="0" w:color="auto"/>
            </w:tcBorders>
            <w:shd w:val="clear" w:color="000000" w:fill="FFFFFF"/>
            <w:noWrap/>
            <w:vAlign w:val="bottom"/>
            <w:hideMark/>
          </w:tcPr>
          <w:p w14:paraId="37B327F0" w14:textId="77777777" w:rsidR="000D5E14" w:rsidRPr="000D5E14" w:rsidRDefault="000D5E14" w:rsidP="000D5E14">
            <w:pPr>
              <w:spacing w:after="0" w:line="240" w:lineRule="auto"/>
              <w:jc w:val="center"/>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r>
      <w:tr w:rsidR="00B4627E" w:rsidRPr="007E2527" w14:paraId="7A8CE3EA"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51C33B8B" w14:textId="77777777" w:rsidR="000D5E14" w:rsidRPr="000D5E14" w:rsidRDefault="000D5E14" w:rsidP="000D5E14">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0D5E14">
              <w:rPr>
                <w:rFonts w:asciiTheme="minorHAnsi" w:eastAsia="Times New Roman" w:hAnsiTheme="minorHAnsi" w:cs="Times New Roman"/>
                <w:b/>
                <w:bCs/>
                <w:color w:val="000000"/>
                <w:kern w:val="0"/>
                <w:szCs w:val="22"/>
                <w:lang w:eastAsia="en-GB"/>
                <w14:ligatures w14:val="none"/>
              </w:rPr>
              <w:t>HaSS</w:t>
            </w:r>
            <w:proofErr w:type="spellEnd"/>
          </w:p>
        </w:tc>
        <w:tc>
          <w:tcPr>
            <w:tcW w:w="1002" w:type="dxa"/>
            <w:tcBorders>
              <w:top w:val="nil"/>
              <w:left w:val="single" w:sz="4" w:space="0" w:color="auto"/>
              <w:bottom w:val="nil"/>
              <w:right w:val="nil"/>
            </w:tcBorders>
            <w:shd w:val="clear" w:color="000000" w:fill="FFFFFF"/>
            <w:noWrap/>
            <w:vAlign w:val="bottom"/>
            <w:hideMark/>
          </w:tcPr>
          <w:p w14:paraId="49D02C05"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809</w:t>
            </w:r>
          </w:p>
        </w:tc>
        <w:tc>
          <w:tcPr>
            <w:tcW w:w="1002" w:type="dxa"/>
            <w:tcBorders>
              <w:top w:val="nil"/>
              <w:left w:val="nil"/>
              <w:bottom w:val="nil"/>
              <w:right w:val="single" w:sz="4" w:space="0" w:color="auto"/>
            </w:tcBorders>
            <w:shd w:val="clear" w:color="000000" w:fill="FFFFFF"/>
            <w:noWrap/>
            <w:vAlign w:val="bottom"/>
            <w:hideMark/>
          </w:tcPr>
          <w:p w14:paraId="5235A491"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c>
          <w:tcPr>
            <w:tcW w:w="1003" w:type="dxa"/>
            <w:tcBorders>
              <w:top w:val="nil"/>
              <w:left w:val="nil"/>
              <w:bottom w:val="nil"/>
              <w:right w:val="nil"/>
            </w:tcBorders>
            <w:shd w:val="clear" w:color="000000" w:fill="FFFFFF"/>
            <w:noWrap/>
            <w:vAlign w:val="bottom"/>
            <w:hideMark/>
          </w:tcPr>
          <w:p w14:paraId="6EF725F7"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89</w:t>
            </w:r>
          </w:p>
        </w:tc>
        <w:tc>
          <w:tcPr>
            <w:tcW w:w="1002" w:type="dxa"/>
            <w:tcBorders>
              <w:top w:val="nil"/>
              <w:left w:val="nil"/>
              <w:bottom w:val="nil"/>
              <w:right w:val="nil"/>
            </w:tcBorders>
            <w:shd w:val="clear" w:color="000000" w:fill="FFFFFF"/>
            <w:noWrap/>
            <w:vAlign w:val="bottom"/>
            <w:hideMark/>
          </w:tcPr>
          <w:p w14:paraId="1A786606"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c>
          <w:tcPr>
            <w:tcW w:w="1002" w:type="dxa"/>
            <w:tcBorders>
              <w:top w:val="nil"/>
              <w:left w:val="single" w:sz="4" w:space="0" w:color="auto"/>
              <w:bottom w:val="nil"/>
              <w:right w:val="nil"/>
            </w:tcBorders>
            <w:shd w:val="clear" w:color="000000" w:fill="FFFFFF"/>
            <w:noWrap/>
            <w:vAlign w:val="bottom"/>
            <w:hideMark/>
          </w:tcPr>
          <w:p w14:paraId="17EEC03C"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297</w:t>
            </w:r>
          </w:p>
        </w:tc>
        <w:tc>
          <w:tcPr>
            <w:tcW w:w="1003" w:type="dxa"/>
            <w:tcBorders>
              <w:top w:val="nil"/>
              <w:left w:val="nil"/>
              <w:bottom w:val="nil"/>
              <w:right w:val="single" w:sz="4" w:space="0" w:color="auto"/>
            </w:tcBorders>
            <w:shd w:val="clear" w:color="000000" w:fill="FFFFFF"/>
            <w:noWrap/>
            <w:vAlign w:val="bottom"/>
            <w:hideMark/>
          </w:tcPr>
          <w:p w14:paraId="3D517F49"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r>
      <w:tr w:rsidR="00B4627E" w:rsidRPr="007E2527" w14:paraId="143490C3"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A108464"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&lt;=25</w:t>
            </w:r>
          </w:p>
        </w:tc>
        <w:tc>
          <w:tcPr>
            <w:tcW w:w="1002" w:type="dxa"/>
            <w:tcBorders>
              <w:top w:val="nil"/>
              <w:left w:val="single" w:sz="4" w:space="0" w:color="auto"/>
              <w:bottom w:val="nil"/>
              <w:right w:val="nil"/>
            </w:tcBorders>
            <w:shd w:val="clear" w:color="000000" w:fill="FFFFFF"/>
            <w:noWrap/>
            <w:vAlign w:val="bottom"/>
            <w:hideMark/>
          </w:tcPr>
          <w:p w14:paraId="36B3B7E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 </w:t>
            </w:r>
          </w:p>
        </w:tc>
        <w:tc>
          <w:tcPr>
            <w:tcW w:w="1002" w:type="dxa"/>
            <w:tcBorders>
              <w:top w:val="nil"/>
              <w:left w:val="nil"/>
              <w:bottom w:val="nil"/>
              <w:right w:val="single" w:sz="4" w:space="0" w:color="auto"/>
            </w:tcBorders>
            <w:shd w:val="clear" w:color="000000" w:fill="FFFFFF"/>
            <w:noWrap/>
            <w:vAlign w:val="bottom"/>
            <w:hideMark/>
          </w:tcPr>
          <w:p w14:paraId="27A244DA"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 </w:t>
            </w:r>
          </w:p>
        </w:tc>
        <w:tc>
          <w:tcPr>
            <w:tcW w:w="1003" w:type="dxa"/>
            <w:tcBorders>
              <w:top w:val="nil"/>
              <w:left w:val="nil"/>
              <w:bottom w:val="nil"/>
              <w:right w:val="nil"/>
            </w:tcBorders>
            <w:shd w:val="clear" w:color="000000" w:fill="FFFFFF"/>
            <w:noWrap/>
            <w:vAlign w:val="bottom"/>
            <w:hideMark/>
          </w:tcPr>
          <w:p w14:paraId="17381A51"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 </w:t>
            </w:r>
          </w:p>
        </w:tc>
        <w:tc>
          <w:tcPr>
            <w:tcW w:w="1002" w:type="dxa"/>
            <w:tcBorders>
              <w:top w:val="nil"/>
              <w:left w:val="nil"/>
              <w:bottom w:val="nil"/>
              <w:right w:val="nil"/>
            </w:tcBorders>
            <w:shd w:val="clear" w:color="000000" w:fill="FFFFFF"/>
            <w:noWrap/>
            <w:vAlign w:val="bottom"/>
            <w:hideMark/>
          </w:tcPr>
          <w:p w14:paraId="5E5654F7"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 </w:t>
            </w:r>
          </w:p>
        </w:tc>
        <w:tc>
          <w:tcPr>
            <w:tcW w:w="1002" w:type="dxa"/>
            <w:tcBorders>
              <w:top w:val="nil"/>
              <w:left w:val="single" w:sz="4" w:space="0" w:color="auto"/>
              <w:bottom w:val="nil"/>
              <w:right w:val="nil"/>
            </w:tcBorders>
            <w:shd w:val="clear" w:color="000000" w:fill="FFFFFF"/>
            <w:noWrap/>
            <w:vAlign w:val="bottom"/>
            <w:hideMark/>
          </w:tcPr>
          <w:p w14:paraId="310662C5"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22</w:t>
            </w:r>
          </w:p>
        </w:tc>
        <w:tc>
          <w:tcPr>
            <w:tcW w:w="1003" w:type="dxa"/>
            <w:tcBorders>
              <w:top w:val="nil"/>
              <w:left w:val="nil"/>
              <w:bottom w:val="nil"/>
              <w:right w:val="single" w:sz="4" w:space="0" w:color="auto"/>
            </w:tcBorders>
            <w:shd w:val="clear" w:color="000000" w:fill="FFFFFF"/>
            <w:noWrap/>
            <w:vAlign w:val="bottom"/>
            <w:hideMark/>
          </w:tcPr>
          <w:p w14:paraId="5D07EDA4"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7.4%</w:t>
            </w:r>
          </w:p>
        </w:tc>
      </w:tr>
      <w:tr w:rsidR="00B4627E" w:rsidRPr="007E2527" w14:paraId="46C475D1"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3FA236B2"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26-35</w:t>
            </w:r>
          </w:p>
        </w:tc>
        <w:tc>
          <w:tcPr>
            <w:tcW w:w="1002" w:type="dxa"/>
            <w:tcBorders>
              <w:top w:val="nil"/>
              <w:left w:val="single" w:sz="4" w:space="0" w:color="auto"/>
              <w:bottom w:val="nil"/>
              <w:right w:val="nil"/>
            </w:tcBorders>
            <w:shd w:val="clear" w:color="000000" w:fill="FFFFFF"/>
            <w:noWrap/>
            <w:vAlign w:val="bottom"/>
            <w:hideMark/>
          </w:tcPr>
          <w:p w14:paraId="4D192ACC"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60</w:t>
            </w:r>
          </w:p>
        </w:tc>
        <w:tc>
          <w:tcPr>
            <w:tcW w:w="1002" w:type="dxa"/>
            <w:tcBorders>
              <w:top w:val="nil"/>
              <w:left w:val="nil"/>
              <w:bottom w:val="nil"/>
              <w:right w:val="single" w:sz="4" w:space="0" w:color="auto"/>
            </w:tcBorders>
            <w:shd w:val="clear" w:color="000000" w:fill="FFFFFF"/>
            <w:noWrap/>
            <w:vAlign w:val="bottom"/>
            <w:hideMark/>
          </w:tcPr>
          <w:p w14:paraId="598BAFAC"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7.4%</w:t>
            </w:r>
          </w:p>
        </w:tc>
        <w:tc>
          <w:tcPr>
            <w:tcW w:w="1003" w:type="dxa"/>
            <w:tcBorders>
              <w:top w:val="nil"/>
              <w:left w:val="nil"/>
              <w:bottom w:val="nil"/>
              <w:right w:val="nil"/>
            </w:tcBorders>
            <w:shd w:val="clear" w:color="000000" w:fill="FFFFFF"/>
            <w:noWrap/>
            <w:vAlign w:val="bottom"/>
            <w:hideMark/>
          </w:tcPr>
          <w:p w14:paraId="5EDF31F9"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24</w:t>
            </w:r>
          </w:p>
        </w:tc>
        <w:tc>
          <w:tcPr>
            <w:tcW w:w="1002" w:type="dxa"/>
            <w:tcBorders>
              <w:top w:val="nil"/>
              <w:left w:val="nil"/>
              <w:bottom w:val="nil"/>
              <w:right w:val="nil"/>
            </w:tcBorders>
            <w:shd w:val="clear" w:color="000000" w:fill="FFFFFF"/>
            <w:noWrap/>
            <w:vAlign w:val="bottom"/>
            <w:hideMark/>
          </w:tcPr>
          <w:p w14:paraId="338D0B27"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27.0%</w:t>
            </w:r>
          </w:p>
        </w:tc>
        <w:tc>
          <w:tcPr>
            <w:tcW w:w="1002" w:type="dxa"/>
            <w:tcBorders>
              <w:top w:val="nil"/>
              <w:left w:val="single" w:sz="4" w:space="0" w:color="auto"/>
              <w:bottom w:val="nil"/>
              <w:right w:val="nil"/>
            </w:tcBorders>
            <w:shd w:val="clear" w:color="000000" w:fill="FFFFFF"/>
            <w:noWrap/>
            <w:vAlign w:val="bottom"/>
            <w:hideMark/>
          </w:tcPr>
          <w:p w14:paraId="44F1AE0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76</w:t>
            </w:r>
          </w:p>
        </w:tc>
        <w:tc>
          <w:tcPr>
            <w:tcW w:w="1003" w:type="dxa"/>
            <w:tcBorders>
              <w:top w:val="nil"/>
              <w:left w:val="nil"/>
              <w:bottom w:val="nil"/>
              <w:right w:val="single" w:sz="4" w:space="0" w:color="auto"/>
            </w:tcBorders>
            <w:shd w:val="clear" w:color="000000" w:fill="FFFFFF"/>
            <w:noWrap/>
            <w:vAlign w:val="bottom"/>
            <w:hideMark/>
          </w:tcPr>
          <w:p w14:paraId="06AD709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25.6%</w:t>
            </w:r>
          </w:p>
        </w:tc>
      </w:tr>
      <w:tr w:rsidR="00B4627E" w:rsidRPr="007E2527" w14:paraId="44FAFCB0"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79E8B886"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36-45</w:t>
            </w:r>
          </w:p>
        </w:tc>
        <w:tc>
          <w:tcPr>
            <w:tcW w:w="1002" w:type="dxa"/>
            <w:tcBorders>
              <w:top w:val="nil"/>
              <w:left w:val="single" w:sz="4" w:space="0" w:color="auto"/>
              <w:bottom w:val="nil"/>
              <w:right w:val="nil"/>
            </w:tcBorders>
            <w:shd w:val="clear" w:color="000000" w:fill="FFFFFF"/>
            <w:noWrap/>
            <w:vAlign w:val="bottom"/>
            <w:hideMark/>
          </w:tcPr>
          <w:p w14:paraId="6FFBF891"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287</w:t>
            </w:r>
          </w:p>
        </w:tc>
        <w:tc>
          <w:tcPr>
            <w:tcW w:w="1002" w:type="dxa"/>
            <w:tcBorders>
              <w:top w:val="nil"/>
              <w:left w:val="nil"/>
              <w:bottom w:val="nil"/>
              <w:right w:val="single" w:sz="4" w:space="0" w:color="auto"/>
            </w:tcBorders>
            <w:shd w:val="clear" w:color="000000" w:fill="FFFFFF"/>
            <w:noWrap/>
            <w:vAlign w:val="bottom"/>
            <w:hideMark/>
          </w:tcPr>
          <w:p w14:paraId="307BD7A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35.5%</w:t>
            </w:r>
          </w:p>
        </w:tc>
        <w:tc>
          <w:tcPr>
            <w:tcW w:w="1003" w:type="dxa"/>
            <w:tcBorders>
              <w:top w:val="nil"/>
              <w:left w:val="nil"/>
              <w:bottom w:val="nil"/>
              <w:right w:val="nil"/>
            </w:tcBorders>
            <w:shd w:val="clear" w:color="000000" w:fill="FFFFFF"/>
            <w:noWrap/>
            <w:vAlign w:val="bottom"/>
            <w:hideMark/>
          </w:tcPr>
          <w:p w14:paraId="1A0DCB36"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42</w:t>
            </w:r>
          </w:p>
        </w:tc>
        <w:tc>
          <w:tcPr>
            <w:tcW w:w="1002" w:type="dxa"/>
            <w:tcBorders>
              <w:top w:val="nil"/>
              <w:left w:val="nil"/>
              <w:bottom w:val="nil"/>
              <w:right w:val="nil"/>
            </w:tcBorders>
            <w:shd w:val="clear" w:color="000000" w:fill="FFFFFF"/>
            <w:noWrap/>
            <w:vAlign w:val="bottom"/>
            <w:hideMark/>
          </w:tcPr>
          <w:p w14:paraId="1E399569"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47.2%</w:t>
            </w:r>
          </w:p>
        </w:tc>
        <w:tc>
          <w:tcPr>
            <w:tcW w:w="1002" w:type="dxa"/>
            <w:tcBorders>
              <w:top w:val="nil"/>
              <w:left w:val="single" w:sz="4" w:space="0" w:color="auto"/>
              <w:bottom w:val="nil"/>
              <w:right w:val="nil"/>
            </w:tcBorders>
            <w:shd w:val="clear" w:color="000000" w:fill="FFFFFF"/>
            <w:noWrap/>
            <w:vAlign w:val="bottom"/>
            <w:hideMark/>
          </w:tcPr>
          <w:p w14:paraId="222598D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86</w:t>
            </w:r>
          </w:p>
        </w:tc>
        <w:tc>
          <w:tcPr>
            <w:tcW w:w="1003" w:type="dxa"/>
            <w:tcBorders>
              <w:top w:val="nil"/>
              <w:left w:val="nil"/>
              <w:bottom w:val="nil"/>
              <w:right w:val="single" w:sz="4" w:space="0" w:color="auto"/>
            </w:tcBorders>
            <w:shd w:val="clear" w:color="000000" w:fill="FFFFFF"/>
            <w:noWrap/>
            <w:vAlign w:val="bottom"/>
            <w:hideMark/>
          </w:tcPr>
          <w:p w14:paraId="17662736"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29.0%</w:t>
            </w:r>
          </w:p>
        </w:tc>
      </w:tr>
      <w:tr w:rsidR="00B4627E" w:rsidRPr="007E2527" w14:paraId="2E310AA3"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6BBCBD02"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46-55</w:t>
            </w:r>
          </w:p>
        </w:tc>
        <w:tc>
          <w:tcPr>
            <w:tcW w:w="1002" w:type="dxa"/>
            <w:tcBorders>
              <w:top w:val="nil"/>
              <w:left w:val="single" w:sz="4" w:space="0" w:color="auto"/>
              <w:bottom w:val="nil"/>
              <w:right w:val="nil"/>
            </w:tcBorders>
            <w:shd w:val="clear" w:color="000000" w:fill="FFFFFF"/>
            <w:noWrap/>
            <w:vAlign w:val="bottom"/>
            <w:hideMark/>
          </w:tcPr>
          <w:p w14:paraId="42ABE419"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272</w:t>
            </w:r>
          </w:p>
        </w:tc>
        <w:tc>
          <w:tcPr>
            <w:tcW w:w="1002" w:type="dxa"/>
            <w:tcBorders>
              <w:top w:val="nil"/>
              <w:left w:val="nil"/>
              <w:bottom w:val="nil"/>
              <w:right w:val="single" w:sz="4" w:space="0" w:color="auto"/>
            </w:tcBorders>
            <w:shd w:val="clear" w:color="000000" w:fill="FFFFFF"/>
            <w:noWrap/>
            <w:vAlign w:val="bottom"/>
            <w:hideMark/>
          </w:tcPr>
          <w:p w14:paraId="575A5BFC"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33.6%</w:t>
            </w:r>
          </w:p>
        </w:tc>
        <w:tc>
          <w:tcPr>
            <w:tcW w:w="1003" w:type="dxa"/>
            <w:tcBorders>
              <w:top w:val="nil"/>
              <w:left w:val="nil"/>
              <w:bottom w:val="nil"/>
              <w:right w:val="nil"/>
            </w:tcBorders>
            <w:shd w:val="clear" w:color="000000" w:fill="FFFFFF"/>
            <w:noWrap/>
            <w:vAlign w:val="bottom"/>
            <w:hideMark/>
          </w:tcPr>
          <w:p w14:paraId="4087C8A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13</w:t>
            </w:r>
          </w:p>
        </w:tc>
        <w:tc>
          <w:tcPr>
            <w:tcW w:w="1002" w:type="dxa"/>
            <w:tcBorders>
              <w:top w:val="nil"/>
              <w:left w:val="nil"/>
              <w:bottom w:val="nil"/>
              <w:right w:val="nil"/>
            </w:tcBorders>
            <w:shd w:val="clear" w:color="000000" w:fill="FFFFFF"/>
            <w:noWrap/>
            <w:vAlign w:val="bottom"/>
            <w:hideMark/>
          </w:tcPr>
          <w:p w14:paraId="3428D2E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14.6%</w:t>
            </w:r>
          </w:p>
        </w:tc>
        <w:tc>
          <w:tcPr>
            <w:tcW w:w="1002" w:type="dxa"/>
            <w:tcBorders>
              <w:top w:val="nil"/>
              <w:left w:val="single" w:sz="4" w:space="0" w:color="auto"/>
              <w:bottom w:val="nil"/>
              <w:right w:val="nil"/>
            </w:tcBorders>
            <w:shd w:val="clear" w:color="000000" w:fill="FFFFFF"/>
            <w:noWrap/>
            <w:vAlign w:val="bottom"/>
            <w:hideMark/>
          </w:tcPr>
          <w:p w14:paraId="1D2EEE6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70</w:t>
            </w:r>
          </w:p>
        </w:tc>
        <w:tc>
          <w:tcPr>
            <w:tcW w:w="1003" w:type="dxa"/>
            <w:tcBorders>
              <w:top w:val="nil"/>
              <w:left w:val="nil"/>
              <w:bottom w:val="nil"/>
              <w:right w:val="single" w:sz="4" w:space="0" w:color="auto"/>
            </w:tcBorders>
            <w:shd w:val="clear" w:color="000000" w:fill="FFFFFF"/>
            <w:noWrap/>
            <w:vAlign w:val="bottom"/>
            <w:hideMark/>
          </w:tcPr>
          <w:p w14:paraId="2C7C0DFA"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23.6%</w:t>
            </w:r>
          </w:p>
        </w:tc>
      </w:tr>
      <w:tr w:rsidR="00B4627E" w:rsidRPr="007E2527" w14:paraId="6A811B27"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2A71C863"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56-65</w:t>
            </w:r>
          </w:p>
        </w:tc>
        <w:tc>
          <w:tcPr>
            <w:tcW w:w="1002" w:type="dxa"/>
            <w:tcBorders>
              <w:top w:val="nil"/>
              <w:left w:val="single" w:sz="4" w:space="0" w:color="auto"/>
              <w:bottom w:val="nil"/>
              <w:right w:val="nil"/>
            </w:tcBorders>
            <w:shd w:val="clear" w:color="000000" w:fill="FFFFFF"/>
            <w:noWrap/>
            <w:vAlign w:val="bottom"/>
            <w:hideMark/>
          </w:tcPr>
          <w:p w14:paraId="6A214824"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155</w:t>
            </w:r>
          </w:p>
        </w:tc>
        <w:tc>
          <w:tcPr>
            <w:tcW w:w="1002" w:type="dxa"/>
            <w:tcBorders>
              <w:top w:val="nil"/>
              <w:left w:val="nil"/>
              <w:bottom w:val="nil"/>
              <w:right w:val="single" w:sz="4" w:space="0" w:color="auto"/>
            </w:tcBorders>
            <w:shd w:val="clear" w:color="000000" w:fill="FFFFFF"/>
            <w:noWrap/>
            <w:vAlign w:val="bottom"/>
            <w:hideMark/>
          </w:tcPr>
          <w:p w14:paraId="19D9868A"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19.2%</w:t>
            </w:r>
          </w:p>
        </w:tc>
        <w:tc>
          <w:tcPr>
            <w:tcW w:w="1003" w:type="dxa"/>
            <w:tcBorders>
              <w:top w:val="nil"/>
              <w:left w:val="nil"/>
              <w:bottom w:val="nil"/>
              <w:right w:val="nil"/>
            </w:tcBorders>
            <w:shd w:val="clear" w:color="000000" w:fill="FFFFFF"/>
            <w:noWrap/>
            <w:vAlign w:val="bottom"/>
            <w:hideMark/>
          </w:tcPr>
          <w:p w14:paraId="490B2078"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2" w:type="dxa"/>
            <w:tcBorders>
              <w:top w:val="nil"/>
              <w:left w:val="nil"/>
              <w:bottom w:val="nil"/>
              <w:right w:val="nil"/>
            </w:tcBorders>
            <w:shd w:val="clear" w:color="000000" w:fill="FFFFFF"/>
            <w:noWrap/>
            <w:vAlign w:val="bottom"/>
            <w:hideMark/>
          </w:tcPr>
          <w:p w14:paraId="4AE9683F"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2" w:type="dxa"/>
            <w:tcBorders>
              <w:top w:val="nil"/>
              <w:left w:val="single" w:sz="4" w:space="0" w:color="auto"/>
              <w:bottom w:val="nil"/>
              <w:right w:val="nil"/>
            </w:tcBorders>
            <w:shd w:val="clear" w:color="000000" w:fill="FFFFFF"/>
            <w:noWrap/>
            <w:vAlign w:val="bottom"/>
            <w:hideMark/>
          </w:tcPr>
          <w:p w14:paraId="77510BC1"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40</w:t>
            </w:r>
          </w:p>
        </w:tc>
        <w:tc>
          <w:tcPr>
            <w:tcW w:w="1003" w:type="dxa"/>
            <w:tcBorders>
              <w:top w:val="nil"/>
              <w:left w:val="nil"/>
              <w:bottom w:val="nil"/>
              <w:right w:val="single" w:sz="4" w:space="0" w:color="auto"/>
            </w:tcBorders>
            <w:shd w:val="clear" w:color="000000" w:fill="FFFFFF"/>
            <w:noWrap/>
            <w:vAlign w:val="bottom"/>
            <w:hideMark/>
          </w:tcPr>
          <w:p w14:paraId="7B3CE744"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13.5%</w:t>
            </w:r>
          </w:p>
        </w:tc>
      </w:tr>
      <w:tr w:rsidR="00B4627E" w:rsidRPr="007E2527" w14:paraId="70BECE92"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75FBA651"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&gt;=66</w:t>
            </w:r>
          </w:p>
        </w:tc>
        <w:tc>
          <w:tcPr>
            <w:tcW w:w="1002" w:type="dxa"/>
            <w:tcBorders>
              <w:top w:val="nil"/>
              <w:left w:val="single" w:sz="4" w:space="0" w:color="auto"/>
              <w:bottom w:val="nil"/>
              <w:right w:val="nil"/>
            </w:tcBorders>
            <w:shd w:val="clear" w:color="000000" w:fill="FFFFFF"/>
            <w:noWrap/>
            <w:vAlign w:val="bottom"/>
            <w:hideMark/>
          </w:tcPr>
          <w:p w14:paraId="52287AFE"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35</w:t>
            </w:r>
          </w:p>
        </w:tc>
        <w:tc>
          <w:tcPr>
            <w:tcW w:w="1002" w:type="dxa"/>
            <w:tcBorders>
              <w:top w:val="nil"/>
              <w:left w:val="nil"/>
              <w:bottom w:val="nil"/>
              <w:right w:val="single" w:sz="4" w:space="0" w:color="auto"/>
            </w:tcBorders>
            <w:shd w:val="clear" w:color="000000" w:fill="FFFFFF"/>
            <w:noWrap/>
            <w:vAlign w:val="bottom"/>
            <w:hideMark/>
          </w:tcPr>
          <w:p w14:paraId="76034EFE"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4.3%</w:t>
            </w:r>
          </w:p>
        </w:tc>
        <w:tc>
          <w:tcPr>
            <w:tcW w:w="1003" w:type="dxa"/>
            <w:tcBorders>
              <w:top w:val="nil"/>
              <w:left w:val="nil"/>
              <w:bottom w:val="nil"/>
              <w:right w:val="nil"/>
            </w:tcBorders>
            <w:shd w:val="clear" w:color="000000" w:fill="FFFFFF"/>
            <w:noWrap/>
            <w:vAlign w:val="bottom"/>
            <w:hideMark/>
          </w:tcPr>
          <w:p w14:paraId="77FA559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2" w:type="dxa"/>
            <w:tcBorders>
              <w:top w:val="nil"/>
              <w:left w:val="nil"/>
              <w:bottom w:val="nil"/>
              <w:right w:val="nil"/>
            </w:tcBorders>
            <w:shd w:val="clear" w:color="000000" w:fill="FFFFFF"/>
            <w:noWrap/>
            <w:vAlign w:val="bottom"/>
            <w:hideMark/>
          </w:tcPr>
          <w:p w14:paraId="59B3653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2" w:type="dxa"/>
            <w:tcBorders>
              <w:top w:val="nil"/>
              <w:left w:val="single" w:sz="4" w:space="0" w:color="auto"/>
              <w:bottom w:val="nil"/>
              <w:right w:val="nil"/>
            </w:tcBorders>
            <w:shd w:val="clear" w:color="000000" w:fill="FFFFFF"/>
            <w:noWrap/>
            <w:vAlign w:val="bottom"/>
            <w:hideMark/>
          </w:tcPr>
          <w:p w14:paraId="523FC314"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3" w:type="dxa"/>
            <w:tcBorders>
              <w:top w:val="nil"/>
              <w:left w:val="nil"/>
              <w:bottom w:val="nil"/>
              <w:right w:val="single" w:sz="4" w:space="0" w:color="auto"/>
            </w:tcBorders>
            <w:shd w:val="clear" w:color="000000" w:fill="FFFFFF"/>
            <w:noWrap/>
            <w:vAlign w:val="bottom"/>
            <w:hideMark/>
          </w:tcPr>
          <w:p w14:paraId="732BC20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r>
      <w:tr w:rsidR="00B4627E" w:rsidRPr="007E2527" w14:paraId="4710FCC3" w14:textId="77777777" w:rsidTr="006947E3">
        <w:trPr>
          <w:trHeight w:val="300"/>
        </w:trPr>
        <w:tc>
          <w:tcPr>
            <w:tcW w:w="2381" w:type="dxa"/>
            <w:tcBorders>
              <w:top w:val="dotted" w:sz="4" w:space="0" w:color="auto"/>
              <w:left w:val="single" w:sz="4" w:space="0" w:color="auto"/>
              <w:bottom w:val="nil"/>
              <w:right w:val="nil"/>
            </w:tcBorders>
            <w:shd w:val="clear" w:color="000000" w:fill="FFFFFF"/>
            <w:noWrap/>
            <w:vAlign w:val="bottom"/>
            <w:hideMark/>
          </w:tcPr>
          <w:p w14:paraId="63079D04" w14:textId="77777777" w:rsidR="000D5E14" w:rsidRPr="000D5E14" w:rsidRDefault="000D5E14" w:rsidP="000D5E14">
            <w:pPr>
              <w:spacing w:after="0" w:line="240" w:lineRule="auto"/>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FMS</w:t>
            </w:r>
          </w:p>
        </w:tc>
        <w:tc>
          <w:tcPr>
            <w:tcW w:w="1002" w:type="dxa"/>
            <w:tcBorders>
              <w:top w:val="dotted" w:sz="4" w:space="0" w:color="auto"/>
              <w:left w:val="single" w:sz="4" w:space="0" w:color="auto"/>
              <w:bottom w:val="nil"/>
              <w:right w:val="nil"/>
            </w:tcBorders>
            <w:shd w:val="clear" w:color="000000" w:fill="FFFFFF"/>
            <w:noWrap/>
            <w:vAlign w:val="bottom"/>
            <w:hideMark/>
          </w:tcPr>
          <w:p w14:paraId="361F8489"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572</w:t>
            </w:r>
          </w:p>
        </w:tc>
        <w:tc>
          <w:tcPr>
            <w:tcW w:w="1002" w:type="dxa"/>
            <w:tcBorders>
              <w:top w:val="dotted" w:sz="4" w:space="0" w:color="auto"/>
              <w:left w:val="nil"/>
              <w:bottom w:val="nil"/>
              <w:right w:val="single" w:sz="4" w:space="0" w:color="auto"/>
            </w:tcBorders>
            <w:shd w:val="clear" w:color="000000" w:fill="FFFFFF"/>
            <w:noWrap/>
            <w:vAlign w:val="bottom"/>
            <w:hideMark/>
          </w:tcPr>
          <w:p w14:paraId="722C4CB0"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c>
          <w:tcPr>
            <w:tcW w:w="1003" w:type="dxa"/>
            <w:tcBorders>
              <w:top w:val="dotted" w:sz="4" w:space="0" w:color="auto"/>
              <w:left w:val="nil"/>
              <w:bottom w:val="nil"/>
              <w:right w:val="nil"/>
            </w:tcBorders>
            <w:shd w:val="clear" w:color="000000" w:fill="FFFFFF"/>
            <w:noWrap/>
            <w:vAlign w:val="bottom"/>
            <w:hideMark/>
          </w:tcPr>
          <w:p w14:paraId="288702BC"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620</w:t>
            </w:r>
          </w:p>
        </w:tc>
        <w:tc>
          <w:tcPr>
            <w:tcW w:w="1002" w:type="dxa"/>
            <w:tcBorders>
              <w:top w:val="dotted" w:sz="4" w:space="0" w:color="auto"/>
              <w:left w:val="nil"/>
              <w:bottom w:val="nil"/>
              <w:right w:val="nil"/>
            </w:tcBorders>
            <w:shd w:val="clear" w:color="000000" w:fill="FFFFFF"/>
            <w:noWrap/>
            <w:vAlign w:val="bottom"/>
            <w:hideMark/>
          </w:tcPr>
          <w:p w14:paraId="5E80B771"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c>
          <w:tcPr>
            <w:tcW w:w="1002" w:type="dxa"/>
            <w:tcBorders>
              <w:top w:val="dotted" w:sz="4" w:space="0" w:color="auto"/>
              <w:left w:val="single" w:sz="4" w:space="0" w:color="auto"/>
              <w:bottom w:val="nil"/>
              <w:right w:val="nil"/>
            </w:tcBorders>
            <w:shd w:val="clear" w:color="000000" w:fill="FFFFFF"/>
            <w:noWrap/>
            <w:vAlign w:val="bottom"/>
            <w:hideMark/>
          </w:tcPr>
          <w:p w14:paraId="0B0A5F64"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683</w:t>
            </w:r>
          </w:p>
        </w:tc>
        <w:tc>
          <w:tcPr>
            <w:tcW w:w="1003" w:type="dxa"/>
            <w:tcBorders>
              <w:top w:val="dotted" w:sz="4" w:space="0" w:color="auto"/>
              <w:left w:val="nil"/>
              <w:bottom w:val="nil"/>
              <w:right w:val="single" w:sz="4" w:space="0" w:color="auto"/>
            </w:tcBorders>
            <w:shd w:val="clear" w:color="000000" w:fill="FFFFFF"/>
            <w:noWrap/>
            <w:vAlign w:val="bottom"/>
            <w:hideMark/>
          </w:tcPr>
          <w:p w14:paraId="27FA440A"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r>
      <w:tr w:rsidR="00B4627E" w:rsidRPr="007E2527" w14:paraId="25F2B8B8"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71BDA977"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&lt;=25</w:t>
            </w:r>
          </w:p>
        </w:tc>
        <w:tc>
          <w:tcPr>
            <w:tcW w:w="1002" w:type="dxa"/>
            <w:tcBorders>
              <w:top w:val="nil"/>
              <w:left w:val="single" w:sz="4" w:space="0" w:color="auto"/>
              <w:bottom w:val="nil"/>
              <w:right w:val="nil"/>
            </w:tcBorders>
            <w:shd w:val="clear" w:color="000000" w:fill="FFFFFF"/>
            <w:noWrap/>
            <w:vAlign w:val="bottom"/>
            <w:hideMark/>
          </w:tcPr>
          <w:p w14:paraId="141B384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2" w:type="dxa"/>
            <w:tcBorders>
              <w:top w:val="nil"/>
              <w:left w:val="nil"/>
              <w:bottom w:val="nil"/>
              <w:right w:val="single" w:sz="4" w:space="0" w:color="auto"/>
            </w:tcBorders>
            <w:shd w:val="clear" w:color="000000" w:fill="FFFFFF"/>
            <w:noWrap/>
            <w:vAlign w:val="bottom"/>
            <w:hideMark/>
          </w:tcPr>
          <w:p w14:paraId="734A29E5"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3" w:type="dxa"/>
            <w:tcBorders>
              <w:top w:val="nil"/>
              <w:left w:val="nil"/>
              <w:bottom w:val="nil"/>
              <w:right w:val="nil"/>
            </w:tcBorders>
            <w:shd w:val="clear" w:color="000000" w:fill="FFFFFF"/>
            <w:noWrap/>
            <w:vAlign w:val="bottom"/>
            <w:hideMark/>
          </w:tcPr>
          <w:p w14:paraId="7F3621EF"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23</w:t>
            </w:r>
          </w:p>
        </w:tc>
        <w:tc>
          <w:tcPr>
            <w:tcW w:w="1002" w:type="dxa"/>
            <w:tcBorders>
              <w:top w:val="nil"/>
              <w:left w:val="nil"/>
              <w:bottom w:val="nil"/>
              <w:right w:val="nil"/>
            </w:tcBorders>
            <w:shd w:val="clear" w:color="000000" w:fill="FFFFFF"/>
            <w:noWrap/>
            <w:vAlign w:val="bottom"/>
            <w:hideMark/>
          </w:tcPr>
          <w:p w14:paraId="5AC0D5D1"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3.7%</w:t>
            </w:r>
          </w:p>
        </w:tc>
        <w:tc>
          <w:tcPr>
            <w:tcW w:w="1002" w:type="dxa"/>
            <w:tcBorders>
              <w:top w:val="nil"/>
              <w:left w:val="single" w:sz="4" w:space="0" w:color="auto"/>
              <w:bottom w:val="nil"/>
              <w:right w:val="nil"/>
            </w:tcBorders>
            <w:shd w:val="clear" w:color="000000" w:fill="FFFFFF"/>
            <w:noWrap/>
            <w:vAlign w:val="bottom"/>
            <w:hideMark/>
          </w:tcPr>
          <w:p w14:paraId="32D7A6D7"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45</w:t>
            </w:r>
          </w:p>
        </w:tc>
        <w:tc>
          <w:tcPr>
            <w:tcW w:w="1003" w:type="dxa"/>
            <w:tcBorders>
              <w:top w:val="nil"/>
              <w:left w:val="nil"/>
              <w:bottom w:val="nil"/>
              <w:right w:val="single" w:sz="4" w:space="0" w:color="auto"/>
            </w:tcBorders>
            <w:shd w:val="clear" w:color="000000" w:fill="FFFFFF"/>
            <w:noWrap/>
            <w:vAlign w:val="bottom"/>
            <w:hideMark/>
          </w:tcPr>
          <w:p w14:paraId="16285FDF"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6.6%</w:t>
            </w:r>
          </w:p>
        </w:tc>
      </w:tr>
      <w:tr w:rsidR="00B4627E" w:rsidRPr="007E2527" w14:paraId="143D5446"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6BA521FD"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26-35</w:t>
            </w:r>
          </w:p>
        </w:tc>
        <w:tc>
          <w:tcPr>
            <w:tcW w:w="1002" w:type="dxa"/>
            <w:tcBorders>
              <w:top w:val="nil"/>
              <w:left w:val="single" w:sz="4" w:space="0" w:color="auto"/>
              <w:bottom w:val="nil"/>
              <w:right w:val="nil"/>
            </w:tcBorders>
            <w:shd w:val="clear" w:color="000000" w:fill="FFFFFF"/>
            <w:noWrap/>
            <w:vAlign w:val="bottom"/>
            <w:hideMark/>
          </w:tcPr>
          <w:p w14:paraId="3915DB20"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53</w:t>
            </w:r>
          </w:p>
        </w:tc>
        <w:tc>
          <w:tcPr>
            <w:tcW w:w="1002" w:type="dxa"/>
            <w:tcBorders>
              <w:top w:val="nil"/>
              <w:left w:val="nil"/>
              <w:bottom w:val="nil"/>
              <w:right w:val="single" w:sz="4" w:space="0" w:color="auto"/>
            </w:tcBorders>
            <w:shd w:val="clear" w:color="000000" w:fill="FFFFFF"/>
            <w:noWrap/>
            <w:vAlign w:val="bottom"/>
            <w:hideMark/>
          </w:tcPr>
          <w:p w14:paraId="168429FA"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9.3%</w:t>
            </w:r>
          </w:p>
        </w:tc>
        <w:tc>
          <w:tcPr>
            <w:tcW w:w="1003" w:type="dxa"/>
            <w:tcBorders>
              <w:top w:val="nil"/>
              <w:left w:val="nil"/>
              <w:bottom w:val="nil"/>
              <w:right w:val="nil"/>
            </w:tcBorders>
            <w:shd w:val="clear" w:color="000000" w:fill="FFFFFF"/>
            <w:noWrap/>
            <w:vAlign w:val="bottom"/>
            <w:hideMark/>
          </w:tcPr>
          <w:p w14:paraId="674B1D01"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304</w:t>
            </w:r>
          </w:p>
        </w:tc>
        <w:tc>
          <w:tcPr>
            <w:tcW w:w="1002" w:type="dxa"/>
            <w:tcBorders>
              <w:top w:val="nil"/>
              <w:left w:val="nil"/>
              <w:bottom w:val="nil"/>
              <w:right w:val="nil"/>
            </w:tcBorders>
            <w:shd w:val="clear" w:color="000000" w:fill="FFFFFF"/>
            <w:noWrap/>
            <w:vAlign w:val="bottom"/>
            <w:hideMark/>
          </w:tcPr>
          <w:p w14:paraId="47A4B09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49.0%</w:t>
            </w:r>
          </w:p>
        </w:tc>
        <w:tc>
          <w:tcPr>
            <w:tcW w:w="1002" w:type="dxa"/>
            <w:tcBorders>
              <w:top w:val="nil"/>
              <w:left w:val="single" w:sz="4" w:space="0" w:color="auto"/>
              <w:bottom w:val="nil"/>
              <w:right w:val="nil"/>
            </w:tcBorders>
            <w:shd w:val="clear" w:color="000000" w:fill="FFFFFF"/>
            <w:noWrap/>
            <w:vAlign w:val="bottom"/>
            <w:hideMark/>
          </w:tcPr>
          <w:p w14:paraId="14185D8A"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199</w:t>
            </w:r>
          </w:p>
        </w:tc>
        <w:tc>
          <w:tcPr>
            <w:tcW w:w="1003" w:type="dxa"/>
            <w:tcBorders>
              <w:top w:val="nil"/>
              <w:left w:val="nil"/>
              <w:bottom w:val="nil"/>
              <w:right w:val="single" w:sz="4" w:space="0" w:color="auto"/>
            </w:tcBorders>
            <w:shd w:val="clear" w:color="000000" w:fill="FFFFFF"/>
            <w:noWrap/>
            <w:vAlign w:val="bottom"/>
            <w:hideMark/>
          </w:tcPr>
          <w:p w14:paraId="05C93D3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29.1%</w:t>
            </w:r>
          </w:p>
        </w:tc>
      </w:tr>
      <w:tr w:rsidR="00B4627E" w:rsidRPr="007E2527" w14:paraId="3BDF7928"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FD6C23F"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36-45</w:t>
            </w:r>
          </w:p>
        </w:tc>
        <w:tc>
          <w:tcPr>
            <w:tcW w:w="1002" w:type="dxa"/>
            <w:tcBorders>
              <w:top w:val="nil"/>
              <w:left w:val="single" w:sz="4" w:space="0" w:color="auto"/>
              <w:bottom w:val="nil"/>
              <w:right w:val="nil"/>
            </w:tcBorders>
            <w:shd w:val="clear" w:color="000000" w:fill="FFFFFF"/>
            <w:noWrap/>
            <w:vAlign w:val="bottom"/>
            <w:hideMark/>
          </w:tcPr>
          <w:p w14:paraId="3CE6A2EF"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193</w:t>
            </w:r>
          </w:p>
        </w:tc>
        <w:tc>
          <w:tcPr>
            <w:tcW w:w="1002" w:type="dxa"/>
            <w:tcBorders>
              <w:top w:val="nil"/>
              <w:left w:val="nil"/>
              <w:bottom w:val="nil"/>
              <w:right w:val="single" w:sz="4" w:space="0" w:color="auto"/>
            </w:tcBorders>
            <w:shd w:val="clear" w:color="000000" w:fill="FFFFFF"/>
            <w:noWrap/>
            <w:vAlign w:val="bottom"/>
            <w:hideMark/>
          </w:tcPr>
          <w:p w14:paraId="77057F91"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33.7%</w:t>
            </w:r>
          </w:p>
        </w:tc>
        <w:tc>
          <w:tcPr>
            <w:tcW w:w="1003" w:type="dxa"/>
            <w:tcBorders>
              <w:top w:val="nil"/>
              <w:left w:val="nil"/>
              <w:bottom w:val="nil"/>
              <w:right w:val="nil"/>
            </w:tcBorders>
            <w:shd w:val="clear" w:color="000000" w:fill="FFFFFF"/>
            <w:noWrap/>
            <w:vAlign w:val="bottom"/>
            <w:hideMark/>
          </w:tcPr>
          <w:p w14:paraId="28FBC83A"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183</w:t>
            </w:r>
          </w:p>
        </w:tc>
        <w:tc>
          <w:tcPr>
            <w:tcW w:w="1002" w:type="dxa"/>
            <w:tcBorders>
              <w:top w:val="nil"/>
              <w:left w:val="nil"/>
              <w:bottom w:val="nil"/>
              <w:right w:val="nil"/>
            </w:tcBorders>
            <w:shd w:val="clear" w:color="000000" w:fill="FFFFFF"/>
            <w:noWrap/>
            <w:vAlign w:val="bottom"/>
            <w:hideMark/>
          </w:tcPr>
          <w:p w14:paraId="5E3D17EF"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29.5%</w:t>
            </w:r>
          </w:p>
        </w:tc>
        <w:tc>
          <w:tcPr>
            <w:tcW w:w="1002" w:type="dxa"/>
            <w:tcBorders>
              <w:top w:val="nil"/>
              <w:left w:val="single" w:sz="4" w:space="0" w:color="auto"/>
              <w:bottom w:val="nil"/>
              <w:right w:val="nil"/>
            </w:tcBorders>
            <w:shd w:val="clear" w:color="000000" w:fill="FFFFFF"/>
            <w:noWrap/>
            <w:vAlign w:val="bottom"/>
            <w:hideMark/>
          </w:tcPr>
          <w:p w14:paraId="68CC14DF"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169</w:t>
            </w:r>
          </w:p>
        </w:tc>
        <w:tc>
          <w:tcPr>
            <w:tcW w:w="1003" w:type="dxa"/>
            <w:tcBorders>
              <w:top w:val="nil"/>
              <w:left w:val="nil"/>
              <w:bottom w:val="nil"/>
              <w:right w:val="single" w:sz="4" w:space="0" w:color="auto"/>
            </w:tcBorders>
            <w:shd w:val="clear" w:color="000000" w:fill="FFFFFF"/>
            <w:noWrap/>
            <w:vAlign w:val="bottom"/>
            <w:hideMark/>
          </w:tcPr>
          <w:p w14:paraId="7849A22C"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24.7%</w:t>
            </w:r>
          </w:p>
        </w:tc>
      </w:tr>
      <w:tr w:rsidR="00B4627E" w:rsidRPr="007E2527" w14:paraId="349D16DF"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737C116"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46-55</w:t>
            </w:r>
          </w:p>
        </w:tc>
        <w:tc>
          <w:tcPr>
            <w:tcW w:w="1002" w:type="dxa"/>
            <w:tcBorders>
              <w:top w:val="nil"/>
              <w:left w:val="single" w:sz="4" w:space="0" w:color="auto"/>
              <w:bottom w:val="nil"/>
              <w:right w:val="nil"/>
            </w:tcBorders>
            <w:shd w:val="clear" w:color="000000" w:fill="FFFFFF"/>
            <w:noWrap/>
            <w:vAlign w:val="bottom"/>
            <w:hideMark/>
          </w:tcPr>
          <w:p w14:paraId="00F71C66"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180</w:t>
            </w:r>
          </w:p>
        </w:tc>
        <w:tc>
          <w:tcPr>
            <w:tcW w:w="1002" w:type="dxa"/>
            <w:tcBorders>
              <w:top w:val="nil"/>
              <w:left w:val="nil"/>
              <w:bottom w:val="nil"/>
              <w:right w:val="single" w:sz="4" w:space="0" w:color="auto"/>
            </w:tcBorders>
            <w:shd w:val="clear" w:color="000000" w:fill="FFFFFF"/>
            <w:noWrap/>
            <w:vAlign w:val="bottom"/>
            <w:hideMark/>
          </w:tcPr>
          <w:p w14:paraId="23091966"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31.5%</w:t>
            </w:r>
          </w:p>
        </w:tc>
        <w:tc>
          <w:tcPr>
            <w:tcW w:w="1003" w:type="dxa"/>
            <w:tcBorders>
              <w:top w:val="nil"/>
              <w:left w:val="nil"/>
              <w:bottom w:val="nil"/>
              <w:right w:val="nil"/>
            </w:tcBorders>
            <w:shd w:val="clear" w:color="000000" w:fill="FFFFFF"/>
            <w:noWrap/>
            <w:vAlign w:val="bottom"/>
            <w:hideMark/>
          </w:tcPr>
          <w:p w14:paraId="2F201534"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69</w:t>
            </w:r>
          </w:p>
        </w:tc>
        <w:tc>
          <w:tcPr>
            <w:tcW w:w="1002" w:type="dxa"/>
            <w:tcBorders>
              <w:top w:val="nil"/>
              <w:left w:val="nil"/>
              <w:bottom w:val="nil"/>
              <w:right w:val="nil"/>
            </w:tcBorders>
            <w:shd w:val="clear" w:color="000000" w:fill="FFFFFF"/>
            <w:noWrap/>
            <w:vAlign w:val="bottom"/>
            <w:hideMark/>
          </w:tcPr>
          <w:p w14:paraId="7CDA453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11.1%</w:t>
            </w:r>
          </w:p>
        </w:tc>
        <w:tc>
          <w:tcPr>
            <w:tcW w:w="1002" w:type="dxa"/>
            <w:tcBorders>
              <w:top w:val="nil"/>
              <w:left w:val="single" w:sz="4" w:space="0" w:color="auto"/>
              <w:bottom w:val="nil"/>
              <w:right w:val="nil"/>
            </w:tcBorders>
            <w:shd w:val="clear" w:color="000000" w:fill="FFFFFF"/>
            <w:noWrap/>
            <w:vAlign w:val="bottom"/>
            <w:hideMark/>
          </w:tcPr>
          <w:p w14:paraId="5C9F397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168</w:t>
            </w:r>
          </w:p>
        </w:tc>
        <w:tc>
          <w:tcPr>
            <w:tcW w:w="1003" w:type="dxa"/>
            <w:tcBorders>
              <w:top w:val="nil"/>
              <w:left w:val="nil"/>
              <w:bottom w:val="nil"/>
              <w:right w:val="single" w:sz="4" w:space="0" w:color="auto"/>
            </w:tcBorders>
            <w:shd w:val="clear" w:color="000000" w:fill="FFFFFF"/>
            <w:noWrap/>
            <w:vAlign w:val="bottom"/>
            <w:hideMark/>
          </w:tcPr>
          <w:p w14:paraId="636BAB7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24.6%</w:t>
            </w:r>
          </w:p>
        </w:tc>
      </w:tr>
      <w:tr w:rsidR="00B4627E" w:rsidRPr="007E2527" w14:paraId="4E2BCE0E"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983366B"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56-65</w:t>
            </w:r>
          </w:p>
        </w:tc>
        <w:tc>
          <w:tcPr>
            <w:tcW w:w="1002" w:type="dxa"/>
            <w:tcBorders>
              <w:top w:val="nil"/>
              <w:left w:val="single" w:sz="4" w:space="0" w:color="auto"/>
              <w:bottom w:val="nil"/>
              <w:right w:val="nil"/>
            </w:tcBorders>
            <w:shd w:val="clear" w:color="000000" w:fill="FFFFFF"/>
            <w:noWrap/>
            <w:vAlign w:val="bottom"/>
            <w:hideMark/>
          </w:tcPr>
          <w:p w14:paraId="09CB4C57"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127</w:t>
            </w:r>
          </w:p>
        </w:tc>
        <w:tc>
          <w:tcPr>
            <w:tcW w:w="1002" w:type="dxa"/>
            <w:tcBorders>
              <w:top w:val="nil"/>
              <w:left w:val="nil"/>
              <w:bottom w:val="nil"/>
              <w:right w:val="single" w:sz="4" w:space="0" w:color="auto"/>
            </w:tcBorders>
            <w:shd w:val="clear" w:color="000000" w:fill="FFFFFF"/>
            <w:noWrap/>
            <w:vAlign w:val="bottom"/>
            <w:hideMark/>
          </w:tcPr>
          <w:p w14:paraId="573C5230"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22.2%</w:t>
            </w:r>
          </w:p>
        </w:tc>
        <w:tc>
          <w:tcPr>
            <w:tcW w:w="1003" w:type="dxa"/>
            <w:tcBorders>
              <w:top w:val="nil"/>
              <w:left w:val="nil"/>
              <w:bottom w:val="nil"/>
              <w:right w:val="nil"/>
            </w:tcBorders>
            <w:shd w:val="clear" w:color="000000" w:fill="FFFFFF"/>
            <w:noWrap/>
            <w:vAlign w:val="bottom"/>
            <w:hideMark/>
          </w:tcPr>
          <w:p w14:paraId="4029D83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38</w:t>
            </w:r>
          </w:p>
        </w:tc>
        <w:tc>
          <w:tcPr>
            <w:tcW w:w="1002" w:type="dxa"/>
            <w:tcBorders>
              <w:top w:val="nil"/>
              <w:left w:val="nil"/>
              <w:bottom w:val="nil"/>
              <w:right w:val="nil"/>
            </w:tcBorders>
            <w:shd w:val="clear" w:color="000000" w:fill="FFFFFF"/>
            <w:noWrap/>
            <w:vAlign w:val="bottom"/>
            <w:hideMark/>
          </w:tcPr>
          <w:p w14:paraId="2057F16C"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6.1%</w:t>
            </w:r>
          </w:p>
        </w:tc>
        <w:tc>
          <w:tcPr>
            <w:tcW w:w="1002" w:type="dxa"/>
            <w:tcBorders>
              <w:top w:val="nil"/>
              <w:left w:val="single" w:sz="4" w:space="0" w:color="auto"/>
              <w:bottom w:val="nil"/>
              <w:right w:val="nil"/>
            </w:tcBorders>
            <w:shd w:val="clear" w:color="000000" w:fill="FFFFFF"/>
            <w:noWrap/>
            <w:vAlign w:val="bottom"/>
            <w:hideMark/>
          </w:tcPr>
          <w:p w14:paraId="68D58E5B"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96</w:t>
            </w:r>
          </w:p>
        </w:tc>
        <w:tc>
          <w:tcPr>
            <w:tcW w:w="1003" w:type="dxa"/>
            <w:tcBorders>
              <w:top w:val="nil"/>
              <w:left w:val="nil"/>
              <w:bottom w:val="nil"/>
              <w:right w:val="single" w:sz="4" w:space="0" w:color="auto"/>
            </w:tcBorders>
            <w:shd w:val="clear" w:color="000000" w:fill="FFFFFF"/>
            <w:noWrap/>
            <w:vAlign w:val="bottom"/>
            <w:hideMark/>
          </w:tcPr>
          <w:p w14:paraId="63C315E5"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14.1%</w:t>
            </w:r>
          </w:p>
        </w:tc>
      </w:tr>
      <w:tr w:rsidR="00B4627E" w:rsidRPr="007E2527" w14:paraId="3F685D3D"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18CBD17"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&gt;=66</w:t>
            </w:r>
          </w:p>
        </w:tc>
        <w:tc>
          <w:tcPr>
            <w:tcW w:w="1002" w:type="dxa"/>
            <w:tcBorders>
              <w:top w:val="nil"/>
              <w:left w:val="single" w:sz="4" w:space="0" w:color="auto"/>
              <w:bottom w:val="nil"/>
              <w:right w:val="nil"/>
            </w:tcBorders>
            <w:shd w:val="clear" w:color="000000" w:fill="FFFFFF"/>
            <w:noWrap/>
            <w:vAlign w:val="bottom"/>
            <w:hideMark/>
          </w:tcPr>
          <w:p w14:paraId="0F3ED235"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17</w:t>
            </w:r>
          </w:p>
        </w:tc>
        <w:tc>
          <w:tcPr>
            <w:tcW w:w="1002" w:type="dxa"/>
            <w:tcBorders>
              <w:top w:val="nil"/>
              <w:left w:val="nil"/>
              <w:bottom w:val="nil"/>
              <w:right w:val="single" w:sz="4" w:space="0" w:color="auto"/>
            </w:tcBorders>
            <w:shd w:val="clear" w:color="000000" w:fill="FFFFFF"/>
            <w:noWrap/>
            <w:vAlign w:val="bottom"/>
            <w:hideMark/>
          </w:tcPr>
          <w:p w14:paraId="7812ED3B"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3.0%</w:t>
            </w:r>
          </w:p>
        </w:tc>
        <w:tc>
          <w:tcPr>
            <w:tcW w:w="1003" w:type="dxa"/>
            <w:tcBorders>
              <w:top w:val="nil"/>
              <w:left w:val="nil"/>
              <w:bottom w:val="nil"/>
              <w:right w:val="nil"/>
            </w:tcBorders>
            <w:shd w:val="clear" w:color="000000" w:fill="FFFFFF"/>
            <w:noWrap/>
            <w:vAlign w:val="bottom"/>
            <w:hideMark/>
          </w:tcPr>
          <w:p w14:paraId="0923DBB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2" w:type="dxa"/>
            <w:tcBorders>
              <w:top w:val="nil"/>
              <w:left w:val="nil"/>
              <w:bottom w:val="nil"/>
              <w:right w:val="nil"/>
            </w:tcBorders>
            <w:shd w:val="clear" w:color="000000" w:fill="FFFFFF"/>
            <w:noWrap/>
            <w:vAlign w:val="bottom"/>
            <w:hideMark/>
          </w:tcPr>
          <w:p w14:paraId="3FB0031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2" w:type="dxa"/>
            <w:tcBorders>
              <w:top w:val="nil"/>
              <w:left w:val="single" w:sz="4" w:space="0" w:color="auto"/>
              <w:bottom w:val="nil"/>
              <w:right w:val="nil"/>
            </w:tcBorders>
            <w:shd w:val="clear" w:color="000000" w:fill="FFFFFF"/>
            <w:noWrap/>
            <w:vAlign w:val="bottom"/>
            <w:hideMark/>
          </w:tcPr>
          <w:p w14:paraId="5E72A759"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3" w:type="dxa"/>
            <w:tcBorders>
              <w:top w:val="nil"/>
              <w:left w:val="nil"/>
              <w:bottom w:val="nil"/>
              <w:right w:val="single" w:sz="4" w:space="0" w:color="auto"/>
            </w:tcBorders>
            <w:shd w:val="clear" w:color="000000" w:fill="FFFFFF"/>
            <w:noWrap/>
            <w:vAlign w:val="bottom"/>
            <w:hideMark/>
          </w:tcPr>
          <w:p w14:paraId="6F8AEB0E"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r>
      <w:tr w:rsidR="00B4627E" w:rsidRPr="007E2527" w14:paraId="7DB6FF29" w14:textId="77777777" w:rsidTr="006947E3">
        <w:trPr>
          <w:trHeight w:val="300"/>
        </w:trPr>
        <w:tc>
          <w:tcPr>
            <w:tcW w:w="2381" w:type="dxa"/>
            <w:tcBorders>
              <w:top w:val="dotted" w:sz="4" w:space="0" w:color="auto"/>
              <w:left w:val="single" w:sz="4" w:space="0" w:color="auto"/>
              <w:bottom w:val="nil"/>
              <w:right w:val="nil"/>
            </w:tcBorders>
            <w:shd w:val="clear" w:color="000000" w:fill="FFFFFF"/>
            <w:noWrap/>
            <w:vAlign w:val="bottom"/>
            <w:hideMark/>
          </w:tcPr>
          <w:p w14:paraId="21CDCF65" w14:textId="77777777" w:rsidR="000D5E14" w:rsidRPr="000D5E14" w:rsidRDefault="000D5E14" w:rsidP="000D5E14">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0D5E14">
              <w:rPr>
                <w:rFonts w:asciiTheme="minorHAnsi" w:eastAsia="Times New Roman" w:hAnsiTheme="minorHAnsi" w:cs="Times New Roman"/>
                <w:b/>
                <w:bCs/>
                <w:color w:val="000000"/>
                <w:kern w:val="0"/>
                <w:szCs w:val="22"/>
                <w:lang w:eastAsia="en-GB"/>
                <w14:ligatures w14:val="none"/>
              </w:rPr>
              <w:t>SAgE</w:t>
            </w:r>
            <w:proofErr w:type="spellEnd"/>
          </w:p>
        </w:tc>
        <w:tc>
          <w:tcPr>
            <w:tcW w:w="1002" w:type="dxa"/>
            <w:tcBorders>
              <w:top w:val="dotted" w:sz="4" w:space="0" w:color="auto"/>
              <w:left w:val="single" w:sz="4" w:space="0" w:color="auto"/>
              <w:bottom w:val="nil"/>
              <w:right w:val="nil"/>
            </w:tcBorders>
            <w:shd w:val="clear" w:color="000000" w:fill="FFFFFF"/>
            <w:noWrap/>
            <w:vAlign w:val="bottom"/>
            <w:hideMark/>
          </w:tcPr>
          <w:p w14:paraId="6F9A0E2F"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477</w:t>
            </w:r>
          </w:p>
        </w:tc>
        <w:tc>
          <w:tcPr>
            <w:tcW w:w="1002" w:type="dxa"/>
            <w:tcBorders>
              <w:top w:val="dotted" w:sz="4" w:space="0" w:color="auto"/>
              <w:left w:val="nil"/>
              <w:bottom w:val="nil"/>
              <w:right w:val="single" w:sz="4" w:space="0" w:color="auto"/>
            </w:tcBorders>
            <w:shd w:val="clear" w:color="000000" w:fill="FFFFFF"/>
            <w:noWrap/>
            <w:vAlign w:val="bottom"/>
            <w:hideMark/>
          </w:tcPr>
          <w:p w14:paraId="041F1FA2"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c>
          <w:tcPr>
            <w:tcW w:w="1003" w:type="dxa"/>
            <w:tcBorders>
              <w:top w:val="dotted" w:sz="4" w:space="0" w:color="auto"/>
              <w:left w:val="nil"/>
              <w:bottom w:val="nil"/>
              <w:right w:val="nil"/>
            </w:tcBorders>
            <w:shd w:val="clear" w:color="000000" w:fill="FFFFFF"/>
            <w:noWrap/>
            <w:vAlign w:val="bottom"/>
            <w:hideMark/>
          </w:tcPr>
          <w:p w14:paraId="390D3563"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289</w:t>
            </w:r>
          </w:p>
        </w:tc>
        <w:tc>
          <w:tcPr>
            <w:tcW w:w="1002" w:type="dxa"/>
            <w:tcBorders>
              <w:top w:val="dotted" w:sz="4" w:space="0" w:color="auto"/>
              <w:left w:val="nil"/>
              <w:bottom w:val="nil"/>
              <w:right w:val="nil"/>
            </w:tcBorders>
            <w:shd w:val="clear" w:color="000000" w:fill="FFFFFF"/>
            <w:noWrap/>
            <w:vAlign w:val="bottom"/>
            <w:hideMark/>
          </w:tcPr>
          <w:p w14:paraId="4AC5DEE5"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c>
          <w:tcPr>
            <w:tcW w:w="1002" w:type="dxa"/>
            <w:tcBorders>
              <w:top w:val="dotted" w:sz="4" w:space="0" w:color="auto"/>
              <w:left w:val="single" w:sz="4" w:space="0" w:color="auto"/>
              <w:bottom w:val="nil"/>
              <w:right w:val="nil"/>
            </w:tcBorders>
            <w:shd w:val="clear" w:color="000000" w:fill="FFFFFF"/>
            <w:noWrap/>
            <w:vAlign w:val="bottom"/>
            <w:hideMark/>
          </w:tcPr>
          <w:p w14:paraId="2404DF6B"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368</w:t>
            </w:r>
          </w:p>
        </w:tc>
        <w:tc>
          <w:tcPr>
            <w:tcW w:w="1003" w:type="dxa"/>
            <w:tcBorders>
              <w:top w:val="dotted" w:sz="4" w:space="0" w:color="auto"/>
              <w:left w:val="nil"/>
              <w:bottom w:val="nil"/>
              <w:right w:val="single" w:sz="4" w:space="0" w:color="auto"/>
            </w:tcBorders>
            <w:shd w:val="clear" w:color="000000" w:fill="FFFFFF"/>
            <w:noWrap/>
            <w:vAlign w:val="bottom"/>
            <w:hideMark/>
          </w:tcPr>
          <w:p w14:paraId="69FBD8BF" w14:textId="77777777" w:rsidR="000D5E14" w:rsidRPr="000D5E14" w:rsidRDefault="000D5E14" w:rsidP="000D5E1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D5E14">
              <w:rPr>
                <w:rFonts w:asciiTheme="minorHAnsi" w:eastAsia="Times New Roman" w:hAnsiTheme="minorHAnsi" w:cs="Times New Roman"/>
                <w:b/>
                <w:bCs/>
                <w:color w:val="000000"/>
                <w:kern w:val="0"/>
                <w:szCs w:val="22"/>
                <w:lang w:eastAsia="en-GB"/>
                <w14:ligatures w14:val="none"/>
              </w:rPr>
              <w:t>100%</w:t>
            </w:r>
          </w:p>
        </w:tc>
      </w:tr>
      <w:tr w:rsidR="00B4627E" w:rsidRPr="007E2527" w14:paraId="38B0A334"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7067B7AF"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&lt;=25</w:t>
            </w:r>
          </w:p>
        </w:tc>
        <w:tc>
          <w:tcPr>
            <w:tcW w:w="1002" w:type="dxa"/>
            <w:tcBorders>
              <w:top w:val="nil"/>
              <w:left w:val="single" w:sz="4" w:space="0" w:color="auto"/>
              <w:bottom w:val="nil"/>
              <w:right w:val="nil"/>
            </w:tcBorders>
            <w:shd w:val="clear" w:color="000000" w:fill="FFFFFF"/>
            <w:noWrap/>
            <w:vAlign w:val="bottom"/>
            <w:hideMark/>
          </w:tcPr>
          <w:p w14:paraId="55FEB51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2" w:type="dxa"/>
            <w:tcBorders>
              <w:top w:val="nil"/>
              <w:left w:val="nil"/>
              <w:bottom w:val="nil"/>
              <w:right w:val="single" w:sz="4" w:space="0" w:color="auto"/>
            </w:tcBorders>
            <w:shd w:val="clear" w:color="000000" w:fill="FFFFFF"/>
            <w:noWrap/>
            <w:vAlign w:val="bottom"/>
            <w:hideMark/>
          </w:tcPr>
          <w:p w14:paraId="27758786"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3" w:type="dxa"/>
            <w:tcBorders>
              <w:top w:val="nil"/>
              <w:left w:val="nil"/>
              <w:bottom w:val="nil"/>
              <w:right w:val="nil"/>
            </w:tcBorders>
            <w:shd w:val="clear" w:color="000000" w:fill="FFFFFF"/>
            <w:noWrap/>
            <w:vAlign w:val="bottom"/>
            <w:hideMark/>
          </w:tcPr>
          <w:p w14:paraId="62DCEF8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2" w:type="dxa"/>
            <w:tcBorders>
              <w:top w:val="nil"/>
              <w:left w:val="nil"/>
              <w:bottom w:val="nil"/>
              <w:right w:val="nil"/>
            </w:tcBorders>
            <w:shd w:val="clear" w:color="000000" w:fill="FFFFFF"/>
            <w:noWrap/>
            <w:vAlign w:val="bottom"/>
            <w:hideMark/>
          </w:tcPr>
          <w:p w14:paraId="50DEE630"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2" w:type="dxa"/>
            <w:tcBorders>
              <w:top w:val="nil"/>
              <w:left w:val="single" w:sz="4" w:space="0" w:color="auto"/>
              <w:bottom w:val="nil"/>
              <w:right w:val="nil"/>
            </w:tcBorders>
            <w:shd w:val="clear" w:color="000000" w:fill="FFFFFF"/>
            <w:noWrap/>
            <w:vAlign w:val="bottom"/>
            <w:hideMark/>
          </w:tcPr>
          <w:p w14:paraId="1231A3D8"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22</w:t>
            </w:r>
          </w:p>
        </w:tc>
        <w:tc>
          <w:tcPr>
            <w:tcW w:w="1003" w:type="dxa"/>
            <w:tcBorders>
              <w:top w:val="nil"/>
              <w:left w:val="nil"/>
              <w:bottom w:val="nil"/>
              <w:right w:val="single" w:sz="4" w:space="0" w:color="auto"/>
            </w:tcBorders>
            <w:shd w:val="clear" w:color="000000" w:fill="FFFFFF"/>
            <w:noWrap/>
            <w:vAlign w:val="bottom"/>
            <w:hideMark/>
          </w:tcPr>
          <w:p w14:paraId="1567583C"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6.0%</w:t>
            </w:r>
          </w:p>
        </w:tc>
      </w:tr>
      <w:tr w:rsidR="00B4627E" w:rsidRPr="007E2527" w14:paraId="41E99F52"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6B71DE93"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26-35</w:t>
            </w:r>
          </w:p>
        </w:tc>
        <w:tc>
          <w:tcPr>
            <w:tcW w:w="1002" w:type="dxa"/>
            <w:tcBorders>
              <w:top w:val="nil"/>
              <w:left w:val="single" w:sz="4" w:space="0" w:color="auto"/>
              <w:bottom w:val="nil"/>
              <w:right w:val="nil"/>
            </w:tcBorders>
            <w:shd w:val="clear" w:color="000000" w:fill="FFFFFF"/>
            <w:noWrap/>
            <w:vAlign w:val="bottom"/>
            <w:hideMark/>
          </w:tcPr>
          <w:p w14:paraId="0A74A1B2"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78</w:t>
            </w:r>
          </w:p>
        </w:tc>
        <w:tc>
          <w:tcPr>
            <w:tcW w:w="1002" w:type="dxa"/>
            <w:tcBorders>
              <w:top w:val="nil"/>
              <w:left w:val="nil"/>
              <w:bottom w:val="nil"/>
              <w:right w:val="single" w:sz="4" w:space="0" w:color="auto"/>
            </w:tcBorders>
            <w:shd w:val="clear" w:color="000000" w:fill="FFFFFF"/>
            <w:noWrap/>
            <w:vAlign w:val="bottom"/>
            <w:hideMark/>
          </w:tcPr>
          <w:p w14:paraId="376BD98B"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16.4%</w:t>
            </w:r>
          </w:p>
        </w:tc>
        <w:tc>
          <w:tcPr>
            <w:tcW w:w="1003" w:type="dxa"/>
            <w:tcBorders>
              <w:top w:val="nil"/>
              <w:left w:val="nil"/>
              <w:bottom w:val="nil"/>
              <w:right w:val="nil"/>
            </w:tcBorders>
            <w:shd w:val="clear" w:color="000000" w:fill="FFFFFF"/>
            <w:noWrap/>
            <w:vAlign w:val="bottom"/>
            <w:hideMark/>
          </w:tcPr>
          <w:p w14:paraId="3F8585F5"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176</w:t>
            </w:r>
          </w:p>
        </w:tc>
        <w:tc>
          <w:tcPr>
            <w:tcW w:w="1002" w:type="dxa"/>
            <w:tcBorders>
              <w:top w:val="nil"/>
              <w:left w:val="nil"/>
              <w:bottom w:val="nil"/>
              <w:right w:val="nil"/>
            </w:tcBorders>
            <w:shd w:val="clear" w:color="000000" w:fill="FFFFFF"/>
            <w:noWrap/>
            <w:vAlign w:val="bottom"/>
            <w:hideMark/>
          </w:tcPr>
          <w:p w14:paraId="0070E764"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60.9%</w:t>
            </w:r>
          </w:p>
        </w:tc>
        <w:tc>
          <w:tcPr>
            <w:tcW w:w="1002" w:type="dxa"/>
            <w:tcBorders>
              <w:top w:val="nil"/>
              <w:left w:val="single" w:sz="4" w:space="0" w:color="auto"/>
              <w:bottom w:val="nil"/>
              <w:right w:val="nil"/>
            </w:tcBorders>
            <w:shd w:val="clear" w:color="000000" w:fill="FFFFFF"/>
            <w:noWrap/>
            <w:vAlign w:val="bottom"/>
            <w:hideMark/>
          </w:tcPr>
          <w:p w14:paraId="0669A39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85</w:t>
            </w:r>
          </w:p>
        </w:tc>
        <w:tc>
          <w:tcPr>
            <w:tcW w:w="1003" w:type="dxa"/>
            <w:tcBorders>
              <w:top w:val="nil"/>
              <w:left w:val="nil"/>
              <w:bottom w:val="nil"/>
              <w:right w:val="single" w:sz="4" w:space="0" w:color="auto"/>
            </w:tcBorders>
            <w:shd w:val="clear" w:color="000000" w:fill="FFFFFF"/>
            <w:noWrap/>
            <w:vAlign w:val="bottom"/>
            <w:hideMark/>
          </w:tcPr>
          <w:p w14:paraId="1DB4F361"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23.1%</w:t>
            </w:r>
          </w:p>
        </w:tc>
      </w:tr>
      <w:tr w:rsidR="00B4627E" w:rsidRPr="007E2527" w14:paraId="24526C4F"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3A91E77E"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36-45</w:t>
            </w:r>
          </w:p>
        </w:tc>
        <w:tc>
          <w:tcPr>
            <w:tcW w:w="1002" w:type="dxa"/>
            <w:tcBorders>
              <w:top w:val="nil"/>
              <w:left w:val="single" w:sz="4" w:space="0" w:color="auto"/>
              <w:bottom w:val="nil"/>
              <w:right w:val="nil"/>
            </w:tcBorders>
            <w:shd w:val="clear" w:color="000000" w:fill="FFFFFF"/>
            <w:noWrap/>
            <w:vAlign w:val="bottom"/>
            <w:hideMark/>
          </w:tcPr>
          <w:p w14:paraId="0A6A8EB7"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156</w:t>
            </w:r>
          </w:p>
        </w:tc>
        <w:tc>
          <w:tcPr>
            <w:tcW w:w="1002" w:type="dxa"/>
            <w:tcBorders>
              <w:top w:val="nil"/>
              <w:left w:val="nil"/>
              <w:bottom w:val="nil"/>
              <w:right w:val="single" w:sz="4" w:space="0" w:color="auto"/>
            </w:tcBorders>
            <w:shd w:val="clear" w:color="000000" w:fill="FFFFFF"/>
            <w:noWrap/>
            <w:vAlign w:val="bottom"/>
            <w:hideMark/>
          </w:tcPr>
          <w:p w14:paraId="34F1AFF7"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32.7%</w:t>
            </w:r>
          </w:p>
        </w:tc>
        <w:tc>
          <w:tcPr>
            <w:tcW w:w="1003" w:type="dxa"/>
            <w:tcBorders>
              <w:top w:val="nil"/>
              <w:left w:val="nil"/>
              <w:bottom w:val="nil"/>
              <w:right w:val="nil"/>
            </w:tcBorders>
            <w:shd w:val="clear" w:color="000000" w:fill="FFFFFF"/>
            <w:noWrap/>
            <w:vAlign w:val="bottom"/>
            <w:hideMark/>
          </w:tcPr>
          <w:p w14:paraId="36F85406"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75</w:t>
            </w:r>
          </w:p>
        </w:tc>
        <w:tc>
          <w:tcPr>
            <w:tcW w:w="1002" w:type="dxa"/>
            <w:tcBorders>
              <w:top w:val="nil"/>
              <w:left w:val="nil"/>
              <w:bottom w:val="nil"/>
              <w:right w:val="nil"/>
            </w:tcBorders>
            <w:shd w:val="clear" w:color="000000" w:fill="FFFFFF"/>
            <w:noWrap/>
            <w:vAlign w:val="bottom"/>
            <w:hideMark/>
          </w:tcPr>
          <w:p w14:paraId="6FBC33FB"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26.0%</w:t>
            </w:r>
          </w:p>
        </w:tc>
        <w:tc>
          <w:tcPr>
            <w:tcW w:w="1002" w:type="dxa"/>
            <w:tcBorders>
              <w:top w:val="nil"/>
              <w:left w:val="single" w:sz="4" w:space="0" w:color="auto"/>
              <w:bottom w:val="nil"/>
              <w:right w:val="nil"/>
            </w:tcBorders>
            <w:shd w:val="clear" w:color="000000" w:fill="FFFFFF"/>
            <w:noWrap/>
            <w:vAlign w:val="bottom"/>
            <w:hideMark/>
          </w:tcPr>
          <w:p w14:paraId="2223212B"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109</w:t>
            </w:r>
          </w:p>
        </w:tc>
        <w:tc>
          <w:tcPr>
            <w:tcW w:w="1003" w:type="dxa"/>
            <w:tcBorders>
              <w:top w:val="nil"/>
              <w:left w:val="nil"/>
              <w:bottom w:val="nil"/>
              <w:right w:val="single" w:sz="4" w:space="0" w:color="auto"/>
            </w:tcBorders>
            <w:shd w:val="clear" w:color="000000" w:fill="FFFFFF"/>
            <w:noWrap/>
            <w:vAlign w:val="bottom"/>
            <w:hideMark/>
          </w:tcPr>
          <w:p w14:paraId="38BC213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29.6%</w:t>
            </w:r>
          </w:p>
        </w:tc>
      </w:tr>
      <w:tr w:rsidR="00B4627E" w:rsidRPr="007E2527" w14:paraId="095D9D54"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911D0D2"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46-55</w:t>
            </w:r>
          </w:p>
        </w:tc>
        <w:tc>
          <w:tcPr>
            <w:tcW w:w="1002" w:type="dxa"/>
            <w:tcBorders>
              <w:top w:val="nil"/>
              <w:left w:val="single" w:sz="4" w:space="0" w:color="auto"/>
              <w:bottom w:val="nil"/>
              <w:right w:val="nil"/>
            </w:tcBorders>
            <w:shd w:val="clear" w:color="000000" w:fill="FFFFFF"/>
            <w:noWrap/>
            <w:vAlign w:val="bottom"/>
            <w:hideMark/>
          </w:tcPr>
          <w:p w14:paraId="0B84ABA9"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148</w:t>
            </w:r>
          </w:p>
        </w:tc>
        <w:tc>
          <w:tcPr>
            <w:tcW w:w="1002" w:type="dxa"/>
            <w:tcBorders>
              <w:top w:val="nil"/>
              <w:left w:val="nil"/>
              <w:bottom w:val="nil"/>
              <w:right w:val="single" w:sz="4" w:space="0" w:color="auto"/>
            </w:tcBorders>
            <w:shd w:val="clear" w:color="000000" w:fill="FFFFFF"/>
            <w:noWrap/>
            <w:vAlign w:val="bottom"/>
            <w:hideMark/>
          </w:tcPr>
          <w:p w14:paraId="7BBA1BA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31.0%</w:t>
            </w:r>
          </w:p>
        </w:tc>
        <w:tc>
          <w:tcPr>
            <w:tcW w:w="1003" w:type="dxa"/>
            <w:tcBorders>
              <w:top w:val="nil"/>
              <w:left w:val="nil"/>
              <w:bottom w:val="nil"/>
              <w:right w:val="nil"/>
            </w:tcBorders>
            <w:shd w:val="clear" w:color="000000" w:fill="FFFFFF"/>
            <w:noWrap/>
            <w:vAlign w:val="bottom"/>
            <w:hideMark/>
          </w:tcPr>
          <w:p w14:paraId="2DC4BF46"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18</w:t>
            </w:r>
          </w:p>
        </w:tc>
        <w:tc>
          <w:tcPr>
            <w:tcW w:w="1002" w:type="dxa"/>
            <w:tcBorders>
              <w:top w:val="nil"/>
              <w:left w:val="nil"/>
              <w:bottom w:val="nil"/>
              <w:right w:val="nil"/>
            </w:tcBorders>
            <w:shd w:val="clear" w:color="000000" w:fill="FFFFFF"/>
            <w:noWrap/>
            <w:vAlign w:val="bottom"/>
            <w:hideMark/>
          </w:tcPr>
          <w:p w14:paraId="6FEAAAFB"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6.2%</w:t>
            </w:r>
          </w:p>
        </w:tc>
        <w:tc>
          <w:tcPr>
            <w:tcW w:w="1002" w:type="dxa"/>
            <w:tcBorders>
              <w:top w:val="nil"/>
              <w:left w:val="single" w:sz="4" w:space="0" w:color="auto"/>
              <w:bottom w:val="nil"/>
              <w:right w:val="nil"/>
            </w:tcBorders>
            <w:shd w:val="clear" w:color="000000" w:fill="FFFFFF"/>
            <w:noWrap/>
            <w:vAlign w:val="bottom"/>
            <w:hideMark/>
          </w:tcPr>
          <w:p w14:paraId="18AE5520"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88</w:t>
            </w:r>
          </w:p>
        </w:tc>
        <w:tc>
          <w:tcPr>
            <w:tcW w:w="1003" w:type="dxa"/>
            <w:tcBorders>
              <w:top w:val="nil"/>
              <w:left w:val="nil"/>
              <w:bottom w:val="nil"/>
              <w:right w:val="single" w:sz="4" w:space="0" w:color="auto"/>
            </w:tcBorders>
            <w:shd w:val="clear" w:color="000000" w:fill="FFFFFF"/>
            <w:noWrap/>
            <w:vAlign w:val="bottom"/>
            <w:hideMark/>
          </w:tcPr>
          <w:p w14:paraId="73045C80"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23.9%</w:t>
            </w:r>
          </w:p>
        </w:tc>
      </w:tr>
      <w:tr w:rsidR="00B4627E" w:rsidRPr="007E2527" w14:paraId="3A1E1E4A" w14:textId="77777777" w:rsidTr="006947E3">
        <w:trPr>
          <w:trHeight w:val="300"/>
        </w:trPr>
        <w:tc>
          <w:tcPr>
            <w:tcW w:w="2381" w:type="dxa"/>
            <w:tcBorders>
              <w:top w:val="nil"/>
              <w:left w:val="single" w:sz="4" w:space="0" w:color="auto"/>
              <w:right w:val="nil"/>
            </w:tcBorders>
            <w:shd w:val="clear" w:color="000000" w:fill="FFFFFF"/>
            <w:noWrap/>
            <w:vAlign w:val="bottom"/>
            <w:hideMark/>
          </w:tcPr>
          <w:p w14:paraId="676958AF"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56-65</w:t>
            </w:r>
          </w:p>
        </w:tc>
        <w:tc>
          <w:tcPr>
            <w:tcW w:w="1002" w:type="dxa"/>
            <w:tcBorders>
              <w:top w:val="nil"/>
              <w:left w:val="single" w:sz="4" w:space="0" w:color="auto"/>
              <w:right w:val="nil"/>
            </w:tcBorders>
            <w:shd w:val="clear" w:color="000000" w:fill="FFFFFF"/>
            <w:noWrap/>
            <w:vAlign w:val="bottom"/>
            <w:hideMark/>
          </w:tcPr>
          <w:p w14:paraId="4F7C221E"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69</w:t>
            </w:r>
          </w:p>
        </w:tc>
        <w:tc>
          <w:tcPr>
            <w:tcW w:w="1002" w:type="dxa"/>
            <w:tcBorders>
              <w:top w:val="nil"/>
              <w:left w:val="nil"/>
              <w:right w:val="single" w:sz="4" w:space="0" w:color="auto"/>
            </w:tcBorders>
            <w:shd w:val="clear" w:color="000000" w:fill="FFFFFF"/>
            <w:noWrap/>
            <w:vAlign w:val="bottom"/>
            <w:hideMark/>
          </w:tcPr>
          <w:p w14:paraId="6835ABFE"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14.5%</w:t>
            </w:r>
          </w:p>
        </w:tc>
        <w:tc>
          <w:tcPr>
            <w:tcW w:w="1003" w:type="dxa"/>
            <w:tcBorders>
              <w:top w:val="nil"/>
              <w:left w:val="nil"/>
              <w:right w:val="nil"/>
            </w:tcBorders>
            <w:shd w:val="clear" w:color="000000" w:fill="FFFFFF"/>
            <w:noWrap/>
            <w:vAlign w:val="bottom"/>
            <w:hideMark/>
          </w:tcPr>
          <w:p w14:paraId="6E1419F8"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10</w:t>
            </w:r>
          </w:p>
        </w:tc>
        <w:tc>
          <w:tcPr>
            <w:tcW w:w="1002" w:type="dxa"/>
            <w:tcBorders>
              <w:top w:val="nil"/>
              <w:left w:val="nil"/>
              <w:right w:val="nil"/>
            </w:tcBorders>
            <w:shd w:val="clear" w:color="000000" w:fill="FFFFFF"/>
            <w:noWrap/>
            <w:vAlign w:val="bottom"/>
            <w:hideMark/>
          </w:tcPr>
          <w:p w14:paraId="1435321D"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3.5%</w:t>
            </w:r>
          </w:p>
        </w:tc>
        <w:tc>
          <w:tcPr>
            <w:tcW w:w="1002" w:type="dxa"/>
            <w:tcBorders>
              <w:top w:val="nil"/>
              <w:left w:val="single" w:sz="4" w:space="0" w:color="auto"/>
              <w:right w:val="nil"/>
            </w:tcBorders>
            <w:shd w:val="clear" w:color="000000" w:fill="FFFFFF"/>
            <w:noWrap/>
            <w:vAlign w:val="bottom"/>
            <w:hideMark/>
          </w:tcPr>
          <w:p w14:paraId="57D02F1E"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52</w:t>
            </w:r>
          </w:p>
        </w:tc>
        <w:tc>
          <w:tcPr>
            <w:tcW w:w="1003" w:type="dxa"/>
            <w:tcBorders>
              <w:top w:val="nil"/>
              <w:left w:val="nil"/>
              <w:right w:val="single" w:sz="4" w:space="0" w:color="auto"/>
            </w:tcBorders>
            <w:shd w:val="clear" w:color="000000" w:fill="FFFFFF"/>
            <w:noWrap/>
            <w:vAlign w:val="bottom"/>
            <w:hideMark/>
          </w:tcPr>
          <w:p w14:paraId="68AC6EA8"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14.1%</w:t>
            </w:r>
          </w:p>
        </w:tc>
      </w:tr>
      <w:tr w:rsidR="00B4627E" w:rsidRPr="007E2527" w14:paraId="24A24E81" w14:textId="77777777" w:rsidTr="006947E3">
        <w:trPr>
          <w:trHeight w:val="315"/>
        </w:trPr>
        <w:tc>
          <w:tcPr>
            <w:tcW w:w="2381" w:type="dxa"/>
            <w:tcBorders>
              <w:top w:val="nil"/>
              <w:left w:val="single" w:sz="4" w:space="0" w:color="auto"/>
              <w:bottom w:val="dotted" w:sz="4" w:space="0" w:color="auto"/>
              <w:right w:val="nil"/>
            </w:tcBorders>
            <w:shd w:val="clear" w:color="000000" w:fill="FFFFFF"/>
            <w:noWrap/>
            <w:vAlign w:val="bottom"/>
            <w:hideMark/>
          </w:tcPr>
          <w:p w14:paraId="307CCF01" w14:textId="77777777" w:rsidR="000D5E14" w:rsidRPr="000D5E14" w:rsidRDefault="000D5E14" w:rsidP="000D5E14">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&gt;=66</w:t>
            </w:r>
          </w:p>
        </w:tc>
        <w:tc>
          <w:tcPr>
            <w:tcW w:w="1002" w:type="dxa"/>
            <w:tcBorders>
              <w:top w:val="nil"/>
              <w:left w:val="single" w:sz="4" w:space="0" w:color="auto"/>
              <w:bottom w:val="dotted" w:sz="4" w:space="0" w:color="auto"/>
              <w:right w:val="nil"/>
            </w:tcBorders>
            <w:shd w:val="clear" w:color="000000" w:fill="FFFFFF"/>
            <w:noWrap/>
            <w:vAlign w:val="bottom"/>
            <w:hideMark/>
          </w:tcPr>
          <w:p w14:paraId="3F1E3633"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21</w:t>
            </w:r>
          </w:p>
        </w:tc>
        <w:tc>
          <w:tcPr>
            <w:tcW w:w="1002" w:type="dxa"/>
            <w:tcBorders>
              <w:top w:val="nil"/>
              <w:left w:val="nil"/>
              <w:bottom w:val="dotted" w:sz="4" w:space="0" w:color="auto"/>
              <w:right w:val="single" w:sz="4" w:space="0" w:color="auto"/>
            </w:tcBorders>
            <w:shd w:val="clear" w:color="000000" w:fill="FFFFFF"/>
            <w:noWrap/>
            <w:vAlign w:val="bottom"/>
            <w:hideMark/>
          </w:tcPr>
          <w:p w14:paraId="05121E65"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4.4%</w:t>
            </w:r>
          </w:p>
        </w:tc>
        <w:tc>
          <w:tcPr>
            <w:tcW w:w="1003" w:type="dxa"/>
            <w:tcBorders>
              <w:top w:val="nil"/>
              <w:left w:val="nil"/>
              <w:bottom w:val="dotted" w:sz="4" w:space="0" w:color="auto"/>
              <w:right w:val="nil"/>
            </w:tcBorders>
            <w:shd w:val="clear" w:color="000000" w:fill="FFFFFF"/>
            <w:noWrap/>
            <w:vAlign w:val="bottom"/>
            <w:hideMark/>
          </w:tcPr>
          <w:p w14:paraId="2324B055"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&lt;7</w:t>
            </w:r>
          </w:p>
        </w:tc>
        <w:tc>
          <w:tcPr>
            <w:tcW w:w="1002" w:type="dxa"/>
            <w:tcBorders>
              <w:top w:val="nil"/>
              <w:left w:val="nil"/>
              <w:bottom w:val="dotted" w:sz="4" w:space="0" w:color="auto"/>
              <w:right w:val="nil"/>
            </w:tcBorders>
            <w:shd w:val="clear" w:color="000000" w:fill="FFFFFF"/>
            <w:noWrap/>
            <w:vAlign w:val="bottom"/>
            <w:hideMark/>
          </w:tcPr>
          <w:p w14:paraId="518D63BA"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w:t>
            </w:r>
          </w:p>
        </w:tc>
        <w:tc>
          <w:tcPr>
            <w:tcW w:w="1002" w:type="dxa"/>
            <w:tcBorders>
              <w:top w:val="nil"/>
              <w:left w:val="single" w:sz="4" w:space="0" w:color="auto"/>
              <w:bottom w:val="dotted" w:sz="4" w:space="0" w:color="auto"/>
              <w:right w:val="nil"/>
            </w:tcBorders>
            <w:shd w:val="clear" w:color="000000" w:fill="FFFFFF"/>
            <w:noWrap/>
            <w:vAlign w:val="bottom"/>
            <w:hideMark/>
          </w:tcPr>
          <w:p w14:paraId="3837AEE9"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12</w:t>
            </w:r>
          </w:p>
        </w:tc>
        <w:tc>
          <w:tcPr>
            <w:tcW w:w="1003" w:type="dxa"/>
            <w:tcBorders>
              <w:top w:val="nil"/>
              <w:left w:val="nil"/>
              <w:bottom w:val="dotted" w:sz="4" w:space="0" w:color="auto"/>
              <w:right w:val="single" w:sz="4" w:space="0" w:color="auto"/>
            </w:tcBorders>
            <w:shd w:val="clear" w:color="000000" w:fill="FFFFFF"/>
            <w:noWrap/>
            <w:vAlign w:val="bottom"/>
            <w:hideMark/>
          </w:tcPr>
          <w:p w14:paraId="4B3E0067" w14:textId="77777777" w:rsidR="000D5E14" w:rsidRPr="000D5E14" w:rsidRDefault="000D5E14" w:rsidP="000D5E14">
            <w:pPr>
              <w:spacing w:after="0" w:line="240" w:lineRule="auto"/>
              <w:jc w:val="right"/>
              <w:rPr>
                <w:rFonts w:asciiTheme="minorHAnsi" w:eastAsia="Times New Roman" w:hAnsiTheme="minorHAnsi" w:cs="Times New Roman"/>
                <w:color w:val="000000"/>
                <w:kern w:val="0"/>
                <w:szCs w:val="22"/>
                <w:lang w:eastAsia="en-GB"/>
                <w14:ligatures w14:val="none"/>
              </w:rPr>
            </w:pPr>
            <w:r w:rsidRPr="000D5E14">
              <w:rPr>
                <w:rFonts w:asciiTheme="minorHAnsi" w:eastAsia="Times New Roman" w:hAnsiTheme="minorHAnsi" w:cs="Times New Roman"/>
                <w:color w:val="000000"/>
                <w:kern w:val="0"/>
                <w:szCs w:val="22"/>
                <w:lang w:eastAsia="en-GB"/>
                <w14:ligatures w14:val="none"/>
              </w:rPr>
              <w:t>3.3%</w:t>
            </w:r>
          </w:p>
        </w:tc>
      </w:tr>
    </w:tbl>
    <w:p w14:paraId="6E0869B9" w14:textId="14D4CBFC" w:rsidR="00A91C95" w:rsidRPr="007E2527" w:rsidRDefault="00A91C95" w:rsidP="00E07335">
      <w:pPr>
        <w:rPr>
          <w:rFonts w:asciiTheme="minorHAnsi" w:hAnsiTheme="minorHAnsi"/>
          <w:b/>
          <w:bCs/>
          <w:szCs w:val="22"/>
        </w:rPr>
      </w:pPr>
    </w:p>
    <w:p w14:paraId="2A3D1EEB" w14:textId="77777777" w:rsidR="000D5E14" w:rsidRPr="007E2527" w:rsidRDefault="000D5E14" w:rsidP="00E07335">
      <w:pPr>
        <w:rPr>
          <w:rFonts w:asciiTheme="minorHAnsi" w:hAnsiTheme="minorHAnsi"/>
          <w:b/>
          <w:bCs/>
          <w:szCs w:val="22"/>
        </w:rPr>
      </w:pPr>
    </w:p>
    <w:p w14:paraId="2FA32537" w14:textId="77777777" w:rsidR="00FE6139" w:rsidRPr="007E2527" w:rsidRDefault="00FE6139" w:rsidP="00E07335">
      <w:pPr>
        <w:rPr>
          <w:rFonts w:asciiTheme="minorHAnsi" w:hAnsiTheme="minorHAnsi"/>
          <w:szCs w:val="22"/>
        </w:rPr>
      </w:pPr>
    </w:p>
    <w:p w14:paraId="1A7D83B7" w14:textId="4CC9F2D8" w:rsidR="00FE6139" w:rsidRPr="00422488" w:rsidRDefault="00FE6139" w:rsidP="00E07335">
      <w:pPr>
        <w:rPr>
          <w:rFonts w:asciiTheme="minorHAnsi" w:hAnsiTheme="minorHAnsi"/>
          <w:szCs w:val="22"/>
        </w:rPr>
      </w:pPr>
      <w:r w:rsidRPr="00422488">
        <w:rPr>
          <w:rFonts w:asciiTheme="minorHAnsi" w:hAnsiTheme="minorHAnsi"/>
          <w:szCs w:val="22"/>
        </w:rPr>
        <w:lastRenderedPageBreak/>
        <w:t>Continued: 2.1.6. All colleagues by Faculty/Hub and age group, and occupation, 2025 (N=6,241)</w:t>
      </w:r>
    </w:p>
    <w:tbl>
      <w:tblPr>
        <w:tblW w:w="8334" w:type="dxa"/>
        <w:tblLayout w:type="fixed"/>
        <w:tblLook w:val="04A0" w:firstRow="1" w:lastRow="0" w:firstColumn="1" w:lastColumn="0" w:noHBand="0" w:noVBand="1"/>
      </w:tblPr>
      <w:tblGrid>
        <w:gridCol w:w="2381"/>
        <w:gridCol w:w="992"/>
        <w:gridCol w:w="992"/>
        <w:gridCol w:w="992"/>
        <w:gridCol w:w="992"/>
        <w:gridCol w:w="992"/>
        <w:gridCol w:w="993"/>
      </w:tblGrid>
      <w:tr w:rsidR="006947E3" w:rsidRPr="00772DB1" w14:paraId="457581D5" w14:textId="77777777" w:rsidTr="006947E3">
        <w:trPr>
          <w:trHeight w:val="300"/>
        </w:trPr>
        <w:tc>
          <w:tcPr>
            <w:tcW w:w="2381" w:type="dxa"/>
            <w:tcBorders>
              <w:top w:val="single" w:sz="4" w:space="0" w:color="auto"/>
              <w:left w:val="single" w:sz="4" w:space="0" w:color="auto"/>
              <w:bottom w:val="nil"/>
              <w:right w:val="nil"/>
            </w:tcBorders>
            <w:shd w:val="clear" w:color="000000" w:fill="FFFFFF"/>
            <w:noWrap/>
            <w:vAlign w:val="bottom"/>
            <w:hideMark/>
          </w:tcPr>
          <w:p w14:paraId="10349404" w14:textId="77777777" w:rsidR="00772DB1" w:rsidRPr="00772DB1" w:rsidRDefault="00772DB1" w:rsidP="00772DB1">
            <w:pPr>
              <w:spacing w:after="0" w:line="240" w:lineRule="auto"/>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1984"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C1F05B0" w14:textId="77777777" w:rsidR="00772DB1" w:rsidRPr="00772DB1" w:rsidRDefault="00772DB1" w:rsidP="00772DB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Academic</w:t>
            </w:r>
          </w:p>
        </w:tc>
        <w:tc>
          <w:tcPr>
            <w:tcW w:w="1984" w:type="dxa"/>
            <w:gridSpan w:val="2"/>
            <w:tcBorders>
              <w:top w:val="single" w:sz="4" w:space="0" w:color="auto"/>
              <w:left w:val="nil"/>
              <w:bottom w:val="nil"/>
              <w:right w:val="nil"/>
            </w:tcBorders>
            <w:shd w:val="clear" w:color="000000" w:fill="FFFFFF"/>
            <w:noWrap/>
            <w:vAlign w:val="bottom"/>
            <w:hideMark/>
          </w:tcPr>
          <w:p w14:paraId="5D2A1F88" w14:textId="77777777" w:rsidR="00772DB1" w:rsidRPr="00772DB1" w:rsidRDefault="00772DB1" w:rsidP="00772DB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Research</w:t>
            </w:r>
          </w:p>
        </w:tc>
        <w:tc>
          <w:tcPr>
            <w:tcW w:w="1985"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4088225" w14:textId="77777777" w:rsidR="00772DB1" w:rsidRPr="00772DB1" w:rsidRDefault="00772DB1" w:rsidP="00772DB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PS</w:t>
            </w:r>
          </w:p>
        </w:tc>
      </w:tr>
      <w:tr w:rsidR="00B4627E" w:rsidRPr="007E2527" w14:paraId="0CD3EA2A" w14:textId="77777777" w:rsidTr="006947E3">
        <w:trPr>
          <w:trHeight w:val="300"/>
        </w:trPr>
        <w:tc>
          <w:tcPr>
            <w:tcW w:w="2381" w:type="dxa"/>
            <w:tcBorders>
              <w:top w:val="nil"/>
              <w:left w:val="single" w:sz="4" w:space="0" w:color="auto"/>
              <w:bottom w:val="single" w:sz="4" w:space="0" w:color="auto"/>
              <w:right w:val="nil"/>
            </w:tcBorders>
            <w:shd w:val="clear" w:color="000000" w:fill="FFFFFF"/>
            <w:noWrap/>
            <w:vAlign w:val="bottom"/>
            <w:hideMark/>
          </w:tcPr>
          <w:p w14:paraId="4802B1A7" w14:textId="77777777" w:rsidR="00772DB1" w:rsidRPr="00772DB1" w:rsidRDefault="00772DB1" w:rsidP="00772DB1">
            <w:pPr>
              <w:spacing w:after="0" w:line="240" w:lineRule="auto"/>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single" w:sz="4" w:space="0" w:color="auto"/>
              <w:right w:val="nil"/>
            </w:tcBorders>
            <w:shd w:val="clear" w:color="000000" w:fill="FFFFFF"/>
            <w:noWrap/>
            <w:vAlign w:val="bottom"/>
            <w:hideMark/>
          </w:tcPr>
          <w:p w14:paraId="2A663560" w14:textId="77777777" w:rsidR="00772DB1" w:rsidRPr="00772DB1" w:rsidRDefault="00772DB1" w:rsidP="00772DB1">
            <w:pPr>
              <w:spacing w:after="0" w:line="240" w:lineRule="auto"/>
              <w:jc w:val="center"/>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n</w:t>
            </w:r>
          </w:p>
        </w:tc>
        <w:tc>
          <w:tcPr>
            <w:tcW w:w="992" w:type="dxa"/>
            <w:tcBorders>
              <w:top w:val="nil"/>
              <w:left w:val="nil"/>
              <w:bottom w:val="single" w:sz="4" w:space="0" w:color="auto"/>
              <w:right w:val="single" w:sz="4" w:space="0" w:color="auto"/>
            </w:tcBorders>
            <w:shd w:val="clear" w:color="000000" w:fill="FFFFFF"/>
            <w:noWrap/>
            <w:vAlign w:val="bottom"/>
            <w:hideMark/>
          </w:tcPr>
          <w:p w14:paraId="2E1A7852" w14:textId="77777777" w:rsidR="00772DB1" w:rsidRPr="00772DB1" w:rsidRDefault="00772DB1" w:rsidP="00772DB1">
            <w:pPr>
              <w:spacing w:after="0" w:line="240" w:lineRule="auto"/>
              <w:jc w:val="center"/>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c>
          <w:tcPr>
            <w:tcW w:w="992" w:type="dxa"/>
            <w:tcBorders>
              <w:top w:val="nil"/>
              <w:left w:val="nil"/>
              <w:bottom w:val="single" w:sz="4" w:space="0" w:color="auto"/>
              <w:right w:val="nil"/>
            </w:tcBorders>
            <w:shd w:val="clear" w:color="000000" w:fill="FFFFFF"/>
            <w:noWrap/>
            <w:vAlign w:val="bottom"/>
            <w:hideMark/>
          </w:tcPr>
          <w:p w14:paraId="4886B077" w14:textId="77777777" w:rsidR="00772DB1" w:rsidRPr="00772DB1" w:rsidRDefault="00772DB1" w:rsidP="00772DB1">
            <w:pPr>
              <w:spacing w:after="0" w:line="240" w:lineRule="auto"/>
              <w:jc w:val="center"/>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n</w:t>
            </w:r>
          </w:p>
        </w:tc>
        <w:tc>
          <w:tcPr>
            <w:tcW w:w="992" w:type="dxa"/>
            <w:tcBorders>
              <w:top w:val="nil"/>
              <w:left w:val="nil"/>
              <w:bottom w:val="single" w:sz="4" w:space="0" w:color="auto"/>
              <w:right w:val="nil"/>
            </w:tcBorders>
            <w:shd w:val="clear" w:color="000000" w:fill="FFFFFF"/>
            <w:noWrap/>
            <w:vAlign w:val="bottom"/>
            <w:hideMark/>
          </w:tcPr>
          <w:p w14:paraId="722C946D" w14:textId="77777777" w:rsidR="00772DB1" w:rsidRPr="00772DB1" w:rsidRDefault="00772DB1" w:rsidP="00772DB1">
            <w:pPr>
              <w:spacing w:after="0" w:line="240" w:lineRule="auto"/>
              <w:jc w:val="center"/>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c>
          <w:tcPr>
            <w:tcW w:w="992" w:type="dxa"/>
            <w:tcBorders>
              <w:top w:val="nil"/>
              <w:left w:val="single" w:sz="4" w:space="0" w:color="auto"/>
              <w:bottom w:val="single" w:sz="4" w:space="0" w:color="auto"/>
              <w:right w:val="nil"/>
            </w:tcBorders>
            <w:shd w:val="clear" w:color="000000" w:fill="FFFFFF"/>
            <w:noWrap/>
            <w:vAlign w:val="bottom"/>
            <w:hideMark/>
          </w:tcPr>
          <w:p w14:paraId="33471994" w14:textId="77777777" w:rsidR="00772DB1" w:rsidRPr="00772DB1" w:rsidRDefault="00772DB1" w:rsidP="00772DB1">
            <w:pPr>
              <w:spacing w:after="0" w:line="240" w:lineRule="auto"/>
              <w:jc w:val="center"/>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n</w:t>
            </w:r>
          </w:p>
        </w:tc>
        <w:tc>
          <w:tcPr>
            <w:tcW w:w="993" w:type="dxa"/>
            <w:tcBorders>
              <w:top w:val="nil"/>
              <w:left w:val="nil"/>
              <w:bottom w:val="single" w:sz="4" w:space="0" w:color="auto"/>
              <w:right w:val="single" w:sz="4" w:space="0" w:color="auto"/>
            </w:tcBorders>
            <w:shd w:val="clear" w:color="000000" w:fill="FFFFFF"/>
            <w:noWrap/>
            <w:vAlign w:val="bottom"/>
            <w:hideMark/>
          </w:tcPr>
          <w:p w14:paraId="49ACFF88" w14:textId="77777777" w:rsidR="00772DB1" w:rsidRPr="00772DB1" w:rsidRDefault="00772DB1" w:rsidP="00772DB1">
            <w:pPr>
              <w:spacing w:after="0" w:line="240" w:lineRule="auto"/>
              <w:jc w:val="center"/>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r>
      <w:tr w:rsidR="00B4627E" w:rsidRPr="007E2527" w14:paraId="49686BE6" w14:textId="77777777" w:rsidTr="006947E3">
        <w:trPr>
          <w:trHeight w:val="300"/>
        </w:trPr>
        <w:tc>
          <w:tcPr>
            <w:tcW w:w="2381" w:type="dxa"/>
            <w:tcBorders>
              <w:top w:val="dotted" w:sz="4" w:space="0" w:color="auto"/>
              <w:left w:val="single" w:sz="4" w:space="0" w:color="auto"/>
              <w:bottom w:val="nil"/>
              <w:right w:val="nil"/>
            </w:tcBorders>
            <w:shd w:val="clear" w:color="000000" w:fill="FFFFFF"/>
            <w:noWrap/>
            <w:vAlign w:val="bottom"/>
            <w:hideMark/>
          </w:tcPr>
          <w:p w14:paraId="38CAF3FF" w14:textId="77777777" w:rsidR="00772DB1" w:rsidRPr="00772DB1" w:rsidRDefault="00772DB1" w:rsidP="00772DB1">
            <w:pPr>
              <w:spacing w:after="0" w:line="240" w:lineRule="auto"/>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Academic Hub</w:t>
            </w:r>
          </w:p>
        </w:tc>
        <w:tc>
          <w:tcPr>
            <w:tcW w:w="992" w:type="dxa"/>
            <w:tcBorders>
              <w:top w:val="dotted" w:sz="4" w:space="0" w:color="auto"/>
              <w:left w:val="single" w:sz="4" w:space="0" w:color="auto"/>
              <w:bottom w:val="nil"/>
              <w:right w:val="nil"/>
            </w:tcBorders>
            <w:shd w:val="clear" w:color="000000" w:fill="FFFFFF"/>
            <w:noWrap/>
            <w:vAlign w:val="bottom"/>
            <w:hideMark/>
          </w:tcPr>
          <w:p w14:paraId="5CFF53F4"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&lt;7</w:t>
            </w:r>
          </w:p>
        </w:tc>
        <w:tc>
          <w:tcPr>
            <w:tcW w:w="992" w:type="dxa"/>
            <w:tcBorders>
              <w:top w:val="dotted" w:sz="4" w:space="0" w:color="auto"/>
              <w:left w:val="nil"/>
              <w:bottom w:val="nil"/>
              <w:right w:val="single" w:sz="4" w:space="0" w:color="auto"/>
            </w:tcBorders>
            <w:shd w:val="clear" w:color="000000" w:fill="FFFFFF"/>
            <w:noWrap/>
            <w:vAlign w:val="bottom"/>
            <w:hideMark/>
          </w:tcPr>
          <w:p w14:paraId="4A449B12"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w:t>
            </w:r>
          </w:p>
        </w:tc>
        <w:tc>
          <w:tcPr>
            <w:tcW w:w="992" w:type="dxa"/>
            <w:tcBorders>
              <w:top w:val="dotted" w:sz="4" w:space="0" w:color="auto"/>
              <w:left w:val="nil"/>
              <w:bottom w:val="nil"/>
              <w:right w:val="nil"/>
            </w:tcBorders>
            <w:shd w:val="clear" w:color="000000" w:fill="FFFFFF"/>
            <w:noWrap/>
            <w:vAlign w:val="bottom"/>
            <w:hideMark/>
          </w:tcPr>
          <w:p w14:paraId="44FDDCCD"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&lt;7</w:t>
            </w:r>
          </w:p>
        </w:tc>
        <w:tc>
          <w:tcPr>
            <w:tcW w:w="992" w:type="dxa"/>
            <w:tcBorders>
              <w:top w:val="dotted" w:sz="4" w:space="0" w:color="auto"/>
              <w:left w:val="nil"/>
              <w:bottom w:val="nil"/>
              <w:right w:val="nil"/>
            </w:tcBorders>
            <w:shd w:val="clear" w:color="000000" w:fill="FFFFFF"/>
            <w:noWrap/>
            <w:vAlign w:val="bottom"/>
            <w:hideMark/>
          </w:tcPr>
          <w:p w14:paraId="5A0C8774"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w:t>
            </w:r>
          </w:p>
        </w:tc>
        <w:tc>
          <w:tcPr>
            <w:tcW w:w="992" w:type="dxa"/>
            <w:tcBorders>
              <w:top w:val="dotted" w:sz="4" w:space="0" w:color="auto"/>
              <w:left w:val="single" w:sz="4" w:space="0" w:color="auto"/>
              <w:bottom w:val="nil"/>
              <w:right w:val="nil"/>
            </w:tcBorders>
            <w:shd w:val="clear" w:color="000000" w:fill="FFFFFF"/>
            <w:noWrap/>
            <w:vAlign w:val="bottom"/>
            <w:hideMark/>
          </w:tcPr>
          <w:p w14:paraId="2DB544F5"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871</w:t>
            </w:r>
          </w:p>
        </w:tc>
        <w:tc>
          <w:tcPr>
            <w:tcW w:w="993" w:type="dxa"/>
            <w:tcBorders>
              <w:top w:val="dotted" w:sz="4" w:space="0" w:color="auto"/>
              <w:left w:val="nil"/>
              <w:bottom w:val="nil"/>
              <w:right w:val="single" w:sz="4" w:space="0" w:color="auto"/>
            </w:tcBorders>
            <w:shd w:val="clear" w:color="000000" w:fill="FFFFFF"/>
            <w:noWrap/>
            <w:vAlign w:val="bottom"/>
            <w:hideMark/>
          </w:tcPr>
          <w:p w14:paraId="1E23405A"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100%</w:t>
            </w:r>
          </w:p>
        </w:tc>
      </w:tr>
      <w:tr w:rsidR="00B4627E" w:rsidRPr="007E2527" w14:paraId="1DFB459F"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46004107"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&lt;=25</w:t>
            </w:r>
          </w:p>
        </w:tc>
        <w:tc>
          <w:tcPr>
            <w:tcW w:w="992" w:type="dxa"/>
            <w:tcBorders>
              <w:top w:val="nil"/>
              <w:left w:val="single" w:sz="4" w:space="0" w:color="auto"/>
              <w:bottom w:val="nil"/>
              <w:right w:val="nil"/>
            </w:tcBorders>
            <w:shd w:val="clear" w:color="000000" w:fill="FFFFFF"/>
            <w:noWrap/>
            <w:vAlign w:val="bottom"/>
            <w:hideMark/>
          </w:tcPr>
          <w:p w14:paraId="12CB87A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251FF0E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5569A29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&lt;7</w:t>
            </w:r>
          </w:p>
        </w:tc>
        <w:tc>
          <w:tcPr>
            <w:tcW w:w="992" w:type="dxa"/>
            <w:tcBorders>
              <w:top w:val="nil"/>
              <w:left w:val="nil"/>
              <w:bottom w:val="nil"/>
              <w:right w:val="single" w:sz="4" w:space="0" w:color="auto"/>
            </w:tcBorders>
            <w:shd w:val="clear" w:color="000000" w:fill="FFFFFF"/>
            <w:noWrap/>
            <w:vAlign w:val="bottom"/>
            <w:hideMark/>
          </w:tcPr>
          <w:p w14:paraId="508F3812"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c>
          <w:tcPr>
            <w:tcW w:w="992" w:type="dxa"/>
            <w:tcBorders>
              <w:top w:val="nil"/>
              <w:left w:val="nil"/>
              <w:bottom w:val="nil"/>
              <w:right w:val="nil"/>
            </w:tcBorders>
            <w:shd w:val="clear" w:color="000000" w:fill="FFFFFF"/>
            <w:noWrap/>
            <w:vAlign w:val="bottom"/>
            <w:hideMark/>
          </w:tcPr>
          <w:p w14:paraId="2166F3B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42</w:t>
            </w:r>
          </w:p>
        </w:tc>
        <w:tc>
          <w:tcPr>
            <w:tcW w:w="993" w:type="dxa"/>
            <w:tcBorders>
              <w:top w:val="nil"/>
              <w:left w:val="nil"/>
              <w:bottom w:val="nil"/>
              <w:right w:val="single" w:sz="4" w:space="0" w:color="auto"/>
            </w:tcBorders>
            <w:shd w:val="clear" w:color="000000" w:fill="FFFFFF"/>
            <w:noWrap/>
            <w:vAlign w:val="bottom"/>
            <w:hideMark/>
          </w:tcPr>
          <w:p w14:paraId="05A1746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4.8%</w:t>
            </w:r>
          </w:p>
        </w:tc>
      </w:tr>
      <w:tr w:rsidR="00B4627E" w:rsidRPr="007E2527" w14:paraId="15F62741"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4BAAB310"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26-35</w:t>
            </w:r>
          </w:p>
        </w:tc>
        <w:tc>
          <w:tcPr>
            <w:tcW w:w="992" w:type="dxa"/>
            <w:tcBorders>
              <w:top w:val="nil"/>
              <w:left w:val="single" w:sz="4" w:space="0" w:color="auto"/>
              <w:bottom w:val="nil"/>
              <w:right w:val="nil"/>
            </w:tcBorders>
            <w:shd w:val="clear" w:color="000000" w:fill="FFFFFF"/>
            <w:noWrap/>
            <w:vAlign w:val="bottom"/>
            <w:hideMark/>
          </w:tcPr>
          <w:p w14:paraId="6EA43F8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2E2632A1"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0A71057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2CEB3179"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55D5ABDF"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236</w:t>
            </w:r>
          </w:p>
        </w:tc>
        <w:tc>
          <w:tcPr>
            <w:tcW w:w="993" w:type="dxa"/>
            <w:tcBorders>
              <w:top w:val="nil"/>
              <w:left w:val="nil"/>
              <w:bottom w:val="nil"/>
              <w:right w:val="single" w:sz="4" w:space="0" w:color="auto"/>
            </w:tcBorders>
            <w:shd w:val="clear" w:color="000000" w:fill="FFFFFF"/>
            <w:noWrap/>
            <w:vAlign w:val="bottom"/>
            <w:hideMark/>
          </w:tcPr>
          <w:p w14:paraId="012F7DB5"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27.1%</w:t>
            </w:r>
          </w:p>
        </w:tc>
      </w:tr>
      <w:tr w:rsidR="00B4627E" w:rsidRPr="007E2527" w14:paraId="3A46A1E8"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1F4C9952"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36-45</w:t>
            </w:r>
          </w:p>
        </w:tc>
        <w:tc>
          <w:tcPr>
            <w:tcW w:w="992" w:type="dxa"/>
            <w:tcBorders>
              <w:top w:val="nil"/>
              <w:left w:val="single" w:sz="4" w:space="0" w:color="auto"/>
              <w:bottom w:val="nil"/>
              <w:right w:val="nil"/>
            </w:tcBorders>
            <w:shd w:val="clear" w:color="000000" w:fill="FFFFFF"/>
            <w:noWrap/>
            <w:vAlign w:val="bottom"/>
            <w:hideMark/>
          </w:tcPr>
          <w:p w14:paraId="58A2A050"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71ED0420"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2CC426B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7C0E8502"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54119CF4"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291</w:t>
            </w:r>
          </w:p>
        </w:tc>
        <w:tc>
          <w:tcPr>
            <w:tcW w:w="993" w:type="dxa"/>
            <w:tcBorders>
              <w:top w:val="nil"/>
              <w:left w:val="nil"/>
              <w:bottom w:val="nil"/>
              <w:right w:val="single" w:sz="4" w:space="0" w:color="auto"/>
            </w:tcBorders>
            <w:shd w:val="clear" w:color="000000" w:fill="FFFFFF"/>
            <w:noWrap/>
            <w:vAlign w:val="bottom"/>
            <w:hideMark/>
          </w:tcPr>
          <w:p w14:paraId="42BF26F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33.4%</w:t>
            </w:r>
          </w:p>
        </w:tc>
      </w:tr>
      <w:tr w:rsidR="00B4627E" w:rsidRPr="007E2527" w14:paraId="42320F53"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42BE0265"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46-55</w:t>
            </w:r>
          </w:p>
        </w:tc>
        <w:tc>
          <w:tcPr>
            <w:tcW w:w="992" w:type="dxa"/>
            <w:tcBorders>
              <w:top w:val="nil"/>
              <w:left w:val="single" w:sz="4" w:space="0" w:color="auto"/>
              <w:bottom w:val="nil"/>
              <w:right w:val="nil"/>
            </w:tcBorders>
            <w:shd w:val="clear" w:color="000000" w:fill="FFFFFF"/>
            <w:noWrap/>
            <w:vAlign w:val="bottom"/>
            <w:hideMark/>
          </w:tcPr>
          <w:p w14:paraId="0E6EB09D"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&lt;7</w:t>
            </w:r>
          </w:p>
        </w:tc>
        <w:tc>
          <w:tcPr>
            <w:tcW w:w="992" w:type="dxa"/>
            <w:tcBorders>
              <w:top w:val="nil"/>
              <w:left w:val="nil"/>
              <w:bottom w:val="nil"/>
              <w:right w:val="single" w:sz="4" w:space="0" w:color="auto"/>
            </w:tcBorders>
            <w:shd w:val="clear" w:color="000000" w:fill="FFFFFF"/>
            <w:noWrap/>
            <w:vAlign w:val="bottom"/>
            <w:hideMark/>
          </w:tcPr>
          <w:p w14:paraId="477A3B4B"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c>
          <w:tcPr>
            <w:tcW w:w="992" w:type="dxa"/>
            <w:tcBorders>
              <w:top w:val="nil"/>
              <w:left w:val="nil"/>
              <w:bottom w:val="nil"/>
              <w:right w:val="nil"/>
            </w:tcBorders>
            <w:shd w:val="clear" w:color="000000" w:fill="FFFFFF"/>
            <w:noWrap/>
            <w:vAlign w:val="bottom"/>
            <w:hideMark/>
          </w:tcPr>
          <w:p w14:paraId="3741984B"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&lt;7</w:t>
            </w:r>
          </w:p>
        </w:tc>
        <w:tc>
          <w:tcPr>
            <w:tcW w:w="992" w:type="dxa"/>
            <w:tcBorders>
              <w:top w:val="nil"/>
              <w:left w:val="nil"/>
              <w:bottom w:val="nil"/>
              <w:right w:val="nil"/>
            </w:tcBorders>
            <w:shd w:val="clear" w:color="000000" w:fill="FFFFFF"/>
            <w:noWrap/>
            <w:vAlign w:val="bottom"/>
            <w:hideMark/>
          </w:tcPr>
          <w:p w14:paraId="6A7C4C3C"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c>
          <w:tcPr>
            <w:tcW w:w="992" w:type="dxa"/>
            <w:tcBorders>
              <w:top w:val="nil"/>
              <w:left w:val="single" w:sz="4" w:space="0" w:color="auto"/>
              <w:bottom w:val="nil"/>
              <w:right w:val="nil"/>
            </w:tcBorders>
            <w:shd w:val="clear" w:color="000000" w:fill="FFFFFF"/>
            <w:noWrap/>
            <w:vAlign w:val="bottom"/>
            <w:hideMark/>
          </w:tcPr>
          <w:p w14:paraId="3D859594"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196</w:t>
            </w:r>
          </w:p>
        </w:tc>
        <w:tc>
          <w:tcPr>
            <w:tcW w:w="993" w:type="dxa"/>
            <w:tcBorders>
              <w:top w:val="nil"/>
              <w:left w:val="nil"/>
              <w:bottom w:val="nil"/>
              <w:right w:val="single" w:sz="4" w:space="0" w:color="auto"/>
            </w:tcBorders>
            <w:shd w:val="clear" w:color="000000" w:fill="FFFFFF"/>
            <w:noWrap/>
            <w:vAlign w:val="bottom"/>
            <w:hideMark/>
          </w:tcPr>
          <w:p w14:paraId="48C82B4D"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22.5%</w:t>
            </w:r>
          </w:p>
        </w:tc>
      </w:tr>
      <w:tr w:rsidR="00B4627E" w:rsidRPr="007E2527" w14:paraId="576091E1"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1582C1A4"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56-65</w:t>
            </w:r>
          </w:p>
        </w:tc>
        <w:tc>
          <w:tcPr>
            <w:tcW w:w="992" w:type="dxa"/>
            <w:tcBorders>
              <w:top w:val="nil"/>
              <w:left w:val="single" w:sz="4" w:space="0" w:color="auto"/>
              <w:bottom w:val="nil"/>
              <w:right w:val="nil"/>
            </w:tcBorders>
            <w:shd w:val="clear" w:color="000000" w:fill="FFFFFF"/>
            <w:noWrap/>
            <w:vAlign w:val="bottom"/>
            <w:hideMark/>
          </w:tcPr>
          <w:p w14:paraId="544B65ED"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6B921B8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5F36C922"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53CEF51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459D681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101</w:t>
            </w:r>
          </w:p>
        </w:tc>
        <w:tc>
          <w:tcPr>
            <w:tcW w:w="993" w:type="dxa"/>
            <w:tcBorders>
              <w:top w:val="nil"/>
              <w:left w:val="nil"/>
              <w:bottom w:val="nil"/>
              <w:right w:val="single" w:sz="4" w:space="0" w:color="auto"/>
            </w:tcBorders>
            <w:shd w:val="clear" w:color="000000" w:fill="FFFFFF"/>
            <w:noWrap/>
            <w:vAlign w:val="bottom"/>
            <w:hideMark/>
          </w:tcPr>
          <w:p w14:paraId="42AF3A6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11.6%</w:t>
            </w:r>
          </w:p>
        </w:tc>
      </w:tr>
      <w:tr w:rsidR="00B4627E" w:rsidRPr="007E2527" w14:paraId="4DC3F2DD"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2EC9465F"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&gt;=66</w:t>
            </w:r>
          </w:p>
        </w:tc>
        <w:tc>
          <w:tcPr>
            <w:tcW w:w="992" w:type="dxa"/>
            <w:tcBorders>
              <w:top w:val="nil"/>
              <w:left w:val="single" w:sz="4" w:space="0" w:color="auto"/>
              <w:bottom w:val="nil"/>
              <w:right w:val="nil"/>
            </w:tcBorders>
            <w:shd w:val="clear" w:color="000000" w:fill="FFFFFF"/>
            <w:noWrap/>
            <w:vAlign w:val="bottom"/>
            <w:hideMark/>
          </w:tcPr>
          <w:p w14:paraId="7A9D77FC"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0610F7B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53FBA9A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78A84FC5"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6C092C2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&lt;7</w:t>
            </w:r>
          </w:p>
        </w:tc>
        <w:tc>
          <w:tcPr>
            <w:tcW w:w="993" w:type="dxa"/>
            <w:tcBorders>
              <w:top w:val="nil"/>
              <w:left w:val="nil"/>
              <w:bottom w:val="nil"/>
              <w:right w:val="single" w:sz="4" w:space="0" w:color="auto"/>
            </w:tcBorders>
            <w:shd w:val="clear" w:color="000000" w:fill="FFFFFF"/>
            <w:noWrap/>
            <w:vAlign w:val="bottom"/>
            <w:hideMark/>
          </w:tcPr>
          <w:p w14:paraId="36F0C50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r>
      <w:tr w:rsidR="00B4627E" w:rsidRPr="007E2527" w14:paraId="4038DE87" w14:textId="77777777" w:rsidTr="006947E3">
        <w:trPr>
          <w:trHeight w:val="300"/>
        </w:trPr>
        <w:tc>
          <w:tcPr>
            <w:tcW w:w="2381" w:type="dxa"/>
            <w:tcBorders>
              <w:top w:val="dotted" w:sz="4" w:space="0" w:color="auto"/>
              <w:left w:val="single" w:sz="4" w:space="0" w:color="auto"/>
              <w:bottom w:val="nil"/>
              <w:right w:val="nil"/>
            </w:tcBorders>
            <w:shd w:val="clear" w:color="000000" w:fill="FFFFFF"/>
            <w:noWrap/>
            <w:vAlign w:val="bottom"/>
            <w:hideMark/>
          </w:tcPr>
          <w:p w14:paraId="7148E724" w14:textId="23EC1C1B" w:rsidR="00772DB1" w:rsidRPr="00772DB1" w:rsidRDefault="00772DB1" w:rsidP="00772DB1">
            <w:pPr>
              <w:spacing w:after="0" w:line="240" w:lineRule="auto"/>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Finance &amp; Operations</w:t>
            </w:r>
          </w:p>
        </w:tc>
        <w:tc>
          <w:tcPr>
            <w:tcW w:w="992" w:type="dxa"/>
            <w:tcBorders>
              <w:top w:val="dotted" w:sz="4" w:space="0" w:color="auto"/>
              <w:left w:val="single" w:sz="4" w:space="0" w:color="auto"/>
              <w:bottom w:val="nil"/>
              <w:right w:val="nil"/>
            </w:tcBorders>
            <w:shd w:val="clear" w:color="000000" w:fill="FFFFFF"/>
            <w:noWrap/>
            <w:vAlign w:val="bottom"/>
            <w:hideMark/>
          </w:tcPr>
          <w:p w14:paraId="14D84EA3"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nil"/>
              <w:bottom w:val="nil"/>
              <w:right w:val="single" w:sz="4" w:space="0" w:color="auto"/>
            </w:tcBorders>
            <w:shd w:val="clear" w:color="000000" w:fill="FFFFFF"/>
            <w:noWrap/>
            <w:vAlign w:val="bottom"/>
            <w:hideMark/>
          </w:tcPr>
          <w:p w14:paraId="494D6EBF"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nil"/>
              <w:bottom w:val="nil"/>
              <w:right w:val="nil"/>
            </w:tcBorders>
            <w:shd w:val="clear" w:color="000000" w:fill="FFFFFF"/>
            <w:noWrap/>
            <w:vAlign w:val="bottom"/>
            <w:hideMark/>
          </w:tcPr>
          <w:p w14:paraId="3A9E83AF"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nil"/>
              <w:bottom w:val="nil"/>
              <w:right w:val="nil"/>
            </w:tcBorders>
            <w:shd w:val="clear" w:color="000000" w:fill="FFFFFF"/>
            <w:noWrap/>
            <w:vAlign w:val="bottom"/>
            <w:hideMark/>
          </w:tcPr>
          <w:p w14:paraId="6E2E926F"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single" w:sz="4" w:space="0" w:color="auto"/>
              <w:bottom w:val="nil"/>
              <w:right w:val="nil"/>
            </w:tcBorders>
            <w:shd w:val="clear" w:color="000000" w:fill="FFFFFF"/>
            <w:noWrap/>
            <w:vAlign w:val="bottom"/>
            <w:hideMark/>
          </w:tcPr>
          <w:p w14:paraId="0BB49F91"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1051</w:t>
            </w:r>
          </w:p>
        </w:tc>
        <w:tc>
          <w:tcPr>
            <w:tcW w:w="993" w:type="dxa"/>
            <w:tcBorders>
              <w:top w:val="dotted" w:sz="4" w:space="0" w:color="auto"/>
              <w:left w:val="nil"/>
              <w:bottom w:val="nil"/>
              <w:right w:val="single" w:sz="4" w:space="0" w:color="auto"/>
            </w:tcBorders>
            <w:shd w:val="clear" w:color="000000" w:fill="FFFFFF"/>
            <w:noWrap/>
            <w:vAlign w:val="bottom"/>
            <w:hideMark/>
          </w:tcPr>
          <w:p w14:paraId="2B5A3F3D"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100%</w:t>
            </w:r>
          </w:p>
        </w:tc>
      </w:tr>
      <w:tr w:rsidR="00B4627E" w:rsidRPr="007E2527" w14:paraId="64AEA618"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60BDB2F0"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&lt;=25</w:t>
            </w:r>
          </w:p>
        </w:tc>
        <w:tc>
          <w:tcPr>
            <w:tcW w:w="992" w:type="dxa"/>
            <w:tcBorders>
              <w:top w:val="nil"/>
              <w:left w:val="single" w:sz="4" w:space="0" w:color="auto"/>
              <w:bottom w:val="nil"/>
              <w:right w:val="nil"/>
            </w:tcBorders>
            <w:shd w:val="clear" w:color="000000" w:fill="FFFFFF"/>
            <w:noWrap/>
            <w:vAlign w:val="bottom"/>
            <w:hideMark/>
          </w:tcPr>
          <w:p w14:paraId="68868F7B"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0D3B49E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368F3C8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3011A21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2F843C2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37</w:t>
            </w:r>
          </w:p>
        </w:tc>
        <w:tc>
          <w:tcPr>
            <w:tcW w:w="993" w:type="dxa"/>
            <w:tcBorders>
              <w:top w:val="nil"/>
              <w:left w:val="nil"/>
              <w:bottom w:val="nil"/>
              <w:right w:val="single" w:sz="4" w:space="0" w:color="auto"/>
            </w:tcBorders>
            <w:shd w:val="clear" w:color="000000" w:fill="FFFFFF"/>
            <w:noWrap/>
            <w:vAlign w:val="bottom"/>
            <w:hideMark/>
          </w:tcPr>
          <w:p w14:paraId="7F0457F1"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3.5%</w:t>
            </w:r>
          </w:p>
        </w:tc>
      </w:tr>
      <w:tr w:rsidR="00B4627E" w:rsidRPr="007E2527" w14:paraId="29ACA3FE"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1B26D624"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26-35</w:t>
            </w:r>
          </w:p>
        </w:tc>
        <w:tc>
          <w:tcPr>
            <w:tcW w:w="992" w:type="dxa"/>
            <w:tcBorders>
              <w:top w:val="nil"/>
              <w:left w:val="single" w:sz="4" w:space="0" w:color="auto"/>
              <w:bottom w:val="nil"/>
              <w:right w:val="nil"/>
            </w:tcBorders>
            <w:shd w:val="clear" w:color="000000" w:fill="FFFFFF"/>
            <w:noWrap/>
            <w:vAlign w:val="bottom"/>
            <w:hideMark/>
          </w:tcPr>
          <w:p w14:paraId="3BF1DA60"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485370A9"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4415F0C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18C356B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18E28273"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166</w:t>
            </w:r>
          </w:p>
        </w:tc>
        <w:tc>
          <w:tcPr>
            <w:tcW w:w="993" w:type="dxa"/>
            <w:tcBorders>
              <w:top w:val="nil"/>
              <w:left w:val="nil"/>
              <w:bottom w:val="nil"/>
              <w:right w:val="single" w:sz="4" w:space="0" w:color="auto"/>
            </w:tcBorders>
            <w:shd w:val="clear" w:color="000000" w:fill="FFFFFF"/>
            <w:noWrap/>
            <w:vAlign w:val="bottom"/>
            <w:hideMark/>
          </w:tcPr>
          <w:p w14:paraId="44B332B2"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15.8%</w:t>
            </w:r>
          </w:p>
        </w:tc>
      </w:tr>
      <w:tr w:rsidR="00B4627E" w:rsidRPr="007E2527" w14:paraId="6FD1B550"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5F1C0C22"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36-45</w:t>
            </w:r>
          </w:p>
        </w:tc>
        <w:tc>
          <w:tcPr>
            <w:tcW w:w="992" w:type="dxa"/>
            <w:tcBorders>
              <w:top w:val="nil"/>
              <w:left w:val="single" w:sz="4" w:space="0" w:color="auto"/>
              <w:bottom w:val="nil"/>
              <w:right w:val="nil"/>
            </w:tcBorders>
            <w:shd w:val="clear" w:color="000000" w:fill="FFFFFF"/>
            <w:noWrap/>
            <w:vAlign w:val="bottom"/>
            <w:hideMark/>
          </w:tcPr>
          <w:p w14:paraId="520A4B6B"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6FFC2441"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3707D065"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41D2730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4194BB0D"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227</w:t>
            </w:r>
          </w:p>
        </w:tc>
        <w:tc>
          <w:tcPr>
            <w:tcW w:w="993" w:type="dxa"/>
            <w:tcBorders>
              <w:top w:val="nil"/>
              <w:left w:val="nil"/>
              <w:bottom w:val="nil"/>
              <w:right w:val="single" w:sz="4" w:space="0" w:color="auto"/>
            </w:tcBorders>
            <w:shd w:val="clear" w:color="000000" w:fill="FFFFFF"/>
            <w:noWrap/>
            <w:vAlign w:val="bottom"/>
            <w:hideMark/>
          </w:tcPr>
          <w:p w14:paraId="01D8A8D5"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21.6%</w:t>
            </w:r>
          </w:p>
        </w:tc>
      </w:tr>
      <w:tr w:rsidR="00B4627E" w:rsidRPr="007E2527" w14:paraId="24BC2A8E"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5B25B846"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46-55</w:t>
            </w:r>
          </w:p>
        </w:tc>
        <w:tc>
          <w:tcPr>
            <w:tcW w:w="992" w:type="dxa"/>
            <w:tcBorders>
              <w:top w:val="nil"/>
              <w:left w:val="single" w:sz="4" w:space="0" w:color="auto"/>
              <w:bottom w:val="nil"/>
              <w:right w:val="nil"/>
            </w:tcBorders>
            <w:shd w:val="clear" w:color="000000" w:fill="FFFFFF"/>
            <w:noWrap/>
            <w:vAlign w:val="bottom"/>
            <w:hideMark/>
          </w:tcPr>
          <w:p w14:paraId="511B29B9"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1A1C8550"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5332FF24"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6672E0F1"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602C67B9"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287</w:t>
            </w:r>
          </w:p>
        </w:tc>
        <w:tc>
          <w:tcPr>
            <w:tcW w:w="993" w:type="dxa"/>
            <w:tcBorders>
              <w:top w:val="nil"/>
              <w:left w:val="nil"/>
              <w:bottom w:val="nil"/>
              <w:right w:val="single" w:sz="4" w:space="0" w:color="auto"/>
            </w:tcBorders>
            <w:shd w:val="clear" w:color="000000" w:fill="FFFFFF"/>
            <w:noWrap/>
            <w:vAlign w:val="bottom"/>
            <w:hideMark/>
          </w:tcPr>
          <w:p w14:paraId="22940CCF"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27.3%</w:t>
            </w:r>
          </w:p>
        </w:tc>
      </w:tr>
      <w:tr w:rsidR="00B4627E" w:rsidRPr="007E2527" w14:paraId="036DADFA"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61B95CC1"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56-65</w:t>
            </w:r>
          </w:p>
        </w:tc>
        <w:tc>
          <w:tcPr>
            <w:tcW w:w="992" w:type="dxa"/>
            <w:tcBorders>
              <w:top w:val="nil"/>
              <w:left w:val="single" w:sz="4" w:space="0" w:color="auto"/>
              <w:bottom w:val="nil"/>
              <w:right w:val="nil"/>
            </w:tcBorders>
            <w:shd w:val="clear" w:color="000000" w:fill="FFFFFF"/>
            <w:noWrap/>
            <w:vAlign w:val="bottom"/>
            <w:hideMark/>
          </w:tcPr>
          <w:p w14:paraId="1F2849C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67A3462F"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7DC872A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0DE475D9"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1089CA65"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296</w:t>
            </w:r>
          </w:p>
        </w:tc>
        <w:tc>
          <w:tcPr>
            <w:tcW w:w="993" w:type="dxa"/>
            <w:tcBorders>
              <w:top w:val="nil"/>
              <w:left w:val="nil"/>
              <w:bottom w:val="nil"/>
              <w:right w:val="single" w:sz="4" w:space="0" w:color="auto"/>
            </w:tcBorders>
            <w:shd w:val="clear" w:color="000000" w:fill="FFFFFF"/>
            <w:noWrap/>
            <w:vAlign w:val="bottom"/>
            <w:hideMark/>
          </w:tcPr>
          <w:p w14:paraId="11263FE3"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28.2%</w:t>
            </w:r>
          </w:p>
        </w:tc>
      </w:tr>
      <w:tr w:rsidR="00B4627E" w:rsidRPr="007E2527" w14:paraId="49A98EA4"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21B80060"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&gt;=66</w:t>
            </w:r>
          </w:p>
        </w:tc>
        <w:tc>
          <w:tcPr>
            <w:tcW w:w="992" w:type="dxa"/>
            <w:tcBorders>
              <w:top w:val="nil"/>
              <w:left w:val="single" w:sz="4" w:space="0" w:color="auto"/>
              <w:bottom w:val="nil"/>
              <w:right w:val="nil"/>
            </w:tcBorders>
            <w:shd w:val="clear" w:color="000000" w:fill="FFFFFF"/>
            <w:noWrap/>
            <w:vAlign w:val="bottom"/>
            <w:hideMark/>
          </w:tcPr>
          <w:p w14:paraId="2AF33154"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4EB81DCF"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085C742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5DE1C45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3936A103"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38</w:t>
            </w:r>
          </w:p>
        </w:tc>
        <w:tc>
          <w:tcPr>
            <w:tcW w:w="993" w:type="dxa"/>
            <w:tcBorders>
              <w:top w:val="nil"/>
              <w:left w:val="nil"/>
              <w:bottom w:val="nil"/>
              <w:right w:val="single" w:sz="4" w:space="0" w:color="auto"/>
            </w:tcBorders>
            <w:shd w:val="clear" w:color="000000" w:fill="FFFFFF"/>
            <w:noWrap/>
            <w:vAlign w:val="bottom"/>
            <w:hideMark/>
          </w:tcPr>
          <w:p w14:paraId="7FCBD4A4"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3.6%</w:t>
            </w:r>
          </w:p>
        </w:tc>
      </w:tr>
      <w:tr w:rsidR="00B4627E" w:rsidRPr="007E2527" w14:paraId="6843CE17" w14:textId="77777777" w:rsidTr="006947E3">
        <w:trPr>
          <w:trHeight w:val="300"/>
        </w:trPr>
        <w:tc>
          <w:tcPr>
            <w:tcW w:w="2381" w:type="dxa"/>
            <w:tcBorders>
              <w:top w:val="dotted" w:sz="4" w:space="0" w:color="auto"/>
              <w:left w:val="single" w:sz="4" w:space="0" w:color="auto"/>
              <w:bottom w:val="nil"/>
              <w:right w:val="nil"/>
            </w:tcBorders>
            <w:shd w:val="clear" w:color="000000" w:fill="FFFFFF"/>
            <w:noWrap/>
            <w:vAlign w:val="bottom"/>
            <w:hideMark/>
          </w:tcPr>
          <w:p w14:paraId="08D1F52F" w14:textId="77777777" w:rsidR="00772DB1" w:rsidRPr="00772DB1" w:rsidRDefault="00772DB1" w:rsidP="00772DB1">
            <w:pPr>
              <w:spacing w:after="0" w:line="240" w:lineRule="auto"/>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People Services</w:t>
            </w:r>
          </w:p>
        </w:tc>
        <w:tc>
          <w:tcPr>
            <w:tcW w:w="992" w:type="dxa"/>
            <w:tcBorders>
              <w:top w:val="dotted" w:sz="4" w:space="0" w:color="auto"/>
              <w:left w:val="single" w:sz="4" w:space="0" w:color="auto"/>
              <w:bottom w:val="nil"/>
              <w:right w:val="nil"/>
            </w:tcBorders>
            <w:shd w:val="clear" w:color="000000" w:fill="FFFFFF"/>
            <w:noWrap/>
            <w:vAlign w:val="bottom"/>
            <w:hideMark/>
          </w:tcPr>
          <w:p w14:paraId="79B7CA1D"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nil"/>
              <w:bottom w:val="nil"/>
              <w:right w:val="single" w:sz="4" w:space="0" w:color="auto"/>
            </w:tcBorders>
            <w:shd w:val="clear" w:color="000000" w:fill="FFFFFF"/>
            <w:noWrap/>
            <w:vAlign w:val="bottom"/>
            <w:hideMark/>
          </w:tcPr>
          <w:p w14:paraId="1AD1A3AA"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nil"/>
              <w:bottom w:val="nil"/>
              <w:right w:val="nil"/>
            </w:tcBorders>
            <w:shd w:val="clear" w:color="000000" w:fill="FFFFFF"/>
            <w:noWrap/>
            <w:vAlign w:val="bottom"/>
            <w:hideMark/>
          </w:tcPr>
          <w:p w14:paraId="77805E3C"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nil"/>
              <w:bottom w:val="nil"/>
              <w:right w:val="nil"/>
            </w:tcBorders>
            <w:shd w:val="clear" w:color="000000" w:fill="FFFFFF"/>
            <w:noWrap/>
            <w:vAlign w:val="bottom"/>
            <w:hideMark/>
          </w:tcPr>
          <w:p w14:paraId="12AC2DD1"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 </w:t>
            </w:r>
          </w:p>
        </w:tc>
        <w:tc>
          <w:tcPr>
            <w:tcW w:w="992" w:type="dxa"/>
            <w:tcBorders>
              <w:top w:val="dotted" w:sz="4" w:space="0" w:color="auto"/>
              <w:left w:val="single" w:sz="4" w:space="0" w:color="auto"/>
              <w:bottom w:val="nil"/>
              <w:right w:val="nil"/>
            </w:tcBorders>
            <w:shd w:val="clear" w:color="000000" w:fill="FFFFFF"/>
            <w:noWrap/>
            <w:vAlign w:val="bottom"/>
            <w:hideMark/>
          </w:tcPr>
          <w:p w14:paraId="726674E1"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111</w:t>
            </w:r>
          </w:p>
        </w:tc>
        <w:tc>
          <w:tcPr>
            <w:tcW w:w="993" w:type="dxa"/>
            <w:tcBorders>
              <w:top w:val="dotted" w:sz="4" w:space="0" w:color="auto"/>
              <w:left w:val="nil"/>
              <w:bottom w:val="nil"/>
              <w:right w:val="single" w:sz="4" w:space="0" w:color="auto"/>
            </w:tcBorders>
            <w:shd w:val="clear" w:color="000000" w:fill="FFFFFF"/>
            <w:noWrap/>
            <w:vAlign w:val="bottom"/>
            <w:hideMark/>
          </w:tcPr>
          <w:p w14:paraId="5F9EC04A" w14:textId="77777777" w:rsidR="00772DB1" w:rsidRPr="00772DB1" w:rsidRDefault="00772DB1" w:rsidP="00772DB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72DB1">
              <w:rPr>
                <w:rFonts w:asciiTheme="minorHAnsi" w:eastAsia="Times New Roman" w:hAnsiTheme="minorHAnsi" w:cs="Times New Roman"/>
                <w:b/>
                <w:bCs/>
                <w:color w:val="000000"/>
                <w:kern w:val="0"/>
                <w:szCs w:val="22"/>
                <w:lang w:eastAsia="en-GB"/>
                <w14:ligatures w14:val="none"/>
              </w:rPr>
              <w:t>100%</w:t>
            </w:r>
          </w:p>
        </w:tc>
      </w:tr>
      <w:tr w:rsidR="00B4627E" w:rsidRPr="007E2527" w14:paraId="1FD6B54E"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C464830"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&lt;=25</w:t>
            </w:r>
          </w:p>
        </w:tc>
        <w:tc>
          <w:tcPr>
            <w:tcW w:w="992" w:type="dxa"/>
            <w:tcBorders>
              <w:top w:val="nil"/>
              <w:left w:val="single" w:sz="4" w:space="0" w:color="auto"/>
              <w:bottom w:val="nil"/>
              <w:right w:val="nil"/>
            </w:tcBorders>
            <w:shd w:val="clear" w:color="000000" w:fill="FFFFFF"/>
            <w:noWrap/>
            <w:vAlign w:val="bottom"/>
            <w:hideMark/>
          </w:tcPr>
          <w:p w14:paraId="7F4C0844"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22E606B3"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6D9BCD60"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0D22DF9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0DE8D703"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7</w:t>
            </w:r>
          </w:p>
        </w:tc>
        <w:tc>
          <w:tcPr>
            <w:tcW w:w="993" w:type="dxa"/>
            <w:tcBorders>
              <w:top w:val="nil"/>
              <w:left w:val="nil"/>
              <w:bottom w:val="nil"/>
              <w:right w:val="single" w:sz="4" w:space="0" w:color="auto"/>
            </w:tcBorders>
            <w:shd w:val="clear" w:color="000000" w:fill="FFFFFF"/>
            <w:noWrap/>
            <w:vAlign w:val="bottom"/>
            <w:hideMark/>
          </w:tcPr>
          <w:p w14:paraId="388D4D2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6.3%</w:t>
            </w:r>
          </w:p>
        </w:tc>
      </w:tr>
      <w:tr w:rsidR="00B4627E" w:rsidRPr="007E2527" w14:paraId="27153E2B"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AF631C7"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26-35</w:t>
            </w:r>
          </w:p>
        </w:tc>
        <w:tc>
          <w:tcPr>
            <w:tcW w:w="992" w:type="dxa"/>
            <w:tcBorders>
              <w:top w:val="nil"/>
              <w:left w:val="single" w:sz="4" w:space="0" w:color="auto"/>
              <w:bottom w:val="nil"/>
              <w:right w:val="nil"/>
            </w:tcBorders>
            <w:shd w:val="clear" w:color="000000" w:fill="FFFFFF"/>
            <w:noWrap/>
            <w:vAlign w:val="bottom"/>
            <w:hideMark/>
          </w:tcPr>
          <w:p w14:paraId="21E05ADD"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370A934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2BC0A6B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18C99759"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08C00063"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18</w:t>
            </w:r>
          </w:p>
        </w:tc>
        <w:tc>
          <w:tcPr>
            <w:tcW w:w="993" w:type="dxa"/>
            <w:tcBorders>
              <w:top w:val="nil"/>
              <w:left w:val="nil"/>
              <w:bottom w:val="nil"/>
              <w:right w:val="single" w:sz="4" w:space="0" w:color="auto"/>
            </w:tcBorders>
            <w:shd w:val="clear" w:color="000000" w:fill="FFFFFF"/>
            <w:noWrap/>
            <w:vAlign w:val="bottom"/>
            <w:hideMark/>
          </w:tcPr>
          <w:p w14:paraId="48DB7B4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16.2%</w:t>
            </w:r>
          </w:p>
        </w:tc>
      </w:tr>
      <w:tr w:rsidR="00B4627E" w:rsidRPr="007E2527" w14:paraId="0FA6D5FC"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74FEB642"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36-45</w:t>
            </w:r>
          </w:p>
        </w:tc>
        <w:tc>
          <w:tcPr>
            <w:tcW w:w="992" w:type="dxa"/>
            <w:tcBorders>
              <w:top w:val="nil"/>
              <w:left w:val="single" w:sz="4" w:space="0" w:color="auto"/>
              <w:bottom w:val="nil"/>
              <w:right w:val="nil"/>
            </w:tcBorders>
            <w:shd w:val="clear" w:color="000000" w:fill="FFFFFF"/>
            <w:noWrap/>
            <w:vAlign w:val="bottom"/>
            <w:hideMark/>
          </w:tcPr>
          <w:p w14:paraId="6AA2FC7B"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09BCFA4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31DAA92C"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2C98D0FB"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7D95F86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33</w:t>
            </w:r>
          </w:p>
        </w:tc>
        <w:tc>
          <w:tcPr>
            <w:tcW w:w="993" w:type="dxa"/>
            <w:tcBorders>
              <w:top w:val="nil"/>
              <w:left w:val="nil"/>
              <w:bottom w:val="nil"/>
              <w:right w:val="single" w:sz="4" w:space="0" w:color="auto"/>
            </w:tcBorders>
            <w:shd w:val="clear" w:color="000000" w:fill="FFFFFF"/>
            <w:noWrap/>
            <w:vAlign w:val="bottom"/>
            <w:hideMark/>
          </w:tcPr>
          <w:p w14:paraId="7D67BC11"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29.7%</w:t>
            </w:r>
          </w:p>
        </w:tc>
      </w:tr>
      <w:tr w:rsidR="00B4627E" w:rsidRPr="007E2527" w14:paraId="44B6A4D2"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0E6BD720"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46-55</w:t>
            </w:r>
          </w:p>
        </w:tc>
        <w:tc>
          <w:tcPr>
            <w:tcW w:w="992" w:type="dxa"/>
            <w:tcBorders>
              <w:top w:val="nil"/>
              <w:left w:val="single" w:sz="4" w:space="0" w:color="auto"/>
              <w:bottom w:val="nil"/>
              <w:right w:val="nil"/>
            </w:tcBorders>
            <w:shd w:val="clear" w:color="000000" w:fill="FFFFFF"/>
            <w:noWrap/>
            <w:vAlign w:val="bottom"/>
            <w:hideMark/>
          </w:tcPr>
          <w:p w14:paraId="5A28B16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662AA0E5"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0C6B614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0E7FFD2C"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5F2037A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36</w:t>
            </w:r>
          </w:p>
        </w:tc>
        <w:tc>
          <w:tcPr>
            <w:tcW w:w="993" w:type="dxa"/>
            <w:tcBorders>
              <w:top w:val="nil"/>
              <w:left w:val="nil"/>
              <w:bottom w:val="nil"/>
              <w:right w:val="single" w:sz="4" w:space="0" w:color="auto"/>
            </w:tcBorders>
            <w:shd w:val="clear" w:color="000000" w:fill="FFFFFF"/>
            <w:noWrap/>
            <w:vAlign w:val="bottom"/>
            <w:hideMark/>
          </w:tcPr>
          <w:p w14:paraId="7204FEF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32.4%</w:t>
            </w:r>
          </w:p>
        </w:tc>
      </w:tr>
      <w:tr w:rsidR="00B4627E" w:rsidRPr="007E2527" w14:paraId="0854C481" w14:textId="77777777" w:rsidTr="006947E3">
        <w:trPr>
          <w:trHeight w:val="300"/>
        </w:trPr>
        <w:tc>
          <w:tcPr>
            <w:tcW w:w="2381" w:type="dxa"/>
            <w:tcBorders>
              <w:top w:val="nil"/>
              <w:left w:val="single" w:sz="4" w:space="0" w:color="auto"/>
              <w:bottom w:val="nil"/>
              <w:right w:val="nil"/>
            </w:tcBorders>
            <w:shd w:val="clear" w:color="000000" w:fill="FFFFFF"/>
            <w:noWrap/>
            <w:vAlign w:val="bottom"/>
            <w:hideMark/>
          </w:tcPr>
          <w:p w14:paraId="2DDDEAA0"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56-65</w:t>
            </w:r>
          </w:p>
        </w:tc>
        <w:tc>
          <w:tcPr>
            <w:tcW w:w="992" w:type="dxa"/>
            <w:tcBorders>
              <w:top w:val="nil"/>
              <w:left w:val="single" w:sz="4" w:space="0" w:color="auto"/>
              <w:bottom w:val="nil"/>
              <w:right w:val="nil"/>
            </w:tcBorders>
            <w:shd w:val="clear" w:color="000000" w:fill="FFFFFF"/>
            <w:noWrap/>
            <w:vAlign w:val="bottom"/>
            <w:hideMark/>
          </w:tcPr>
          <w:p w14:paraId="357EC9E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single" w:sz="4" w:space="0" w:color="auto"/>
            </w:tcBorders>
            <w:shd w:val="clear" w:color="000000" w:fill="FFFFFF"/>
            <w:noWrap/>
            <w:vAlign w:val="bottom"/>
            <w:hideMark/>
          </w:tcPr>
          <w:p w14:paraId="5C146B39"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16624E6A"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nil"/>
              <w:right w:val="nil"/>
            </w:tcBorders>
            <w:shd w:val="clear" w:color="000000" w:fill="FFFFFF"/>
            <w:noWrap/>
            <w:vAlign w:val="bottom"/>
            <w:hideMark/>
          </w:tcPr>
          <w:p w14:paraId="5466F0C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nil"/>
              <w:right w:val="nil"/>
            </w:tcBorders>
            <w:shd w:val="clear" w:color="000000" w:fill="FFFFFF"/>
            <w:noWrap/>
            <w:vAlign w:val="bottom"/>
            <w:hideMark/>
          </w:tcPr>
          <w:p w14:paraId="0C2FEBF2"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16</w:t>
            </w:r>
          </w:p>
        </w:tc>
        <w:tc>
          <w:tcPr>
            <w:tcW w:w="993" w:type="dxa"/>
            <w:tcBorders>
              <w:top w:val="nil"/>
              <w:left w:val="nil"/>
              <w:bottom w:val="nil"/>
              <w:right w:val="single" w:sz="4" w:space="0" w:color="auto"/>
            </w:tcBorders>
            <w:shd w:val="clear" w:color="000000" w:fill="FFFFFF"/>
            <w:noWrap/>
            <w:vAlign w:val="bottom"/>
            <w:hideMark/>
          </w:tcPr>
          <w:p w14:paraId="257B5ABD"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14.4%</w:t>
            </w:r>
          </w:p>
        </w:tc>
      </w:tr>
      <w:tr w:rsidR="00B4627E" w:rsidRPr="007E2527" w14:paraId="1BC0F6D2" w14:textId="77777777" w:rsidTr="006947E3">
        <w:trPr>
          <w:trHeight w:val="315"/>
        </w:trPr>
        <w:tc>
          <w:tcPr>
            <w:tcW w:w="2381" w:type="dxa"/>
            <w:tcBorders>
              <w:top w:val="nil"/>
              <w:left w:val="single" w:sz="4" w:space="0" w:color="auto"/>
              <w:bottom w:val="double" w:sz="6" w:space="0" w:color="auto"/>
              <w:right w:val="nil"/>
            </w:tcBorders>
            <w:shd w:val="clear" w:color="000000" w:fill="FFFFFF"/>
            <w:noWrap/>
            <w:vAlign w:val="bottom"/>
            <w:hideMark/>
          </w:tcPr>
          <w:p w14:paraId="3703330C" w14:textId="77777777" w:rsidR="00772DB1" w:rsidRPr="00772DB1" w:rsidRDefault="00772DB1" w:rsidP="00772DB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&gt;=66</w:t>
            </w:r>
          </w:p>
        </w:tc>
        <w:tc>
          <w:tcPr>
            <w:tcW w:w="992" w:type="dxa"/>
            <w:tcBorders>
              <w:top w:val="nil"/>
              <w:left w:val="single" w:sz="4" w:space="0" w:color="auto"/>
              <w:bottom w:val="double" w:sz="6" w:space="0" w:color="auto"/>
              <w:right w:val="nil"/>
            </w:tcBorders>
            <w:shd w:val="clear" w:color="000000" w:fill="FFFFFF"/>
            <w:noWrap/>
            <w:vAlign w:val="bottom"/>
            <w:hideMark/>
          </w:tcPr>
          <w:p w14:paraId="10CA3751"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double" w:sz="6" w:space="0" w:color="auto"/>
              <w:right w:val="single" w:sz="4" w:space="0" w:color="auto"/>
            </w:tcBorders>
            <w:shd w:val="clear" w:color="000000" w:fill="FFFFFF"/>
            <w:noWrap/>
            <w:vAlign w:val="bottom"/>
            <w:hideMark/>
          </w:tcPr>
          <w:p w14:paraId="38B8DDBE"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double" w:sz="6" w:space="0" w:color="auto"/>
              <w:right w:val="nil"/>
            </w:tcBorders>
            <w:shd w:val="clear" w:color="000000" w:fill="FFFFFF"/>
            <w:noWrap/>
            <w:vAlign w:val="bottom"/>
            <w:hideMark/>
          </w:tcPr>
          <w:p w14:paraId="271F8828"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nil"/>
              <w:bottom w:val="double" w:sz="6" w:space="0" w:color="auto"/>
              <w:right w:val="nil"/>
            </w:tcBorders>
            <w:shd w:val="clear" w:color="000000" w:fill="FFFFFF"/>
            <w:noWrap/>
            <w:vAlign w:val="bottom"/>
            <w:hideMark/>
          </w:tcPr>
          <w:p w14:paraId="7FB740F7"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 </w:t>
            </w:r>
          </w:p>
        </w:tc>
        <w:tc>
          <w:tcPr>
            <w:tcW w:w="992" w:type="dxa"/>
            <w:tcBorders>
              <w:top w:val="nil"/>
              <w:left w:val="single" w:sz="4" w:space="0" w:color="auto"/>
              <w:bottom w:val="double" w:sz="6" w:space="0" w:color="auto"/>
              <w:right w:val="nil"/>
            </w:tcBorders>
            <w:shd w:val="clear" w:color="000000" w:fill="FFFFFF"/>
            <w:noWrap/>
            <w:vAlign w:val="bottom"/>
            <w:hideMark/>
          </w:tcPr>
          <w:p w14:paraId="34444D26"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&lt;7</w:t>
            </w:r>
          </w:p>
        </w:tc>
        <w:tc>
          <w:tcPr>
            <w:tcW w:w="993" w:type="dxa"/>
            <w:tcBorders>
              <w:top w:val="nil"/>
              <w:left w:val="nil"/>
              <w:bottom w:val="double" w:sz="6" w:space="0" w:color="auto"/>
              <w:right w:val="single" w:sz="4" w:space="0" w:color="auto"/>
            </w:tcBorders>
            <w:shd w:val="clear" w:color="000000" w:fill="FFFFFF"/>
            <w:noWrap/>
            <w:vAlign w:val="bottom"/>
            <w:hideMark/>
          </w:tcPr>
          <w:p w14:paraId="3B5089BD" w14:textId="77777777" w:rsidR="00772DB1" w:rsidRPr="00772DB1" w:rsidRDefault="00772DB1" w:rsidP="00772DB1">
            <w:pPr>
              <w:spacing w:after="0" w:line="240" w:lineRule="auto"/>
              <w:jc w:val="right"/>
              <w:rPr>
                <w:rFonts w:asciiTheme="minorHAnsi" w:eastAsia="Times New Roman" w:hAnsiTheme="minorHAnsi" w:cs="Times New Roman"/>
                <w:color w:val="000000"/>
                <w:kern w:val="0"/>
                <w:szCs w:val="22"/>
                <w:lang w:eastAsia="en-GB"/>
                <w14:ligatures w14:val="none"/>
              </w:rPr>
            </w:pPr>
            <w:r w:rsidRPr="00772DB1">
              <w:rPr>
                <w:rFonts w:asciiTheme="minorHAnsi" w:eastAsia="Times New Roman" w:hAnsiTheme="minorHAnsi" w:cs="Times New Roman"/>
                <w:color w:val="000000"/>
                <w:kern w:val="0"/>
                <w:szCs w:val="22"/>
                <w:lang w:eastAsia="en-GB"/>
                <w14:ligatures w14:val="none"/>
              </w:rPr>
              <w:t>-</w:t>
            </w:r>
          </w:p>
        </w:tc>
      </w:tr>
    </w:tbl>
    <w:p w14:paraId="61F597DB" w14:textId="77777777" w:rsidR="000D5E14" w:rsidRPr="007E2527" w:rsidRDefault="000D5E14" w:rsidP="00E07335">
      <w:pPr>
        <w:rPr>
          <w:rFonts w:asciiTheme="minorHAnsi" w:hAnsiTheme="minorHAnsi"/>
          <w:b/>
          <w:bCs/>
          <w:szCs w:val="22"/>
        </w:rPr>
      </w:pPr>
    </w:p>
    <w:p w14:paraId="6957B3C0" w14:textId="77777777" w:rsidR="00EE6FB8" w:rsidRDefault="00EE6FB8" w:rsidP="00E07335">
      <w:pPr>
        <w:rPr>
          <w:rFonts w:asciiTheme="minorHAnsi" w:hAnsiTheme="minorHAnsi"/>
          <w:b/>
          <w:bCs/>
          <w:szCs w:val="22"/>
        </w:rPr>
      </w:pPr>
    </w:p>
    <w:p w14:paraId="21CF99B5" w14:textId="77777777" w:rsidR="00542531" w:rsidRPr="007E2527" w:rsidRDefault="00542531" w:rsidP="00E07335">
      <w:pPr>
        <w:rPr>
          <w:rFonts w:asciiTheme="minorHAnsi" w:hAnsiTheme="minorHAnsi"/>
          <w:b/>
          <w:bCs/>
          <w:szCs w:val="22"/>
        </w:rPr>
      </w:pPr>
    </w:p>
    <w:p w14:paraId="70B76699" w14:textId="3D1DCFC7" w:rsidR="00D40BBF" w:rsidRPr="007E2527" w:rsidRDefault="001743DC"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age group and mode of employment, 2025 (Full-time n=4,856; Part-time n=1,385)</w:t>
      </w:r>
    </w:p>
    <w:tbl>
      <w:tblPr>
        <w:tblW w:w="5484" w:type="dxa"/>
        <w:tblLayout w:type="fixed"/>
        <w:tblLook w:val="04A0" w:firstRow="1" w:lastRow="0" w:firstColumn="1" w:lastColumn="0" w:noHBand="0" w:noVBand="1"/>
      </w:tblPr>
      <w:tblGrid>
        <w:gridCol w:w="1644"/>
        <w:gridCol w:w="960"/>
        <w:gridCol w:w="960"/>
        <w:gridCol w:w="960"/>
        <w:gridCol w:w="960"/>
      </w:tblGrid>
      <w:tr w:rsidR="008D5368" w:rsidRPr="008D5368" w14:paraId="72DBB793" w14:textId="77777777" w:rsidTr="00B042E0">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1B80C7B5" w14:textId="77777777" w:rsidR="008D5368" w:rsidRPr="008D5368" w:rsidRDefault="008D5368" w:rsidP="008D5368">
            <w:pPr>
              <w:spacing w:after="0" w:line="240" w:lineRule="auto"/>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67A299F" w14:textId="77777777" w:rsidR="008D5368" w:rsidRPr="008D5368" w:rsidRDefault="008D5368" w:rsidP="008D536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Full-time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79B7B74" w14:textId="77777777" w:rsidR="008D5368" w:rsidRPr="008D5368" w:rsidRDefault="008D5368" w:rsidP="008D536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Part-time</w:t>
            </w:r>
          </w:p>
        </w:tc>
      </w:tr>
      <w:tr w:rsidR="008D5368" w:rsidRPr="008D5368" w14:paraId="5C5710BF" w14:textId="77777777" w:rsidTr="00B042E0">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721E8992" w14:textId="77777777" w:rsidR="008D5368" w:rsidRPr="008D5368" w:rsidRDefault="008D5368" w:rsidP="008D5368">
            <w:pPr>
              <w:spacing w:after="0" w:line="240" w:lineRule="auto"/>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189099F5" w14:textId="77777777" w:rsidR="008D5368" w:rsidRPr="008D5368" w:rsidRDefault="008D5368" w:rsidP="008D5368">
            <w:pPr>
              <w:spacing w:after="0" w:line="240" w:lineRule="auto"/>
              <w:jc w:val="center"/>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E6EFF7A" w14:textId="77777777" w:rsidR="008D5368" w:rsidRPr="008D5368" w:rsidRDefault="008D5368" w:rsidP="008D5368">
            <w:pPr>
              <w:spacing w:after="0" w:line="240" w:lineRule="auto"/>
              <w:jc w:val="center"/>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34BE35C" w14:textId="77777777" w:rsidR="008D5368" w:rsidRPr="008D5368" w:rsidRDefault="008D5368" w:rsidP="008D5368">
            <w:pPr>
              <w:spacing w:after="0" w:line="240" w:lineRule="auto"/>
              <w:jc w:val="center"/>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15DF39A" w14:textId="77777777" w:rsidR="008D5368" w:rsidRPr="008D5368" w:rsidRDefault="008D5368" w:rsidP="008D5368">
            <w:pPr>
              <w:spacing w:after="0" w:line="240" w:lineRule="auto"/>
              <w:jc w:val="center"/>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w:t>
            </w:r>
          </w:p>
        </w:tc>
      </w:tr>
      <w:tr w:rsidR="008D5368" w:rsidRPr="008D5368" w14:paraId="344CB1DC"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132A49E7" w14:textId="77777777" w:rsidR="008D5368" w:rsidRPr="008D5368" w:rsidRDefault="008D5368" w:rsidP="008D5368">
            <w:pPr>
              <w:spacing w:after="0" w:line="240" w:lineRule="auto"/>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&lt;=25</w:t>
            </w:r>
          </w:p>
        </w:tc>
        <w:tc>
          <w:tcPr>
            <w:tcW w:w="960" w:type="dxa"/>
            <w:tcBorders>
              <w:top w:val="nil"/>
              <w:left w:val="single" w:sz="4" w:space="0" w:color="auto"/>
              <w:bottom w:val="nil"/>
              <w:right w:val="nil"/>
            </w:tcBorders>
            <w:shd w:val="clear" w:color="000000" w:fill="FFFFFF"/>
            <w:noWrap/>
            <w:vAlign w:val="bottom"/>
            <w:hideMark/>
          </w:tcPr>
          <w:p w14:paraId="5861E694"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183</w:t>
            </w:r>
          </w:p>
        </w:tc>
        <w:tc>
          <w:tcPr>
            <w:tcW w:w="960" w:type="dxa"/>
            <w:tcBorders>
              <w:top w:val="nil"/>
              <w:left w:val="nil"/>
              <w:bottom w:val="nil"/>
              <w:right w:val="single" w:sz="4" w:space="0" w:color="auto"/>
            </w:tcBorders>
            <w:shd w:val="clear" w:color="000000" w:fill="FFFFFF"/>
            <w:noWrap/>
            <w:vAlign w:val="bottom"/>
            <w:hideMark/>
          </w:tcPr>
          <w:p w14:paraId="3ED7966E"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3.8%</w:t>
            </w:r>
          </w:p>
        </w:tc>
        <w:tc>
          <w:tcPr>
            <w:tcW w:w="960" w:type="dxa"/>
            <w:tcBorders>
              <w:top w:val="nil"/>
              <w:left w:val="nil"/>
              <w:bottom w:val="nil"/>
              <w:right w:val="nil"/>
            </w:tcBorders>
            <w:shd w:val="clear" w:color="000000" w:fill="FFFFFF"/>
            <w:noWrap/>
            <w:vAlign w:val="bottom"/>
            <w:hideMark/>
          </w:tcPr>
          <w:p w14:paraId="6FB2CB8E"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29</w:t>
            </w:r>
          </w:p>
        </w:tc>
        <w:tc>
          <w:tcPr>
            <w:tcW w:w="960" w:type="dxa"/>
            <w:tcBorders>
              <w:top w:val="nil"/>
              <w:left w:val="nil"/>
              <w:bottom w:val="nil"/>
              <w:right w:val="single" w:sz="4" w:space="0" w:color="auto"/>
            </w:tcBorders>
            <w:shd w:val="clear" w:color="000000" w:fill="FFFFFF"/>
            <w:noWrap/>
            <w:vAlign w:val="bottom"/>
            <w:hideMark/>
          </w:tcPr>
          <w:p w14:paraId="3937FF5F"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2.1%</w:t>
            </w:r>
          </w:p>
        </w:tc>
      </w:tr>
      <w:tr w:rsidR="008D5368" w:rsidRPr="008D5368" w14:paraId="10DD82CB"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7D50104C" w14:textId="77777777" w:rsidR="008D5368" w:rsidRPr="008D5368" w:rsidRDefault="008D5368" w:rsidP="008D5368">
            <w:pPr>
              <w:spacing w:after="0" w:line="240" w:lineRule="auto"/>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26-35</w:t>
            </w:r>
          </w:p>
        </w:tc>
        <w:tc>
          <w:tcPr>
            <w:tcW w:w="960" w:type="dxa"/>
            <w:tcBorders>
              <w:top w:val="nil"/>
              <w:left w:val="single" w:sz="4" w:space="0" w:color="auto"/>
              <w:bottom w:val="nil"/>
              <w:right w:val="nil"/>
            </w:tcBorders>
            <w:shd w:val="clear" w:color="000000" w:fill="FFFFFF"/>
            <w:noWrap/>
            <w:vAlign w:val="bottom"/>
            <w:hideMark/>
          </w:tcPr>
          <w:p w14:paraId="038E297A"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1275</w:t>
            </w:r>
          </w:p>
        </w:tc>
        <w:tc>
          <w:tcPr>
            <w:tcW w:w="960" w:type="dxa"/>
            <w:tcBorders>
              <w:top w:val="nil"/>
              <w:left w:val="nil"/>
              <w:bottom w:val="nil"/>
              <w:right w:val="single" w:sz="4" w:space="0" w:color="auto"/>
            </w:tcBorders>
            <w:shd w:val="clear" w:color="000000" w:fill="FFFFFF"/>
            <w:noWrap/>
            <w:vAlign w:val="bottom"/>
            <w:hideMark/>
          </w:tcPr>
          <w:p w14:paraId="7FD9D627"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26.3%</w:t>
            </w:r>
          </w:p>
        </w:tc>
        <w:tc>
          <w:tcPr>
            <w:tcW w:w="960" w:type="dxa"/>
            <w:tcBorders>
              <w:top w:val="nil"/>
              <w:left w:val="nil"/>
              <w:bottom w:val="nil"/>
              <w:right w:val="nil"/>
            </w:tcBorders>
            <w:shd w:val="clear" w:color="000000" w:fill="FFFFFF"/>
            <w:noWrap/>
            <w:vAlign w:val="bottom"/>
            <w:hideMark/>
          </w:tcPr>
          <w:p w14:paraId="62F99625"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200</w:t>
            </w:r>
          </w:p>
        </w:tc>
        <w:tc>
          <w:tcPr>
            <w:tcW w:w="960" w:type="dxa"/>
            <w:tcBorders>
              <w:top w:val="nil"/>
              <w:left w:val="nil"/>
              <w:bottom w:val="nil"/>
              <w:right w:val="single" w:sz="4" w:space="0" w:color="auto"/>
            </w:tcBorders>
            <w:shd w:val="clear" w:color="000000" w:fill="FFFFFF"/>
            <w:noWrap/>
            <w:vAlign w:val="bottom"/>
            <w:hideMark/>
          </w:tcPr>
          <w:p w14:paraId="1C01EC93"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14.4%</w:t>
            </w:r>
          </w:p>
        </w:tc>
      </w:tr>
      <w:tr w:rsidR="008D5368" w:rsidRPr="008D5368" w14:paraId="42D2CCC8"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1CEF72DA" w14:textId="77777777" w:rsidR="008D5368" w:rsidRPr="008D5368" w:rsidRDefault="008D5368" w:rsidP="008D5368">
            <w:pPr>
              <w:spacing w:after="0" w:line="240" w:lineRule="auto"/>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36-45</w:t>
            </w:r>
          </w:p>
        </w:tc>
        <w:tc>
          <w:tcPr>
            <w:tcW w:w="960" w:type="dxa"/>
            <w:tcBorders>
              <w:top w:val="nil"/>
              <w:left w:val="single" w:sz="4" w:space="0" w:color="auto"/>
              <w:bottom w:val="nil"/>
              <w:right w:val="nil"/>
            </w:tcBorders>
            <w:shd w:val="clear" w:color="000000" w:fill="FFFFFF"/>
            <w:noWrap/>
            <w:vAlign w:val="bottom"/>
            <w:hideMark/>
          </w:tcPr>
          <w:p w14:paraId="2915C527"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1405</w:t>
            </w:r>
          </w:p>
        </w:tc>
        <w:tc>
          <w:tcPr>
            <w:tcW w:w="960" w:type="dxa"/>
            <w:tcBorders>
              <w:top w:val="nil"/>
              <w:left w:val="nil"/>
              <w:bottom w:val="nil"/>
              <w:right w:val="single" w:sz="4" w:space="0" w:color="auto"/>
            </w:tcBorders>
            <w:shd w:val="clear" w:color="000000" w:fill="FFFFFF"/>
            <w:noWrap/>
            <w:vAlign w:val="bottom"/>
            <w:hideMark/>
          </w:tcPr>
          <w:p w14:paraId="4339263C"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28.9%</w:t>
            </w:r>
          </w:p>
        </w:tc>
        <w:tc>
          <w:tcPr>
            <w:tcW w:w="960" w:type="dxa"/>
            <w:tcBorders>
              <w:top w:val="nil"/>
              <w:left w:val="nil"/>
              <w:bottom w:val="nil"/>
              <w:right w:val="nil"/>
            </w:tcBorders>
            <w:shd w:val="clear" w:color="000000" w:fill="FFFFFF"/>
            <w:noWrap/>
            <w:vAlign w:val="bottom"/>
            <w:hideMark/>
          </w:tcPr>
          <w:p w14:paraId="027CA710"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446</w:t>
            </w:r>
          </w:p>
        </w:tc>
        <w:tc>
          <w:tcPr>
            <w:tcW w:w="960" w:type="dxa"/>
            <w:tcBorders>
              <w:top w:val="nil"/>
              <w:left w:val="nil"/>
              <w:bottom w:val="nil"/>
              <w:right w:val="single" w:sz="4" w:space="0" w:color="auto"/>
            </w:tcBorders>
            <w:shd w:val="clear" w:color="000000" w:fill="FFFFFF"/>
            <w:noWrap/>
            <w:vAlign w:val="bottom"/>
            <w:hideMark/>
          </w:tcPr>
          <w:p w14:paraId="0321CD6F"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32.2%</w:t>
            </w:r>
          </w:p>
        </w:tc>
      </w:tr>
      <w:tr w:rsidR="008D5368" w:rsidRPr="008D5368" w14:paraId="389E35CF"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2C06DAA3" w14:textId="77777777" w:rsidR="008D5368" w:rsidRPr="008D5368" w:rsidRDefault="008D5368" w:rsidP="008D5368">
            <w:pPr>
              <w:spacing w:after="0" w:line="240" w:lineRule="auto"/>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46-55</w:t>
            </w:r>
          </w:p>
        </w:tc>
        <w:tc>
          <w:tcPr>
            <w:tcW w:w="960" w:type="dxa"/>
            <w:tcBorders>
              <w:top w:val="nil"/>
              <w:left w:val="single" w:sz="4" w:space="0" w:color="auto"/>
              <w:bottom w:val="nil"/>
              <w:right w:val="nil"/>
            </w:tcBorders>
            <w:shd w:val="clear" w:color="000000" w:fill="FFFFFF"/>
            <w:noWrap/>
            <w:vAlign w:val="bottom"/>
            <w:hideMark/>
          </w:tcPr>
          <w:p w14:paraId="1DFE6414"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1245</w:t>
            </w:r>
          </w:p>
        </w:tc>
        <w:tc>
          <w:tcPr>
            <w:tcW w:w="960" w:type="dxa"/>
            <w:tcBorders>
              <w:top w:val="nil"/>
              <w:left w:val="nil"/>
              <w:bottom w:val="nil"/>
              <w:right w:val="single" w:sz="4" w:space="0" w:color="auto"/>
            </w:tcBorders>
            <w:shd w:val="clear" w:color="000000" w:fill="FFFFFF"/>
            <w:noWrap/>
            <w:vAlign w:val="bottom"/>
            <w:hideMark/>
          </w:tcPr>
          <w:p w14:paraId="435203F8"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25.6%</w:t>
            </w:r>
          </w:p>
        </w:tc>
        <w:tc>
          <w:tcPr>
            <w:tcW w:w="960" w:type="dxa"/>
            <w:tcBorders>
              <w:top w:val="nil"/>
              <w:left w:val="nil"/>
              <w:bottom w:val="nil"/>
              <w:right w:val="nil"/>
            </w:tcBorders>
            <w:shd w:val="clear" w:color="000000" w:fill="FFFFFF"/>
            <w:noWrap/>
            <w:vAlign w:val="bottom"/>
            <w:hideMark/>
          </w:tcPr>
          <w:p w14:paraId="3C6F1D7B"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303</w:t>
            </w:r>
          </w:p>
        </w:tc>
        <w:tc>
          <w:tcPr>
            <w:tcW w:w="960" w:type="dxa"/>
            <w:tcBorders>
              <w:top w:val="nil"/>
              <w:left w:val="nil"/>
              <w:bottom w:val="nil"/>
              <w:right w:val="single" w:sz="4" w:space="0" w:color="auto"/>
            </w:tcBorders>
            <w:shd w:val="clear" w:color="000000" w:fill="FFFFFF"/>
            <w:noWrap/>
            <w:vAlign w:val="bottom"/>
            <w:hideMark/>
          </w:tcPr>
          <w:p w14:paraId="0DCAD01A"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21.9%</w:t>
            </w:r>
          </w:p>
        </w:tc>
      </w:tr>
      <w:tr w:rsidR="008D5368" w:rsidRPr="008D5368" w14:paraId="3911F8DD"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2883212A" w14:textId="77777777" w:rsidR="008D5368" w:rsidRPr="008D5368" w:rsidRDefault="008D5368" w:rsidP="008D5368">
            <w:pPr>
              <w:spacing w:after="0" w:line="240" w:lineRule="auto"/>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56-65</w:t>
            </w:r>
          </w:p>
        </w:tc>
        <w:tc>
          <w:tcPr>
            <w:tcW w:w="960" w:type="dxa"/>
            <w:tcBorders>
              <w:top w:val="nil"/>
              <w:left w:val="single" w:sz="4" w:space="0" w:color="auto"/>
              <w:bottom w:val="nil"/>
              <w:right w:val="nil"/>
            </w:tcBorders>
            <w:shd w:val="clear" w:color="000000" w:fill="FFFFFF"/>
            <w:noWrap/>
            <w:vAlign w:val="bottom"/>
            <w:hideMark/>
          </w:tcPr>
          <w:p w14:paraId="499C0F5D"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683</w:t>
            </w:r>
          </w:p>
        </w:tc>
        <w:tc>
          <w:tcPr>
            <w:tcW w:w="960" w:type="dxa"/>
            <w:tcBorders>
              <w:top w:val="nil"/>
              <w:left w:val="nil"/>
              <w:bottom w:val="nil"/>
              <w:right w:val="single" w:sz="4" w:space="0" w:color="auto"/>
            </w:tcBorders>
            <w:shd w:val="clear" w:color="000000" w:fill="FFFFFF"/>
            <w:noWrap/>
            <w:vAlign w:val="bottom"/>
            <w:hideMark/>
          </w:tcPr>
          <w:p w14:paraId="03064B17"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14.1%</w:t>
            </w:r>
          </w:p>
        </w:tc>
        <w:tc>
          <w:tcPr>
            <w:tcW w:w="960" w:type="dxa"/>
            <w:tcBorders>
              <w:top w:val="nil"/>
              <w:left w:val="nil"/>
              <w:bottom w:val="nil"/>
              <w:right w:val="nil"/>
            </w:tcBorders>
            <w:shd w:val="clear" w:color="000000" w:fill="FFFFFF"/>
            <w:noWrap/>
            <w:vAlign w:val="bottom"/>
            <w:hideMark/>
          </w:tcPr>
          <w:p w14:paraId="237B5ED7"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323</w:t>
            </w:r>
          </w:p>
        </w:tc>
        <w:tc>
          <w:tcPr>
            <w:tcW w:w="960" w:type="dxa"/>
            <w:tcBorders>
              <w:top w:val="nil"/>
              <w:left w:val="nil"/>
              <w:bottom w:val="nil"/>
              <w:right w:val="single" w:sz="4" w:space="0" w:color="auto"/>
            </w:tcBorders>
            <w:shd w:val="clear" w:color="000000" w:fill="FFFFFF"/>
            <w:noWrap/>
            <w:vAlign w:val="bottom"/>
            <w:hideMark/>
          </w:tcPr>
          <w:p w14:paraId="4EF21B66"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23.3%</w:t>
            </w:r>
          </w:p>
        </w:tc>
      </w:tr>
      <w:tr w:rsidR="008D5368" w:rsidRPr="008D5368" w14:paraId="19B5CF3F"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018503D7" w14:textId="77777777" w:rsidR="008D5368" w:rsidRPr="008D5368" w:rsidRDefault="008D5368" w:rsidP="008D5368">
            <w:pPr>
              <w:spacing w:after="0" w:line="240" w:lineRule="auto"/>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&gt;=66</w:t>
            </w:r>
          </w:p>
        </w:tc>
        <w:tc>
          <w:tcPr>
            <w:tcW w:w="960" w:type="dxa"/>
            <w:tcBorders>
              <w:top w:val="nil"/>
              <w:left w:val="single" w:sz="4" w:space="0" w:color="auto"/>
              <w:bottom w:val="nil"/>
              <w:right w:val="nil"/>
            </w:tcBorders>
            <w:shd w:val="clear" w:color="000000" w:fill="FFFFFF"/>
            <w:noWrap/>
            <w:vAlign w:val="bottom"/>
            <w:hideMark/>
          </w:tcPr>
          <w:p w14:paraId="66F10281"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65</w:t>
            </w:r>
          </w:p>
        </w:tc>
        <w:tc>
          <w:tcPr>
            <w:tcW w:w="960" w:type="dxa"/>
            <w:tcBorders>
              <w:top w:val="nil"/>
              <w:left w:val="nil"/>
              <w:bottom w:val="nil"/>
              <w:right w:val="single" w:sz="4" w:space="0" w:color="auto"/>
            </w:tcBorders>
            <w:shd w:val="clear" w:color="000000" w:fill="FFFFFF"/>
            <w:noWrap/>
            <w:vAlign w:val="bottom"/>
            <w:hideMark/>
          </w:tcPr>
          <w:p w14:paraId="46F9FFEE"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nil"/>
            </w:tcBorders>
            <w:shd w:val="clear" w:color="000000" w:fill="FFFFFF"/>
            <w:noWrap/>
            <w:vAlign w:val="bottom"/>
            <w:hideMark/>
          </w:tcPr>
          <w:p w14:paraId="7FDC366F"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84</w:t>
            </w:r>
          </w:p>
        </w:tc>
        <w:tc>
          <w:tcPr>
            <w:tcW w:w="960" w:type="dxa"/>
            <w:tcBorders>
              <w:top w:val="nil"/>
              <w:left w:val="nil"/>
              <w:bottom w:val="nil"/>
              <w:right w:val="single" w:sz="4" w:space="0" w:color="auto"/>
            </w:tcBorders>
            <w:shd w:val="clear" w:color="000000" w:fill="FFFFFF"/>
            <w:noWrap/>
            <w:vAlign w:val="bottom"/>
            <w:hideMark/>
          </w:tcPr>
          <w:p w14:paraId="3E212C85" w14:textId="77777777" w:rsidR="008D5368" w:rsidRPr="008D5368" w:rsidRDefault="008D5368" w:rsidP="008D5368">
            <w:pPr>
              <w:spacing w:after="0" w:line="240" w:lineRule="auto"/>
              <w:jc w:val="right"/>
              <w:rPr>
                <w:rFonts w:asciiTheme="minorHAnsi" w:eastAsia="Times New Roman" w:hAnsiTheme="minorHAnsi" w:cs="Times New Roman"/>
                <w:color w:val="000000"/>
                <w:kern w:val="0"/>
                <w:szCs w:val="22"/>
                <w:lang w:eastAsia="en-GB"/>
                <w14:ligatures w14:val="none"/>
              </w:rPr>
            </w:pPr>
            <w:r w:rsidRPr="008D5368">
              <w:rPr>
                <w:rFonts w:asciiTheme="minorHAnsi" w:eastAsia="Times New Roman" w:hAnsiTheme="minorHAnsi" w:cs="Times New Roman"/>
                <w:color w:val="000000"/>
                <w:kern w:val="0"/>
                <w:szCs w:val="22"/>
                <w:lang w:eastAsia="en-GB"/>
                <w14:ligatures w14:val="none"/>
              </w:rPr>
              <w:t>6.1%</w:t>
            </w:r>
          </w:p>
        </w:tc>
      </w:tr>
      <w:tr w:rsidR="008D5368" w:rsidRPr="008D5368" w14:paraId="5207174A" w14:textId="77777777" w:rsidTr="00B042E0">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6EDC710F" w14:textId="77777777" w:rsidR="008D5368" w:rsidRPr="008D5368" w:rsidRDefault="008D5368" w:rsidP="008D5368">
            <w:pPr>
              <w:spacing w:after="0" w:line="240" w:lineRule="auto"/>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9EA501A" w14:textId="77777777" w:rsidR="008D5368" w:rsidRPr="008D5368" w:rsidRDefault="008D5368" w:rsidP="008D536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4856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D0FAE77" w14:textId="77777777" w:rsidR="008D5368" w:rsidRPr="008D5368" w:rsidRDefault="008D5368" w:rsidP="008D536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DA4EDD5" w14:textId="77777777" w:rsidR="008D5368" w:rsidRPr="008D5368" w:rsidRDefault="008D5368" w:rsidP="008D536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1385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B450614" w14:textId="77777777" w:rsidR="008D5368" w:rsidRPr="008D5368" w:rsidRDefault="008D5368" w:rsidP="008D536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D5368">
              <w:rPr>
                <w:rFonts w:asciiTheme="minorHAnsi" w:eastAsia="Times New Roman" w:hAnsiTheme="minorHAnsi" w:cs="Times New Roman"/>
                <w:b/>
                <w:bCs/>
                <w:color w:val="000000"/>
                <w:kern w:val="0"/>
                <w:szCs w:val="22"/>
                <w:lang w:eastAsia="en-GB"/>
                <w14:ligatures w14:val="none"/>
              </w:rPr>
              <w:t>100%</w:t>
            </w:r>
          </w:p>
        </w:tc>
      </w:tr>
    </w:tbl>
    <w:p w14:paraId="2224F56C" w14:textId="77777777" w:rsidR="00D30F25" w:rsidRPr="007E2527" w:rsidRDefault="00D30F25" w:rsidP="00E07335">
      <w:pPr>
        <w:rPr>
          <w:rFonts w:asciiTheme="minorHAnsi" w:hAnsiTheme="minorHAnsi"/>
          <w:b/>
          <w:bCs/>
          <w:szCs w:val="22"/>
        </w:rPr>
      </w:pPr>
    </w:p>
    <w:p w14:paraId="0D99153D" w14:textId="77777777" w:rsidR="00FE6139" w:rsidRPr="007E2527" w:rsidRDefault="00FE6139" w:rsidP="00E07335">
      <w:pPr>
        <w:rPr>
          <w:rFonts w:asciiTheme="minorHAnsi" w:hAnsiTheme="minorHAnsi"/>
          <w:b/>
          <w:bCs/>
          <w:szCs w:val="22"/>
        </w:rPr>
      </w:pPr>
    </w:p>
    <w:p w14:paraId="659FFA84" w14:textId="221514AB" w:rsidR="001743DC" w:rsidRPr="007E2527" w:rsidRDefault="001743DC" w:rsidP="00E765AE">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age group and grade, 2025 (n=2,860)</w:t>
      </w:r>
    </w:p>
    <w:tbl>
      <w:tblPr>
        <w:tblW w:w="11244" w:type="dxa"/>
        <w:tblLayout w:type="fixed"/>
        <w:tblLook w:val="04A0" w:firstRow="1" w:lastRow="0" w:firstColumn="1" w:lastColumn="0" w:noHBand="0" w:noVBand="1"/>
      </w:tblPr>
      <w:tblGrid>
        <w:gridCol w:w="1644"/>
        <w:gridCol w:w="960"/>
        <w:gridCol w:w="960"/>
        <w:gridCol w:w="960"/>
        <w:gridCol w:w="960"/>
        <w:gridCol w:w="960"/>
        <w:gridCol w:w="960"/>
        <w:gridCol w:w="960"/>
        <w:gridCol w:w="960"/>
        <w:gridCol w:w="960"/>
        <w:gridCol w:w="960"/>
      </w:tblGrid>
      <w:tr w:rsidR="00E72A06" w:rsidRPr="00E72A06" w14:paraId="00473786" w14:textId="77777777" w:rsidTr="00B042E0">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3ADFE2CE" w14:textId="77777777" w:rsidR="00E72A06" w:rsidRPr="00E72A06" w:rsidRDefault="00E72A06" w:rsidP="00E72A06">
            <w:pPr>
              <w:spacing w:after="0" w:line="240" w:lineRule="auto"/>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A0CBE5F" w14:textId="77777777" w:rsidR="00E72A06" w:rsidRPr="00E72A06" w:rsidRDefault="00E72A06" w:rsidP="00E72A0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Grade E</w:t>
            </w:r>
          </w:p>
        </w:tc>
        <w:tc>
          <w:tcPr>
            <w:tcW w:w="1920" w:type="dxa"/>
            <w:gridSpan w:val="2"/>
            <w:tcBorders>
              <w:top w:val="single" w:sz="4" w:space="0" w:color="auto"/>
              <w:left w:val="nil"/>
              <w:bottom w:val="nil"/>
              <w:right w:val="nil"/>
            </w:tcBorders>
            <w:shd w:val="clear" w:color="000000" w:fill="FFFFFF"/>
            <w:noWrap/>
            <w:vAlign w:val="bottom"/>
            <w:hideMark/>
          </w:tcPr>
          <w:p w14:paraId="15F00B92" w14:textId="77777777" w:rsidR="00E72A06" w:rsidRPr="00E72A06" w:rsidRDefault="00E72A06" w:rsidP="00E72A0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4F89756" w14:textId="77777777" w:rsidR="00E72A06" w:rsidRPr="00E72A06" w:rsidRDefault="00E72A06" w:rsidP="00E72A0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3FD29A08" w14:textId="77777777" w:rsidR="00E72A06" w:rsidRPr="00E72A06" w:rsidRDefault="00E72A06" w:rsidP="00E72A0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D6BEBF1" w14:textId="77777777" w:rsidR="00E72A06" w:rsidRPr="00E72A06" w:rsidRDefault="00E72A06" w:rsidP="00E72A0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Grade I</w:t>
            </w:r>
          </w:p>
        </w:tc>
      </w:tr>
      <w:tr w:rsidR="00E72A06" w:rsidRPr="007E2527" w14:paraId="3AD3AA7B" w14:textId="77777777" w:rsidTr="00B042E0">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4729C148" w14:textId="77777777" w:rsidR="00E72A06" w:rsidRPr="00E72A06" w:rsidRDefault="00E72A06" w:rsidP="00E72A06">
            <w:pPr>
              <w:spacing w:after="0" w:line="240" w:lineRule="auto"/>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7E8CA71"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8AB0667"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4215D7B"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F0C1D23"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1EC69F4F"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4DA5A23"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7C0D2A6"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B5DED4B"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2D65188F"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A6BF646" w14:textId="77777777" w:rsidR="00E72A06" w:rsidRPr="00E72A06" w:rsidRDefault="00E72A06" w:rsidP="00E72A06">
            <w:pPr>
              <w:spacing w:after="0" w:line="240" w:lineRule="auto"/>
              <w:jc w:val="center"/>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w:t>
            </w:r>
          </w:p>
        </w:tc>
      </w:tr>
      <w:tr w:rsidR="00E72A06" w:rsidRPr="007E2527" w14:paraId="0ABFF1F6"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653FFC5C" w14:textId="77777777" w:rsidR="00E72A06" w:rsidRPr="00E72A06" w:rsidRDefault="00E72A06" w:rsidP="00E72A06">
            <w:pPr>
              <w:spacing w:after="0" w:line="240" w:lineRule="auto"/>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&lt;=25</w:t>
            </w:r>
          </w:p>
        </w:tc>
        <w:tc>
          <w:tcPr>
            <w:tcW w:w="960" w:type="dxa"/>
            <w:tcBorders>
              <w:top w:val="single" w:sz="4" w:space="0" w:color="auto"/>
              <w:left w:val="single" w:sz="4" w:space="0" w:color="auto"/>
              <w:bottom w:val="nil"/>
              <w:right w:val="nil"/>
            </w:tcBorders>
            <w:shd w:val="clear" w:color="000000" w:fill="FFFFFF"/>
            <w:noWrap/>
            <w:vAlign w:val="bottom"/>
            <w:hideMark/>
          </w:tcPr>
          <w:p w14:paraId="62C140CB"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2ADF90C0"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w:t>
            </w:r>
          </w:p>
        </w:tc>
        <w:tc>
          <w:tcPr>
            <w:tcW w:w="960" w:type="dxa"/>
            <w:tcBorders>
              <w:top w:val="single" w:sz="4" w:space="0" w:color="auto"/>
              <w:left w:val="single" w:sz="4" w:space="0" w:color="auto"/>
              <w:bottom w:val="nil"/>
              <w:right w:val="nil"/>
            </w:tcBorders>
            <w:shd w:val="clear" w:color="000000" w:fill="FFFFFF"/>
            <w:noWrap/>
            <w:vAlign w:val="bottom"/>
            <w:hideMark/>
          </w:tcPr>
          <w:p w14:paraId="5DC0E9E5"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32</w:t>
            </w:r>
          </w:p>
        </w:tc>
        <w:tc>
          <w:tcPr>
            <w:tcW w:w="960" w:type="dxa"/>
            <w:tcBorders>
              <w:top w:val="nil"/>
              <w:left w:val="nil"/>
              <w:bottom w:val="nil"/>
              <w:right w:val="single" w:sz="4" w:space="0" w:color="auto"/>
            </w:tcBorders>
            <w:shd w:val="clear" w:color="000000" w:fill="FFFFFF"/>
            <w:noWrap/>
            <w:vAlign w:val="bottom"/>
            <w:hideMark/>
          </w:tcPr>
          <w:p w14:paraId="4CD9CF5B"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3.4%</w:t>
            </w:r>
          </w:p>
        </w:tc>
        <w:tc>
          <w:tcPr>
            <w:tcW w:w="960" w:type="dxa"/>
            <w:tcBorders>
              <w:top w:val="single" w:sz="4" w:space="0" w:color="auto"/>
              <w:left w:val="nil"/>
              <w:bottom w:val="nil"/>
              <w:right w:val="nil"/>
            </w:tcBorders>
            <w:shd w:val="clear" w:color="000000" w:fill="FFFFFF"/>
            <w:noWrap/>
            <w:vAlign w:val="bottom"/>
            <w:hideMark/>
          </w:tcPr>
          <w:p w14:paraId="5AF4B5BE"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8ED1223"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single" w:sz="4" w:space="0" w:color="auto"/>
              <w:left w:val="single" w:sz="4" w:space="0" w:color="auto"/>
              <w:bottom w:val="nil"/>
              <w:right w:val="nil"/>
            </w:tcBorders>
            <w:shd w:val="clear" w:color="000000" w:fill="FFFFFF"/>
            <w:noWrap/>
            <w:vAlign w:val="bottom"/>
            <w:hideMark/>
          </w:tcPr>
          <w:p w14:paraId="39DDB9EF"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A32CAF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single" w:sz="4" w:space="0" w:color="auto"/>
              <w:left w:val="nil"/>
              <w:bottom w:val="nil"/>
              <w:right w:val="nil"/>
            </w:tcBorders>
            <w:shd w:val="clear" w:color="000000" w:fill="FFFFFF"/>
            <w:noWrap/>
            <w:vAlign w:val="bottom"/>
            <w:hideMark/>
          </w:tcPr>
          <w:p w14:paraId="59A1F21F"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34D28187"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r>
      <w:tr w:rsidR="00E72A06" w:rsidRPr="007E2527" w14:paraId="0C7E9A7D"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00B21CA6" w14:textId="77777777" w:rsidR="00E72A06" w:rsidRPr="00E72A06" w:rsidRDefault="00E72A06" w:rsidP="00E72A06">
            <w:pPr>
              <w:spacing w:after="0" w:line="240" w:lineRule="auto"/>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26-35</w:t>
            </w:r>
          </w:p>
        </w:tc>
        <w:tc>
          <w:tcPr>
            <w:tcW w:w="960" w:type="dxa"/>
            <w:tcBorders>
              <w:top w:val="nil"/>
              <w:left w:val="single" w:sz="4" w:space="0" w:color="auto"/>
              <w:bottom w:val="nil"/>
              <w:right w:val="nil"/>
            </w:tcBorders>
            <w:shd w:val="clear" w:color="000000" w:fill="FFFFFF"/>
            <w:noWrap/>
            <w:vAlign w:val="bottom"/>
            <w:hideMark/>
          </w:tcPr>
          <w:p w14:paraId="4C01BB36"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nil"/>
            </w:tcBorders>
            <w:shd w:val="clear" w:color="000000" w:fill="FFFFFF"/>
            <w:noWrap/>
            <w:vAlign w:val="bottom"/>
            <w:hideMark/>
          </w:tcPr>
          <w:p w14:paraId="7977D537"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73.1%</w:t>
            </w:r>
          </w:p>
        </w:tc>
        <w:tc>
          <w:tcPr>
            <w:tcW w:w="960" w:type="dxa"/>
            <w:tcBorders>
              <w:top w:val="nil"/>
              <w:left w:val="single" w:sz="4" w:space="0" w:color="auto"/>
              <w:bottom w:val="nil"/>
              <w:right w:val="nil"/>
            </w:tcBorders>
            <w:shd w:val="clear" w:color="000000" w:fill="FFFFFF"/>
            <w:noWrap/>
            <w:vAlign w:val="bottom"/>
            <w:hideMark/>
          </w:tcPr>
          <w:p w14:paraId="053B990B"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529</w:t>
            </w:r>
          </w:p>
        </w:tc>
        <w:tc>
          <w:tcPr>
            <w:tcW w:w="960" w:type="dxa"/>
            <w:tcBorders>
              <w:top w:val="nil"/>
              <w:left w:val="nil"/>
              <w:bottom w:val="nil"/>
              <w:right w:val="single" w:sz="4" w:space="0" w:color="auto"/>
            </w:tcBorders>
            <w:shd w:val="clear" w:color="000000" w:fill="FFFFFF"/>
            <w:noWrap/>
            <w:vAlign w:val="bottom"/>
            <w:hideMark/>
          </w:tcPr>
          <w:p w14:paraId="5A6AEA6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55.9%</w:t>
            </w:r>
          </w:p>
        </w:tc>
        <w:tc>
          <w:tcPr>
            <w:tcW w:w="960" w:type="dxa"/>
            <w:tcBorders>
              <w:top w:val="nil"/>
              <w:left w:val="nil"/>
              <w:bottom w:val="nil"/>
              <w:right w:val="nil"/>
            </w:tcBorders>
            <w:shd w:val="clear" w:color="000000" w:fill="FFFFFF"/>
            <w:noWrap/>
            <w:vAlign w:val="bottom"/>
            <w:hideMark/>
          </w:tcPr>
          <w:p w14:paraId="52B0309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122</w:t>
            </w:r>
          </w:p>
        </w:tc>
        <w:tc>
          <w:tcPr>
            <w:tcW w:w="960" w:type="dxa"/>
            <w:tcBorders>
              <w:top w:val="nil"/>
              <w:left w:val="nil"/>
              <w:bottom w:val="nil"/>
              <w:right w:val="nil"/>
            </w:tcBorders>
            <w:shd w:val="clear" w:color="000000" w:fill="FFFFFF"/>
            <w:noWrap/>
            <w:vAlign w:val="bottom"/>
            <w:hideMark/>
          </w:tcPr>
          <w:p w14:paraId="4C45C8C8"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19.2%</w:t>
            </w:r>
          </w:p>
        </w:tc>
        <w:tc>
          <w:tcPr>
            <w:tcW w:w="960" w:type="dxa"/>
            <w:tcBorders>
              <w:top w:val="nil"/>
              <w:left w:val="single" w:sz="4" w:space="0" w:color="auto"/>
              <w:bottom w:val="nil"/>
              <w:right w:val="nil"/>
            </w:tcBorders>
            <w:shd w:val="clear" w:color="000000" w:fill="FFFFFF"/>
            <w:noWrap/>
            <w:vAlign w:val="bottom"/>
            <w:hideMark/>
          </w:tcPr>
          <w:p w14:paraId="2C348104"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single" w:sz="4" w:space="0" w:color="auto"/>
            </w:tcBorders>
            <w:shd w:val="clear" w:color="000000" w:fill="FFFFFF"/>
            <w:noWrap/>
            <w:vAlign w:val="bottom"/>
            <w:hideMark/>
          </w:tcPr>
          <w:p w14:paraId="7546408E"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3.1%</w:t>
            </w:r>
          </w:p>
        </w:tc>
        <w:tc>
          <w:tcPr>
            <w:tcW w:w="960" w:type="dxa"/>
            <w:tcBorders>
              <w:top w:val="nil"/>
              <w:left w:val="nil"/>
              <w:bottom w:val="nil"/>
              <w:right w:val="nil"/>
            </w:tcBorders>
            <w:shd w:val="clear" w:color="000000" w:fill="FFFFFF"/>
            <w:noWrap/>
            <w:vAlign w:val="bottom"/>
            <w:hideMark/>
          </w:tcPr>
          <w:p w14:paraId="23277A14"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single" w:sz="4" w:space="0" w:color="auto"/>
            </w:tcBorders>
            <w:shd w:val="clear" w:color="000000" w:fill="FFFFFF"/>
            <w:noWrap/>
            <w:vAlign w:val="bottom"/>
            <w:hideMark/>
          </w:tcPr>
          <w:p w14:paraId="3C8319B9"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1.2%</w:t>
            </w:r>
          </w:p>
        </w:tc>
      </w:tr>
      <w:tr w:rsidR="00E72A06" w:rsidRPr="007E2527" w14:paraId="3AAE6091"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6FF95D70" w14:textId="77777777" w:rsidR="00E72A06" w:rsidRPr="00E72A06" w:rsidRDefault="00E72A06" w:rsidP="00E72A06">
            <w:pPr>
              <w:spacing w:after="0" w:line="240" w:lineRule="auto"/>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36-45</w:t>
            </w:r>
          </w:p>
        </w:tc>
        <w:tc>
          <w:tcPr>
            <w:tcW w:w="960" w:type="dxa"/>
            <w:tcBorders>
              <w:top w:val="nil"/>
              <w:left w:val="single" w:sz="4" w:space="0" w:color="auto"/>
              <w:bottom w:val="nil"/>
              <w:right w:val="nil"/>
            </w:tcBorders>
            <w:shd w:val="clear" w:color="000000" w:fill="FFFFFF"/>
            <w:noWrap/>
            <w:vAlign w:val="bottom"/>
            <w:hideMark/>
          </w:tcPr>
          <w:p w14:paraId="4C827C16"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44DF2F22"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41200EB5"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260</w:t>
            </w:r>
          </w:p>
        </w:tc>
        <w:tc>
          <w:tcPr>
            <w:tcW w:w="960" w:type="dxa"/>
            <w:tcBorders>
              <w:top w:val="nil"/>
              <w:left w:val="nil"/>
              <w:bottom w:val="nil"/>
              <w:right w:val="single" w:sz="4" w:space="0" w:color="auto"/>
            </w:tcBorders>
            <w:shd w:val="clear" w:color="000000" w:fill="FFFFFF"/>
            <w:noWrap/>
            <w:vAlign w:val="bottom"/>
            <w:hideMark/>
          </w:tcPr>
          <w:p w14:paraId="05E10A0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27.5%</w:t>
            </w:r>
          </w:p>
        </w:tc>
        <w:tc>
          <w:tcPr>
            <w:tcW w:w="960" w:type="dxa"/>
            <w:tcBorders>
              <w:top w:val="nil"/>
              <w:left w:val="nil"/>
              <w:bottom w:val="nil"/>
              <w:right w:val="nil"/>
            </w:tcBorders>
            <w:shd w:val="clear" w:color="000000" w:fill="FFFFFF"/>
            <w:noWrap/>
            <w:vAlign w:val="bottom"/>
            <w:hideMark/>
          </w:tcPr>
          <w:p w14:paraId="254B5576"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309</w:t>
            </w:r>
          </w:p>
        </w:tc>
        <w:tc>
          <w:tcPr>
            <w:tcW w:w="960" w:type="dxa"/>
            <w:tcBorders>
              <w:top w:val="nil"/>
              <w:left w:val="nil"/>
              <w:bottom w:val="nil"/>
              <w:right w:val="nil"/>
            </w:tcBorders>
            <w:shd w:val="clear" w:color="000000" w:fill="FFFFFF"/>
            <w:noWrap/>
            <w:vAlign w:val="bottom"/>
            <w:hideMark/>
          </w:tcPr>
          <w:p w14:paraId="561A674F"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48.6%</w:t>
            </w:r>
          </w:p>
        </w:tc>
        <w:tc>
          <w:tcPr>
            <w:tcW w:w="960" w:type="dxa"/>
            <w:tcBorders>
              <w:top w:val="nil"/>
              <w:left w:val="single" w:sz="4" w:space="0" w:color="auto"/>
              <w:bottom w:val="nil"/>
              <w:right w:val="nil"/>
            </w:tcBorders>
            <w:shd w:val="clear" w:color="000000" w:fill="FFFFFF"/>
            <w:noWrap/>
            <w:vAlign w:val="bottom"/>
            <w:hideMark/>
          </w:tcPr>
          <w:p w14:paraId="4DFA1A90"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214</w:t>
            </w:r>
          </w:p>
        </w:tc>
        <w:tc>
          <w:tcPr>
            <w:tcW w:w="960" w:type="dxa"/>
            <w:tcBorders>
              <w:top w:val="nil"/>
              <w:left w:val="nil"/>
              <w:bottom w:val="nil"/>
              <w:right w:val="single" w:sz="4" w:space="0" w:color="auto"/>
            </w:tcBorders>
            <w:shd w:val="clear" w:color="000000" w:fill="FFFFFF"/>
            <w:noWrap/>
            <w:vAlign w:val="bottom"/>
            <w:hideMark/>
          </w:tcPr>
          <w:p w14:paraId="0ED9F07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41.9%</w:t>
            </w:r>
          </w:p>
        </w:tc>
        <w:tc>
          <w:tcPr>
            <w:tcW w:w="960" w:type="dxa"/>
            <w:tcBorders>
              <w:top w:val="nil"/>
              <w:left w:val="nil"/>
              <w:bottom w:val="nil"/>
              <w:right w:val="nil"/>
            </w:tcBorders>
            <w:shd w:val="clear" w:color="000000" w:fill="FFFFFF"/>
            <w:noWrap/>
            <w:vAlign w:val="bottom"/>
            <w:hideMark/>
          </w:tcPr>
          <w:p w14:paraId="59EBADA5"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151</w:t>
            </w:r>
          </w:p>
        </w:tc>
        <w:tc>
          <w:tcPr>
            <w:tcW w:w="960" w:type="dxa"/>
            <w:tcBorders>
              <w:top w:val="nil"/>
              <w:left w:val="nil"/>
              <w:bottom w:val="nil"/>
              <w:right w:val="single" w:sz="4" w:space="0" w:color="auto"/>
            </w:tcBorders>
            <w:shd w:val="clear" w:color="000000" w:fill="FFFFFF"/>
            <w:noWrap/>
            <w:vAlign w:val="bottom"/>
            <w:hideMark/>
          </w:tcPr>
          <w:p w14:paraId="417182A9"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20.4%</w:t>
            </w:r>
          </w:p>
        </w:tc>
      </w:tr>
      <w:tr w:rsidR="00E72A06" w:rsidRPr="007E2527" w14:paraId="7C5496F1"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4EBB65FA" w14:textId="77777777" w:rsidR="00E72A06" w:rsidRPr="00E72A06" w:rsidRDefault="00E72A06" w:rsidP="00E72A06">
            <w:pPr>
              <w:spacing w:after="0" w:line="240" w:lineRule="auto"/>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46-55</w:t>
            </w:r>
          </w:p>
        </w:tc>
        <w:tc>
          <w:tcPr>
            <w:tcW w:w="960" w:type="dxa"/>
            <w:tcBorders>
              <w:top w:val="nil"/>
              <w:left w:val="single" w:sz="4" w:space="0" w:color="auto"/>
              <w:bottom w:val="nil"/>
              <w:right w:val="nil"/>
            </w:tcBorders>
            <w:shd w:val="clear" w:color="000000" w:fill="FFFFFF"/>
            <w:noWrap/>
            <w:vAlign w:val="bottom"/>
            <w:hideMark/>
          </w:tcPr>
          <w:p w14:paraId="064416B8"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D283DB9"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0BD4DAD8"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83</w:t>
            </w:r>
          </w:p>
        </w:tc>
        <w:tc>
          <w:tcPr>
            <w:tcW w:w="960" w:type="dxa"/>
            <w:tcBorders>
              <w:top w:val="nil"/>
              <w:left w:val="nil"/>
              <w:bottom w:val="nil"/>
              <w:right w:val="single" w:sz="4" w:space="0" w:color="auto"/>
            </w:tcBorders>
            <w:shd w:val="clear" w:color="000000" w:fill="FFFFFF"/>
            <w:noWrap/>
            <w:vAlign w:val="bottom"/>
            <w:hideMark/>
          </w:tcPr>
          <w:p w14:paraId="7FDC5506"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8.8%</w:t>
            </w:r>
          </w:p>
        </w:tc>
        <w:tc>
          <w:tcPr>
            <w:tcW w:w="960" w:type="dxa"/>
            <w:tcBorders>
              <w:top w:val="nil"/>
              <w:left w:val="nil"/>
              <w:bottom w:val="nil"/>
              <w:right w:val="nil"/>
            </w:tcBorders>
            <w:shd w:val="clear" w:color="000000" w:fill="FFFFFF"/>
            <w:noWrap/>
            <w:vAlign w:val="bottom"/>
            <w:hideMark/>
          </w:tcPr>
          <w:p w14:paraId="42B6CF1A"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130</w:t>
            </w:r>
          </w:p>
        </w:tc>
        <w:tc>
          <w:tcPr>
            <w:tcW w:w="960" w:type="dxa"/>
            <w:tcBorders>
              <w:top w:val="nil"/>
              <w:left w:val="nil"/>
              <w:bottom w:val="nil"/>
              <w:right w:val="nil"/>
            </w:tcBorders>
            <w:shd w:val="clear" w:color="000000" w:fill="FFFFFF"/>
            <w:noWrap/>
            <w:vAlign w:val="bottom"/>
            <w:hideMark/>
          </w:tcPr>
          <w:p w14:paraId="7A33DF19"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20.4%</w:t>
            </w:r>
          </w:p>
        </w:tc>
        <w:tc>
          <w:tcPr>
            <w:tcW w:w="960" w:type="dxa"/>
            <w:tcBorders>
              <w:top w:val="nil"/>
              <w:left w:val="single" w:sz="4" w:space="0" w:color="auto"/>
              <w:bottom w:val="nil"/>
              <w:right w:val="nil"/>
            </w:tcBorders>
            <w:shd w:val="clear" w:color="000000" w:fill="FFFFFF"/>
            <w:noWrap/>
            <w:vAlign w:val="bottom"/>
            <w:hideMark/>
          </w:tcPr>
          <w:p w14:paraId="3302CD4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185</w:t>
            </w:r>
          </w:p>
        </w:tc>
        <w:tc>
          <w:tcPr>
            <w:tcW w:w="960" w:type="dxa"/>
            <w:tcBorders>
              <w:top w:val="nil"/>
              <w:left w:val="nil"/>
              <w:bottom w:val="nil"/>
              <w:right w:val="single" w:sz="4" w:space="0" w:color="auto"/>
            </w:tcBorders>
            <w:shd w:val="clear" w:color="000000" w:fill="FFFFFF"/>
            <w:noWrap/>
            <w:vAlign w:val="bottom"/>
            <w:hideMark/>
          </w:tcPr>
          <w:p w14:paraId="0D8AC955"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36.2%</w:t>
            </w:r>
          </w:p>
        </w:tc>
        <w:tc>
          <w:tcPr>
            <w:tcW w:w="960" w:type="dxa"/>
            <w:tcBorders>
              <w:top w:val="nil"/>
              <w:left w:val="nil"/>
              <w:bottom w:val="nil"/>
              <w:right w:val="nil"/>
            </w:tcBorders>
            <w:shd w:val="clear" w:color="000000" w:fill="FFFFFF"/>
            <w:noWrap/>
            <w:vAlign w:val="bottom"/>
            <w:hideMark/>
          </w:tcPr>
          <w:p w14:paraId="205A8ADC"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305</w:t>
            </w:r>
          </w:p>
        </w:tc>
        <w:tc>
          <w:tcPr>
            <w:tcW w:w="960" w:type="dxa"/>
            <w:tcBorders>
              <w:top w:val="nil"/>
              <w:left w:val="nil"/>
              <w:bottom w:val="nil"/>
              <w:right w:val="single" w:sz="4" w:space="0" w:color="auto"/>
            </w:tcBorders>
            <w:shd w:val="clear" w:color="000000" w:fill="FFFFFF"/>
            <w:noWrap/>
            <w:vAlign w:val="bottom"/>
            <w:hideMark/>
          </w:tcPr>
          <w:p w14:paraId="4C8DF09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41.2%</w:t>
            </w:r>
          </w:p>
        </w:tc>
      </w:tr>
      <w:tr w:rsidR="00E72A06" w:rsidRPr="007E2527" w14:paraId="384FF13C"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542F8892" w14:textId="77777777" w:rsidR="00E72A06" w:rsidRPr="00E72A06" w:rsidRDefault="00E72A06" w:rsidP="00E72A06">
            <w:pPr>
              <w:spacing w:after="0" w:line="240" w:lineRule="auto"/>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56-65</w:t>
            </w:r>
          </w:p>
        </w:tc>
        <w:tc>
          <w:tcPr>
            <w:tcW w:w="960" w:type="dxa"/>
            <w:tcBorders>
              <w:top w:val="nil"/>
              <w:left w:val="single" w:sz="4" w:space="0" w:color="auto"/>
              <w:bottom w:val="nil"/>
              <w:right w:val="nil"/>
            </w:tcBorders>
            <w:shd w:val="clear" w:color="000000" w:fill="FFFFFF"/>
            <w:noWrap/>
            <w:vAlign w:val="bottom"/>
            <w:hideMark/>
          </w:tcPr>
          <w:p w14:paraId="3E972DF8"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8CB5045"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3AD3445A"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36</w:t>
            </w:r>
          </w:p>
        </w:tc>
        <w:tc>
          <w:tcPr>
            <w:tcW w:w="960" w:type="dxa"/>
            <w:tcBorders>
              <w:top w:val="nil"/>
              <w:left w:val="nil"/>
              <w:bottom w:val="nil"/>
              <w:right w:val="single" w:sz="4" w:space="0" w:color="auto"/>
            </w:tcBorders>
            <w:shd w:val="clear" w:color="000000" w:fill="FFFFFF"/>
            <w:noWrap/>
            <w:vAlign w:val="bottom"/>
            <w:hideMark/>
          </w:tcPr>
          <w:p w14:paraId="55F21001"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3.8%</w:t>
            </w:r>
          </w:p>
        </w:tc>
        <w:tc>
          <w:tcPr>
            <w:tcW w:w="960" w:type="dxa"/>
            <w:tcBorders>
              <w:top w:val="nil"/>
              <w:left w:val="nil"/>
              <w:bottom w:val="nil"/>
              <w:right w:val="nil"/>
            </w:tcBorders>
            <w:shd w:val="clear" w:color="000000" w:fill="FFFFFF"/>
            <w:noWrap/>
            <w:vAlign w:val="bottom"/>
            <w:hideMark/>
          </w:tcPr>
          <w:p w14:paraId="425CD200"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nil"/>
            </w:tcBorders>
            <w:shd w:val="clear" w:color="000000" w:fill="FFFFFF"/>
            <w:noWrap/>
            <w:vAlign w:val="bottom"/>
            <w:hideMark/>
          </w:tcPr>
          <w:p w14:paraId="7DF12975"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9.6%</w:t>
            </w:r>
          </w:p>
        </w:tc>
        <w:tc>
          <w:tcPr>
            <w:tcW w:w="960" w:type="dxa"/>
            <w:tcBorders>
              <w:top w:val="nil"/>
              <w:left w:val="single" w:sz="4" w:space="0" w:color="auto"/>
              <w:bottom w:val="nil"/>
              <w:right w:val="nil"/>
            </w:tcBorders>
            <w:shd w:val="clear" w:color="000000" w:fill="FFFFFF"/>
            <w:noWrap/>
            <w:vAlign w:val="bottom"/>
            <w:hideMark/>
          </w:tcPr>
          <w:p w14:paraId="27D05714"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81</w:t>
            </w:r>
          </w:p>
        </w:tc>
        <w:tc>
          <w:tcPr>
            <w:tcW w:w="960" w:type="dxa"/>
            <w:tcBorders>
              <w:top w:val="nil"/>
              <w:left w:val="nil"/>
              <w:bottom w:val="nil"/>
              <w:right w:val="single" w:sz="4" w:space="0" w:color="auto"/>
            </w:tcBorders>
            <w:shd w:val="clear" w:color="000000" w:fill="FFFFFF"/>
            <w:noWrap/>
            <w:vAlign w:val="bottom"/>
            <w:hideMark/>
          </w:tcPr>
          <w:p w14:paraId="7EA9718E"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15.9%</w:t>
            </w:r>
          </w:p>
        </w:tc>
        <w:tc>
          <w:tcPr>
            <w:tcW w:w="960" w:type="dxa"/>
            <w:tcBorders>
              <w:top w:val="nil"/>
              <w:left w:val="nil"/>
              <w:bottom w:val="nil"/>
              <w:right w:val="nil"/>
            </w:tcBorders>
            <w:shd w:val="clear" w:color="000000" w:fill="FFFFFF"/>
            <w:noWrap/>
            <w:vAlign w:val="bottom"/>
            <w:hideMark/>
          </w:tcPr>
          <w:p w14:paraId="457645E1"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227</w:t>
            </w:r>
          </w:p>
        </w:tc>
        <w:tc>
          <w:tcPr>
            <w:tcW w:w="960" w:type="dxa"/>
            <w:tcBorders>
              <w:top w:val="nil"/>
              <w:left w:val="nil"/>
              <w:bottom w:val="nil"/>
              <w:right w:val="single" w:sz="4" w:space="0" w:color="auto"/>
            </w:tcBorders>
            <w:shd w:val="clear" w:color="000000" w:fill="FFFFFF"/>
            <w:noWrap/>
            <w:vAlign w:val="bottom"/>
            <w:hideMark/>
          </w:tcPr>
          <w:p w14:paraId="656394CA"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30.7%</w:t>
            </w:r>
          </w:p>
        </w:tc>
      </w:tr>
      <w:tr w:rsidR="00E72A06" w:rsidRPr="007E2527" w14:paraId="15599C5E"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6DE65B31" w14:textId="77777777" w:rsidR="00E72A06" w:rsidRPr="00E72A06" w:rsidRDefault="00E72A06" w:rsidP="00E72A06">
            <w:pPr>
              <w:spacing w:after="0" w:line="240" w:lineRule="auto"/>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&gt;=66</w:t>
            </w:r>
          </w:p>
        </w:tc>
        <w:tc>
          <w:tcPr>
            <w:tcW w:w="960" w:type="dxa"/>
            <w:tcBorders>
              <w:top w:val="nil"/>
              <w:left w:val="single" w:sz="4" w:space="0" w:color="auto"/>
              <w:bottom w:val="nil"/>
              <w:right w:val="nil"/>
            </w:tcBorders>
            <w:shd w:val="clear" w:color="000000" w:fill="FFFFFF"/>
            <w:noWrap/>
            <w:vAlign w:val="bottom"/>
            <w:hideMark/>
          </w:tcPr>
          <w:p w14:paraId="3945632F"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5FAC9A2"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7116113C"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single" w:sz="4" w:space="0" w:color="auto"/>
            </w:tcBorders>
            <w:shd w:val="clear" w:color="000000" w:fill="FFFFFF"/>
            <w:noWrap/>
            <w:vAlign w:val="bottom"/>
            <w:hideMark/>
          </w:tcPr>
          <w:p w14:paraId="76A00C47"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0.7%</w:t>
            </w:r>
          </w:p>
        </w:tc>
        <w:tc>
          <w:tcPr>
            <w:tcW w:w="960" w:type="dxa"/>
            <w:tcBorders>
              <w:top w:val="nil"/>
              <w:left w:val="nil"/>
              <w:bottom w:val="nil"/>
              <w:right w:val="nil"/>
            </w:tcBorders>
            <w:shd w:val="clear" w:color="000000" w:fill="FFFFFF"/>
            <w:noWrap/>
            <w:vAlign w:val="bottom"/>
            <w:hideMark/>
          </w:tcPr>
          <w:p w14:paraId="7503E5C4"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14</w:t>
            </w:r>
          </w:p>
        </w:tc>
        <w:tc>
          <w:tcPr>
            <w:tcW w:w="960" w:type="dxa"/>
            <w:tcBorders>
              <w:top w:val="nil"/>
              <w:left w:val="nil"/>
              <w:bottom w:val="nil"/>
              <w:right w:val="nil"/>
            </w:tcBorders>
            <w:shd w:val="clear" w:color="000000" w:fill="FFFFFF"/>
            <w:noWrap/>
            <w:vAlign w:val="bottom"/>
            <w:hideMark/>
          </w:tcPr>
          <w:p w14:paraId="319298A6"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2.2%</w:t>
            </w:r>
          </w:p>
        </w:tc>
        <w:tc>
          <w:tcPr>
            <w:tcW w:w="960" w:type="dxa"/>
            <w:tcBorders>
              <w:top w:val="nil"/>
              <w:left w:val="single" w:sz="4" w:space="0" w:color="auto"/>
              <w:bottom w:val="nil"/>
              <w:right w:val="nil"/>
            </w:tcBorders>
            <w:shd w:val="clear" w:color="000000" w:fill="FFFFFF"/>
            <w:noWrap/>
            <w:vAlign w:val="bottom"/>
            <w:hideMark/>
          </w:tcPr>
          <w:p w14:paraId="5FF6E94D"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15</w:t>
            </w:r>
          </w:p>
        </w:tc>
        <w:tc>
          <w:tcPr>
            <w:tcW w:w="960" w:type="dxa"/>
            <w:tcBorders>
              <w:top w:val="nil"/>
              <w:left w:val="nil"/>
              <w:bottom w:val="nil"/>
              <w:right w:val="single" w:sz="4" w:space="0" w:color="auto"/>
            </w:tcBorders>
            <w:shd w:val="clear" w:color="000000" w:fill="FFFFFF"/>
            <w:noWrap/>
            <w:vAlign w:val="bottom"/>
            <w:hideMark/>
          </w:tcPr>
          <w:p w14:paraId="1E611660"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2.9%</w:t>
            </w:r>
          </w:p>
        </w:tc>
        <w:tc>
          <w:tcPr>
            <w:tcW w:w="960" w:type="dxa"/>
            <w:tcBorders>
              <w:top w:val="nil"/>
              <w:left w:val="nil"/>
              <w:bottom w:val="nil"/>
              <w:right w:val="nil"/>
            </w:tcBorders>
            <w:shd w:val="clear" w:color="000000" w:fill="FFFFFF"/>
            <w:noWrap/>
            <w:vAlign w:val="bottom"/>
            <w:hideMark/>
          </w:tcPr>
          <w:p w14:paraId="0DA42DD4"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48</w:t>
            </w:r>
          </w:p>
        </w:tc>
        <w:tc>
          <w:tcPr>
            <w:tcW w:w="960" w:type="dxa"/>
            <w:tcBorders>
              <w:top w:val="nil"/>
              <w:left w:val="nil"/>
              <w:bottom w:val="nil"/>
              <w:right w:val="single" w:sz="4" w:space="0" w:color="auto"/>
            </w:tcBorders>
            <w:shd w:val="clear" w:color="000000" w:fill="FFFFFF"/>
            <w:noWrap/>
            <w:vAlign w:val="bottom"/>
            <w:hideMark/>
          </w:tcPr>
          <w:p w14:paraId="6E7EE665" w14:textId="77777777" w:rsidR="00E72A06" w:rsidRPr="00E72A06" w:rsidRDefault="00E72A06" w:rsidP="00E72A06">
            <w:pPr>
              <w:spacing w:after="0" w:line="240" w:lineRule="auto"/>
              <w:jc w:val="right"/>
              <w:rPr>
                <w:rFonts w:asciiTheme="minorHAnsi" w:eastAsia="Times New Roman" w:hAnsiTheme="minorHAnsi" w:cs="Times New Roman"/>
                <w:color w:val="000000"/>
                <w:kern w:val="0"/>
                <w:szCs w:val="22"/>
                <w:lang w:eastAsia="en-GB"/>
                <w14:ligatures w14:val="none"/>
              </w:rPr>
            </w:pPr>
            <w:r w:rsidRPr="00E72A06">
              <w:rPr>
                <w:rFonts w:asciiTheme="minorHAnsi" w:eastAsia="Times New Roman" w:hAnsiTheme="minorHAnsi" w:cs="Times New Roman"/>
                <w:color w:val="000000"/>
                <w:kern w:val="0"/>
                <w:szCs w:val="22"/>
                <w:lang w:eastAsia="en-GB"/>
                <w14:ligatures w14:val="none"/>
              </w:rPr>
              <w:t>6.5%</w:t>
            </w:r>
          </w:p>
        </w:tc>
      </w:tr>
      <w:tr w:rsidR="00E72A06" w:rsidRPr="007E2527" w14:paraId="142ACA8B" w14:textId="77777777" w:rsidTr="00B042E0">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29D07660" w14:textId="77777777" w:rsidR="00E72A06" w:rsidRPr="00E72A06" w:rsidRDefault="00E72A06" w:rsidP="00E72A06">
            <w:pPr>
              <w:spacing w:after="0" w:line="240" w:lineRule="auto"/>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3D5A0B81"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26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2782A68"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6FFA9C1"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947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9202003"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078F733"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636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BB0066B"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AF2F4C2"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511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5A4B807"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B34C0A2"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740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1CEC365" w14:textId="77777777" w:rsidR="00E72A06" w:rsidRPr="00E72A06" w:rsidRDefault="00E72A06" w:rsidP="00E72A0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72A06">
              <w:rPr>
                <w:rFonts w:asciiTheme="minorHAnsi" w:eastAsia="Times New Roman" w:hAnsiTheme="minorHAnsi" w:cs="Times New Roman"/>
                <w:b/>
                <w:bCs/>
                <w:color w:val="000000"/>
                <w:kern w:val="0"/>
                <w:szCs w:val="22"/>
                <w:lang w:eastAsia="en-GB"/>
                <w14:ligatures w14:val="none"/>
              </w:rPr>
              <w:t>100%</w:t>
            </w:r>
          </w:p>
        </w:tc>
      </w:tr>
    </w:tbl>
    <w:p w14:paraId="44C778DA" w14:textId="77777777" w:rsidR="00E72A06" w:rsidRPr="007E2527" w:rsidRDefault="00E72A06" w:rsidP="00E72A06">
      <w:pPr>
        <w:rPr>
          <w:rFonts w:asciiTheme="minorHAnsi" w:hAnsiTheme="minorHAnsi"/>
          <w:b/>
          <w:bCs/>
          <w:szCs w:val="22"/>
        </w:rPr>
      </w:pPr>
    </w:p>
    <w:p w14:paraId="50968457" w14:textId="4D3F3CE1" w:rsidR="006F0D92" w:rsidRPr="007E2527" w:rsidRDefault="006F0D92" w:rsidP="00E07335">
      <w:pPr>
        <w:rPr>
          <w:rFonts w:asciiTheme="minorHAnsi" w:hAnsiTheme="minorHAnsi"/>
          <w:b/>
          <w:bCs/>
          <w:szCs w:val="22"/>
        </w:rPr>
      </w:pPr>
    </w:p>
    <w:p w14:paraId="1D9A69AB" w14:textId="77777777" w:rsidR="00FA259D" w:rsidRPr="007E2527" w:rsidRDefault="00FA259D" w:rsidP="00E07335">
      <w:pPr>
        <w:rPr>
          <w:rFonts w:asciiTheme="minorHAnsi" w:hAnsiTheme="minorHAnsi"/>
          <w:b/>
          <w:bCs/>
          <w:szCs w:val="22"/>
        </w:rPr>
      </w:pPr>
    </w:p>
    <w:p w14:paraId="3059D9BD" w14:textId="4E86FE47" w:rsidR="006F0D92" w:rsidRPr="007E2527" w:rsidRDefault="006F0D92"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age group and grade, 2025 (n=3,381)</w:t>
      </w:r>
    </w:p>
    <w:tbl>
      <w:tblPr>
        <w:tblW w:w="11244" w:type="dxa"/>
        <w:tblLayout w:type="fixed"/>
        <w:tblLook w:val="04A0" w:firstRow="1" w:lastRow="0" w:firstColumn="1" w:lastColumn="0" w:noHBand="0" w:noVBand="1"/>
      </w:tblPr>
      <w:tblGrid>
        <w:gridCol w:w="1644"/>
        <w:gridCol w:w="960"/>
        <w:gridCol w:w="960"/>
        <w:gridCol w:w="960"/>
        <w:gridCol w:w="960"/>
        <w:gridCol w:w="960"/>
        <w:gridCol w:w="960"/>
        <w:gridCol w:w="960"/>
        <w:gridCol w:w="960"/>
        <w:gridCol w:w="960"/>
        <w:gridCol w:w="960"/>
      </w:tblGrid>
      <w:tr w:rsidR="00CF4E62" w:rsidRPr="00CF4E62" w14:paraId="624A792B" w14:textId="77777777" w:rsidTr="00B042E0">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41EB83F6" w14:textId="77777777" w:rsidR="00CF4E62" w:rsidRPr="00CF4E62" w:rsidRDefault="00CF4E62" w:rsidP="00CF4E62">
            <w:pPr>
              <w:spacing w:after="0" w:line="240" w:lineRule="auto"/>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33245AB" w14:textId="77777777" w:rsidR="00CF4E62" w:rsidRPr="00CF4E62" w:rsidRDefault="00CF4E62" w:rsidP="00CF4E62">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Grade A</w:t>
            </w:r>
          </w:p>
        </w:tc>
        <w:tc>
          <w:tcPr>
            <w:tcW w:w="1920" w:type="dxa"/>
            <w:gridSpan w:val="2"/>
            <w:tcBorders>
              <w:top w:val="single" w:sz="4" w:space="0" w:color="auto"/>
              <w:left w:val="nil"/>
              <w:bottom w:val="nil"/>
              <w:right w:val="nil"/>
            </w:tcBorders>
            <w:shd w:val="clear" w:color="000000" w:fill="FFFFFF"/>
            <w:noWrap/>
            <w:vAlign w:val="bottom"/>
            <w:hideMark/>
          </w:tcPr>
          <w:p w14:paraId="3AA767AB" w14:textId="77777777" w:rsidR="00CF4E62" w:rsidRPr="00CF4E62" w:rsidRDefault="00CF4E62" w:rsidP="00CF4E62">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Grade B</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340EDF4" w14:textId="77777777" w:rsidR="00CF4E62" w:rsidRPr="00CF4E62" w:rsidRDefault="00CF4E62" w:rsidP="00CF4E62">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Grade C</w:t>
            </w:r>
          </w:p>
        </w:tc>
        <w:tc>
          <w:tcPr>
            <w:tcW w:w="1920" w:type="dxa"/>
            <w:gridSpan w:val="2"/>
            <w:tcBorders>
              <w:top w:val="single" w:sz="4" w:space="0" w:color="auto"/>
              <w:left w:val="nil"/>
              <w:bottom w:val="nil"/>
              <w:right w:val="nil"/>
            </w:tcBorders>
            <w:shd w:val="clear" w:color="000000" w:fill="FFFFFF"/>
            <w:noWrap/>
            <w:vAlign w:val="bottom"/>
            <w:hideMark/>
          </w:tcPr>
          <w:p w14:paraId="2CF58A86" w14:textId="77777777" w:rsidR="00CF4E62" w:rsidRPr="00CF4E62" w:rsidRDefault="00CF4E62" w:rsidP="00CF4E62">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Grade D</w:t>
            </w:r>
          </w:p>
        </w:tc>
        <w:tc>
          <w:tcPr>
            <w:tcW w:w="1920"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62D00B32" w14:textId="77777777" w:rsidR="00CF4E62" w:rsidRPr="00CF4E62" w:rsidRDefault="00CF4E62" w:rsidP="00CF4E62">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Grade E</w:t>
            </w:r>
          </w:p>
        </w:tc>
      </w:tr>
      <w:tr w:rsidR="00CF4E62" w:rsidRPr="007E2527" w14:paraId="445BC202" w14:textId="77777777" w:rsidTr="00B042E0">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5E175810" w14:textId="77777777" w:rsidR="00CF4E62" w:rsidRPr="00CF4E62" w:rsidRDefault="00CF4E62" w:rsidP="00CF4E62">
            <w:pPr>
              <w:spacing w:after="0" w:line="240" w:lineRule="auto"/>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409A37CD"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75B9314"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F265DC8"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DE86A57"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8447DA5"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6950E51"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F52F811"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D037851"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92BBAF4"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DB00279" w14:textId="77777777" w:rsidR="00CF4E62" w:rsidRPr="00CF4E62" w:rsidRDefault="00CF4E62" w:rsidP="00CF4E62">
            <w:pPr>
              <w:spacing w:after="0" w:line="240" w:lineRule="auto"/>
              <w:jc w:val="center"/>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w:t>
            </w:r>
          </w:p>
        </w:tc>
      </w:tr>
      <w:tr w:rsidR="00CF4E62" w:rsidRPr="007E2527" w14:paraId="6EC06565"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0F2EAFB4" w14:textId="77777777" w:rsidR="00CF4E62" w:rsidRPr="00CF4E62" w:rsidRDefault="00CF4E62" w:rsidP="00CF4E62">
            <w:pPr>
              <w:spacing w:after="0" w:line="240" w:lineRule="auto"/>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&lt;=25</w:t>
            </w:r>
          </w:p>
        </w:tc>
        <w:tc>
          <w:tcPr>
            <w:tcW w:w="960" w:type="dxa"/>
            <w:tcBorders>
              <w:top w:val="single" w:sz="4" w:space="0" w:color="auto"/>
              <w:left w:val="single" w:sz="4" w:space="0" w:color="auto"/>
              <w:bottom w:val="nil"/>
              <w:right w:val="nil"/>
            </w:tcBorders>
            <w:shd w:val="clear" w:color="000000" w:fill="FFFFFF"/>
            <w:noWrap/>
            <w:vAlign w:val="bottom"/>
            <w:hideMark/>
          </w:tcPr>
          <w:p w14:paraId="0D17523A"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nil"/>
            </w:tcBorders>
            <w:shd w:val="clear" w:color="000000" w:fill="FFFFFF"/>
            <w:noWrap/>
            <w:vAlign w:val="bottom"/>
            <w:hideMark/>
          </w:tcPr>
          <w:p w14:paraId="52BA39A2"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3.5%</w:t>
            </w:r>
          </w:p>
        </w:tc>
        <w:tc>
          <w:tcPr>
            <w:tcW w:w="960" w:type="dxa"/>
            <w:tcBorders>
              <w:top w:val="single" w:sz="4" w:space="0" w:color="auto"/>
              <w:left w:val="single" w:sz="4" w:space="0" w:color="auto"/>
              <w:bottom w:val="nil"/>
              <w:right w:val="nil"/>
            </w:tcBorders>
            <w:shd w:val="clear" w:color="000000" w:fill="FFFFFF"/>
            <w:noWrap/>
            <w:vAlign w:val="bottom"/>
            <w:hideMark/>
          </w:tcPr>
          <w:p w14:paraId="4D41EF64"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single" w:sz="4" w:space="0" w:color="auto"/>
            </w:tcBorders>
            <w:shd w:val="clear" w:color="000000" w:fill="FFFFFF"/>
            <w:noWrap/>
            <w:vAlign w:val="bottom"/>
            <w:hideMark/>
          </w:tcPr>
          <w:p w14:paraId="7589AC9C"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8.0%</w:t>
            </w:r>
          </w:p>
        </w:tc>
        <w:tc>
          <w:tcPr>
            <w:tcW w:w="960" w:type="dxa"/>
            <w:tcBorders>
              <w:top w:val="single" w:sz="4" w:space="0" w:color="auto"/>
              <w:left w:val="nil"/>
              <w:bottom w:val="nil"/>
              <w:right w:val="nil"/>
            </w:tcBorders>
            <w:shd w:val="clear" w:color="000000" w:fill="FFFFFF"/>
            <w:noWrap/>
            <w:vAlign w:val="bottom"/>
            <w:hideMark/>
          </w:tcPr>
          <w:p w14:paraId="3DAFE258"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49</w:t>
            </w:r>
          </w:p>
        </w:tc>
        <w:tc>
          <w:tcPr>
            <w:tcW w:w="960" w:type="dxa"/>
            <w:tcBorders>
              <w:top w:val="nil"/>
              <w:left w:val="nil"/>
              <w:bottom w:val="nil"/>
              <w:right w:val="nil"/>
            </w:tcBorders>
            <w:shd w:val="clear" w:color="000000" w:fill="FFFFFF"/>
            <w:noWrap/>
            <w:vAlign w:val="bottom"/>
            <w:hideMark/>
          </w:tcPr>
          <w:p w14:paraId="1F8B259C"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12.7%</w:t>
            </w:r>
          </w:p>
        </w:tc>
        <w:tc>
          <w:tcPr>
            <w:tcW w:w="960" w:type="dxa"/>
            <w:tcBorders>
              <w:top w:val="single" w:sz="4" w:space="0" w:color="auto"/>
              <w:left w:val="single" w:sz="4" w:space="0" w:color="auto"/>
              <w:bottom w:val="nil"/>
              <w:right w:val="nil"/>
            </w:tcBorders>
            <w:shd w:val="clear" w:color="000000" w:fill="FFFFFF"/>
            <w:noWrap/>
            <w:vAlign w:val="bottom"/>
            <w:hideMark/>
          </w:tcPr>
          <w:p w14:paraId="382E8AC5"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76</w:t>
            </w:r>
          </w:p>
        </w:tc>
        <w:tc>
          <w:tcPr>
            <w:tcW w:w="960" w:type="dxa"/>
            <w:tcBorders>
              <w:top w:val="nil"/>
              <w:left w:val="nil"/>
              <w:bottom w:val="nil"/>
              <w:right w:val="single" w:sz="4" w:space="0" w:color="auto"/>
            </w:tcBorders>
            <w:shd w:val="clear" w:color="000000" w:fill="FFFFFF"/>
            <w:noWrap/>
            <w:vAlign w:val="bottom"/>
            <w:hideMark/>
          </w:tcPr>
          <w:p w14:paraId="6C8E6AC6"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12.7%</w:t>
            </w:r>
          </w:p>
        </w:tc>
        <w:tc>
          <w:tcPr>
            <w:tcW w:w="960" w:type="dxa"/>
            <w:tcBorders>
              <w:top w:val="single" w:sz="4" w:space="0" w:color="auto"/>
              <w:left w:val="nil"/>
              <w:bottom w:val="nil"/>
              <w:right w:val="nil"/>
            </w:tcBorders>
            <w:shd w:val="clear" w:color="000000" w:fill="FFFFFF"/>
            <w:noWrap/>
            <w:vAlign w:val="bottom"/>
            <w:hideMark/>
          </w:tcPr>
          <w:p w14:paraId="2EA32B83"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single" w:sz="4" w:space="0" w:color="auto"/>
            </w:tcBorders>
            <w:shd w:val="clear" w:color="000000" w:fill="FFFFFF"/>
            <w:noWrap/>
            <w:vAlign w:val="bottom"/>
            <w:hideMark/>
          </w:tcPr>
          <w:p w14:paraId="44C9048D"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4.0%</w:t>
            </w:r>
          </w:p>
        </w:tc>
      </w:tr>
      <w:tr w:rsidR="00CF4E62" w:rsidRPr="007E2527" w14:paraId="04BF95FD"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65FEBB2A" w14:textId="77777777" w:rsidR="00CF4E62" w:rsidRPr="00CF4E62" w:rsidRDefault="00CF4E62" w:rsidP="00CF4E62">
            <w:pPr>
              <w:spacing w:after="0" w:line="240" w:lineRule="auto"/>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26-35</w:t>
            </w:r>
          </w:p>
        </w:tc>
        <w:tc>
          <w:tcPr>
            <w:tcW w:w="960" w:type="dxa"/>
            <w:tcBorders>
              <w:top w:val="nil"/>
              <w:left w:val="single" w:sz="4" w:space="0" w:color="auto"/>
              <w:bottom w:val="nil"/>
              <w:right w:val="nil"/>
            </w:tcBorders>
            <w:shd w:val="clear" w:color="000000" w:fill="FFFFFF"/>
            <w:noWrap/>
            <w:vAlign w:val="bottom"/>
            <w:hideMark/>
          </w:tcPr>
          <w:p w14:paraId="785F349D"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nil"/>
            </w:tcBorders>
            <w:shd w:val="clear" w:color="000000" w:fill="FFFFFF"/>
            <w:noWrap/>
            <w:vAlign w:val="bottom"/>
            <w:hideMark/>
          </w:tcPr>
          <w:p w14:paraId="77725CA0"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8.7%</w:t>
            </w:r>
          </w:p>
        </w:tc>
        <w:tc>
          <w:tcPr>
            <w:tcW w:w="960" w:type="dxa"/>
            <w:tcBorders>
              <w:top w:val="nil"/>
              <w:left w:val="single" w:sz="4" w:space="0" w:color="auto"/>
              <w:bottom w:val="nil"/>
              <w:right w:val="nil"/>
            </w:tcBorders>
            <w:shd w:val="clear" w:color="000000" w:fill="FFFFFF"/>
            <w:noWrap/>
            <w:vAlign w:val="bottom"/>
            <w:hideMark/>
          </w:tcPr>
          <w:p w14:paraId="79584E0C"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single" w:sz="4" w:space="0" w:color="auto"/>
            </w:tcBorders>
            <w:shd w:val="clear" w:color="000000" w:fill="FFFFFF"/>
            <w:noWrap/>
            <w:vAlign w:val="bottom"/>
            <w:hideMark/>
          </w:tcPr>
          <w:p w14:paraId="4BB7202A"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20.8%</w:t>
            </w:r>
          </w:p>
        </w:tc>
        <w:tc>
          <w:tcPr>
            <w:tcW w:w="960" w:type="dxa"/>
            <w:tcBorders>
              <w:top w:val="nil"/>
              <w:left w:val="nil"/>
              <w:bottom w:val="nil"/>
              <w:right w:val="nil"/>
            </w:tcBorders>
            <w:shd w:val="clear" w:color="000000" w:fill="FFFFFF"/>
            <w:noWrap/>
            <w:vAlign w:val="bottom"/>
            <w:hideMark/>
          </w:tcPr>
          <w:p w14:paraId="4B59C433"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nil"/>
            </w:tcBorders>
            <w:shd w:val="clear" w:color="000000" w:fill="FFFFFF"/>
            <w:noWrap/>
            <w:vAlign w:val="bottom"/>
            <w:hideMark/>
          </w:tcPr>
          <w:p w14:paraId="4DC8A34E"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26.2%</w:t>
            </w:r>
          </w:p>
        </w:tc>
        <w:tc>
          <w:tcPr>
            <w:tcW w:w="960" w:type="dxa"/>
            <w:tcBorders>
              <w:top w:val="nil"/>
              <w:left w:val="single" w:sz="4" w:space="0" w:color="auto"/>
              <w:bottom w:val="nil"/>
              <w:right w:val="nil"/>
            </w:tcBorders>
            <w:shd w:val="clear" w:color="000000" w:fill="FFFFFF"/>
            <w:noWrap/>
            <w:vAlign w:val="bottom"/>
            <w:hideMark/>
          </w:tcPr>
          <w:p w14:paraId="252DCBD1"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176</w:t>
            </w:r>
          </w:p>
        </w:tc>
        <w:tc>
          <w:tcPr>
            <w:tcW w:w="960" w:type="dxa"/>
            <w:tcBorders>
              <w:top w:val="nil"/>
              <w:left w:val="nil"/>
              <w:bottom w:val="nil"/>
              <w:right w:val="single" w:sz="4" w:space="0" w:color="auto"/>
            </w:tcBorders>
            <w:shd w:val="clear" w:color="000000" w:fill="FFFFFF"/>
            <w:noWrap/>
            <w:vAlign w:val="bottom"/>
            <w:hideMark/>
          </w:tcPr>
          <w:p w14:paraId="68F0DAA7"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29.4%</w:t>
            </w:r>
          </w:p>
        </w:tc>
        <w:tc>
          <w:tcPr>
            <w:tcW w:w="960" w:type="dxa"/>
            <w:tcBorders>
              <w:top w:val="nil"/>
              <w:left w:val="nil"/>
              <w:bottom w:val="nil"/>
              <w:right w:val="nil"/>
            </w:tcBorders>
            <w:shd w:val="clear" w:color="000000" w:fill="FFFFFF"/>
            <w:noWrap/>
            <w:vAlign w:val="bottom"/>
            <w:hideMark/>
          </w:tcPr>
          <w:p w14:paraId="7B012EAD"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194</w:t>
            </w:r>
          </w:p>
        </w:tc>
        <w:tc>
          <w:tcPr>
            <w:tcW w:w="960" w:type="dxa"/>
            <w:tcBorders>
              <w:top w:val="nil"/>
              <w:left w:val="nil"/>
              <w:bottom w:val="nil"/>
              <w:right w:val="single" w:sz="4" w:space="0" w:color="auto"/>
            </w:tcBorders>
            <w:shd w:val="clear" w:color="000000" w:fill="FFFFFF"/>
            <w:noWrap/>
            <w:vAlign w:val="bottom"/>
            <w:hideMark/>
          </w:tcPr>
          <w:p w14:paraId="7768A645"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30.9%</w:t>
            </w:r>
          </w:p>
        </w:tc>
      </w:tr>
      <w:tr w:rsidR="00CF4E62" w:rsidRPr="007E2527" w14:paraId="2F9F4D83"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44E9B432" w14:textId="77777777" w:rsidR="00CF4E62" w:rsidRPr="00CF4E62" w:rsidRDefault="00CF4E62" w:rsidP="00CF4E62">
            <w:pPr>
              <w:spacing w:after="0" w:line="240" w:lineRule="auto"/>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36-45</w:t>
            </w:r>
          </w:p>
        </w:tc>
        <w:tc>
          <w:tcPr>
            <w:tcW w:w="960" w:type="dxa"/>
            <w:tcBorders>
              <w:top w:val="nil"/>
              <w:left w:val="single" w:sz="4" w:space="0" w:color="auto"/>
              <w:bottom w:val="nil"/>
              <w:right w:val="nil"/>
            </w:tcBorders>
            <w:shd w:val="clear" w:color="000000" w:fill="FFFFFF"/>
            <w:noWrap/>
            <w:vAlign w:val="bottom"/>
            <w:hideMark/>
          </w:tcPr>
          <w:p w14:paraId="54B2BF39"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39</w:t>
            </w:r>
          </w:p>
        </w:tc>
        <w:tc>
          <w:tcPr>
            <w:tcW w:w="960" w:type="dxa"/>
            <w:tcBorders>
              <w:top w:val="nil"/>
              <w:left w:val="nil"/>
              <w:bottom w:val="nil"/>
              <w:right w:val="nil"/>
            </w:tcBorders>
            <w:shd w:val="clear" w:color="000000" w:fill="FFFFFF"/>
            <w:noWrap/>
            <w:vAlign w:val="bottom"/>
            <w:hideMark/>
          </w:tcPr>
          <w:p w14:paraId="685EDE79"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13.6%</w:t>
            </w:r>
          </w:p>
        </w:tc>
        <w:tc>
          <w:tcPr>
            <w:tcW w:w="960" w:type="dxa"/>
            <w:tcBorders>
              <w:top w:val="nil"/>
              <w:left w:val="single" w:sz="4" w:space="0" w:color="auto"/>
              <w:bottom w:val="nil"/>
              <w:right w:val="nil"/>
            </w:tcBorders>
            <w:shd w:val="clear" w:color="000000" w:fill="FFFFFF"/>
            <w:noWrap/>
            <w:vAlign w:val="bottom"/>
            <w:hideMark/>
          </w:tcPr>
          <w:p w14:paraId="1A89AFF6"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20</w:t>
            </w:r>
          </w:p>
        </w:tc>
        <w:tc>
          <w:tcPr>
            <w:tcW w:w="960" w:type="dxa"/>
            <w:tcBorders>
              <w:top w:val="nil"/>
              <w:left w:val="nil"/>
              <w:bottom w:val="nil"/>
              <w:right w:val="single" w:sz="4" w:space="0" w:color="auto"/>
            </w:tcBorders>
            <w:shd w:val="clear" w:color="000000" w:fill="FFFFFF"/>
            <w:noWrap/>
            <w:vAlign w:val="bottom"/>
            <w:hideMark/>
          </w:tcPr>
          <w:p w14:paraId="2F302857"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16.0%</w:t>
            </w:r>
          </w:p>
        </w:tc>
        <w:tc>
          <w:tcPr>
            <w:tcW w:w="960" w:type="dxa"/>
            <w:tcBorders>
              <w:top w:val="nil"/>
              <w:left w:val="nil"/>
              <w:bottom w:val="nil"/>
              <w:right w:val="nil"/>
            </w:tcBorders>
            <w:shd w:val="clear" w:color="000000" w:fill="FFFFFF"/>
            <w:noWrap/>
            <w:vAlign w:val="bottom"/>
            <w:hideMark/>
          </w:tcPr>
          <w:p w14:paraId="65885F61"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64</w:t>
            </w:r>
          </w:p>
        </w:tc>
        <w:tc>
          <w:tcPr>
            <w:tcW w:w="960" w:type="dxa"/>
            <w:tcBorders>
              <w:top w:val="nil"/>
              <w:left w:val="nil"/>
              <w:bottom w:val="nil"/>
              <w:right w:val="nil"/>
            </w:tcBorders>
            <w:shd w:val="clear" w:color="000000" w:fill="FFFFFF"/>
            <w:noWrap/>
            <w:vAlign w:val="bottom"/>
            <w:hideMark/>
          </w:tcPr>
          <w:p w14:paraId="3BBFFAE8"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16.6%</w:t>
            </w:r>
          </w:p>
        </w:tc>
        <w:tc>
          <w:tcPr>
            <w:tcW w:w="960" w:type="dxa"/>
            <w:tcBorders>
              <w:top w:val="nil"/>
              <w:left w:val="single" w:sz="4" w:space="0" w:color="auto"/>
              <w:bottom w:val="nil"/>
              <w:right w:val="nil"/>
            </w:tcBorders>
            <w:shd w:val="clear" w:color="000000" w:fill="FFFFFF"/>
            <w:noWrap/>
            <w:vAlign w:val="bottom"/>
            <w:hideMark/>
          </w:tcPr>
          <w:p w14:paraId="4F097AFC"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133</w:t>
            </w:r>
          </w:p>
        </w:tc>
        <w:tc>
          <w:tcPr>
            <w:tcW w:w="960" w:type="dxa"/>
            <w:tcBorders>
              <w:top w:val="nil"/>
              <w:left w:val="nil"/>
              <w:bottom w:val="nil"/>
              <w:right w:val="single" w:sz="4" w:space="0" w:color="auto"/>
            </w:tcBorders>
            <w:shd w:val="clear" w:color="000000" w:fill="FFFFFF"/>
            <w:noWrap/>
            <w:vAlign w:val="bottom"/>
            <w:hideMark/>
          </w:tcPr>
          <w:p w14:paraId="39BFF42F"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22.2%</w:t>
            </w:r>
          </w:p>
        </w:tc>
        <w:tc>
          <w:tcPr>
            <w:tcW w:w="960" w:type="dxa"/>
            <w:tcBorders>
              <w:top w:val="nil"/>
              <w:left w:val="nil"/>
              <w:bottom w:val="nil"/>
              <w:right w:val="nil"/>
            </w:tcBorders>
            <w:shd w:val="clear" w:color="000000" w:fill="FFFFFF"/>
            <w:noWrap/>
            <w:vAlign w:val="bottom"/>
            <w:hideMark/>
          </w:tcPr>
          <w:p w14:paraId="1407725D"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177</w:t>
            </w:r>
          </w:p>
        </w:tc>
        <w:tc>
          <w:tcPr>
            <w:tcW w:w="960" w:type="dxa"/>
            <w:tcBorders>
              <w:top w:val="nil"/>
              <w:left w:val="nil"/>
              <w:bottom w:val="nil"/>
              <w:right w:val="single" w:sz="4" w:space="0" w:color="auto"/>
            </w:tcBorders>
            <w:shd w:val="clear" w:color="000000" w:fill="FFFFFF"/>
            <w:noWrap/>
            <w:vAlign w:val="bottom"/>
            <w:hideMark/>
          </w:tcPr>
          <w:p w14:paraId="7CBB119A"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28.2%</w:t>
            </w:r>
          </w:p>
        </w:tc>
      </w:tr>
      <w:tr w:rsidR="00CF4E62" w:rsidRPr="007E2527" w14:paraId="1D38B421"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0D6D6B24" w14:textId="77777777" w:rsidR="00CF4E62" w:rsidRPr="00CF4E62" w:rsidRDefault="00CF4E62" w:rsidP="00CF4E62">
            <w:pPr>
              <w:spacing w:after="0" w:line="240" w:lineRule="auto"/>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46-55</w:t>
            </w:r>
          </w:p>
        </w:tc>
        <w:tc>
          <w:tcPr>
            <w:tcW w:w="960" w:type="dxa"/>
            <w:tcBorders>
              <w:top w:val="nil"/>
              <w:left w:val="single" w:sz="4" w:space="0" w:color="auto"/>
              <w:bottom w:val="nil"/>
              <w:right w:val="nil"/>
            </w:tcBorders>
            <w:shd w:val="clear" w:color="000000" w:fill="FFFFFF"/>
            <w:noWrap/>
            <w:vAlign w:val="bottom"/>
            <w:hideMark/>
          </w:tcPr>
          <w:p w14:paraId="39B401AB"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50</w:t>
            </w:r>
          </w:p>
        </w:tc>
        <w:tc>
          <w:tcPr>
            <w:tcW w:w="960" w:type="dxa"/>
            <w:tcBorders>
              <w:top w:val="nil"/>
              <w:left w:val="nil"/>
              <w:bottom w:val="nil"/>
              <w:right w:val="nil"/>
            </w:tcBorders>
            <w:shd w:val="clear" w:color="000000" w:fill="FFFFFF"/>
            <w:noWrap/>
            <w:vAlign w:val="bottom"/>
            <w:hideMark/>
          </w:tcPr>
          <w:p w14:paraId="49B0E2CC"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17.5%</w:t>
            </w:r>
          </w:p>
        </w:tc>
        <w:tc>
          <w:tcPr>
            <w:tcW w:w="960" w:type="dxa"/>
            <w:tcBorders>
              <w:top w:val="nil"/>
              <w:left w:val="single" w:sz="4" w:space="0" w:color="auto"/>
              <w:bottom w:val="nil"/>
              <w:right w:val="nil"/>
            </w:tcBorders>
            <w:shd w:val="clear" w:color="000000" w:fill="FFFFFF"/>
            <w:noWrap/>
            <w:vAlign w:val="bottom"/>
            <w:hideMark/>
          </w:tcPr>
          <w:p w14:paraId="21F9989C"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28</w:t>
            </w:r>
          </w:p>
        </w:tc>
        <w:tc>
          <w:tcPr>
            <w:tcW w:w="960" w:type="dxa"/>
            <w:tcBorders>
              <w:top w:val="nil"/>
              <w:left w:val="nil"/>
              <w:bottom w:val="nil"/>
              <w:right w:val="single" w:sz="4" w:space="0" w:color="auto"/>
            </w:tcBorders>
            <w:shd w:val="clear" w:color="000000" w:fill="FFFFFF"/>
            <w:noWrap/>
            <w:vAlign w:val="bottom"/>
            <w:hideMark/>
          </w:tcPr>
          <w:p w14:paraId="7F604CBE"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22.4%</w:t>
            </w:r>
          </w:p>
        </w:tc>
        <w:tc>
          <w:tcPr>
            <w:tcW w:w="960" w:type="dxa"/>
            <w:tcBorders>
              <w:top w:val="nil"/>
              <w:left w:val="nil"/>
              <w:bottom w:val="nil"/>
              <w:right w:val="nil"/>
            </w:tcBorders>
            <w:shd w:val="clear" w:color="000000" w:fill="FFFFFF"/>
            <w:noWrap/>
            <w:vAlign w:val="bottom"/>
            <w:hideMark/>
          </w:tcPr>
          <w:p w14:paraId="2C6D1E72"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82</w:t>
            </w:r>
          </w:p>
        </w:tc>
        <w:tc>
          <w:tcPr>
            <w:tcW w:w="960" w:type="dxa"/>
            <w:tcBorders>
              <w:top w:val="nil"/>
              <w:left w:val="nil"/>
              <w:bottom w:val="nil"/>
              <w:right w:val="nil"/>
            </w:tcBorders>
            <w:shd w:val="clear" w:color="000000" w:fill="FFFFFF"/>
            <w:noWrap/>
            <w:vAlign w:val="bottom"/>
            <w:hideMark/>
          </w:tcPr>
          <w:p w14:paraId="7135B3FB"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21.3%</w:t>
            </w:r>
          </w:p>
        </w:tc>
        <w:tc>
          <w:tcPr>
            <w:tcW w:w="960" w:type="dxa"/>
            <w:tcBorders>
              <w:top w:val="nil"/>
              <w:left w:val="single" w:sz="4" w:space="0" w:color="auto"/>
              <w:bottom w:val="nil"/>
              <w:right w:val="nil"/>
            </w:tcBorders>
            <w:shd w:val="clear" w:color="000000" w:fill="FFFFFF"/>
            <w:noWrap/>
            <w:vAlign w:val="bottom"/>
            <w:hideMark/>
          </w:tcPr>
          <w:p w14:paraId="3446A9B5"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121</w:t>
            </w:r>
          </w:p>
        </w:tc>
        <w:tc>
          <w:tcPr>
            <w:tcW w:w="960" w:type="dxa"/>
            <w:tcBorders>
              <w:top w:val="nil"/>
              <w:left w:val="nil"/>
              <w:bottom w:val="nil"/>
              <w:right w:val="single" w:sz="4" w:space="0" w:color="auto"/>
            </w:tcBorders>
            <w:shd w:val="clear" w:color="000000" w:fill="FFFFFF"/>
            <w:noWrap/>
            <w:vAlign w:val="bottom"/>
            <w:hideMark/>
          </w:tcPr>
          <w:p w14:paraId="15E9529B"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20.2%</w:t>
            </w:r>
          </w:p>
        </w:tc>
        <w:tc>
          <w:tcPr>
            <w:tcW w:w="960" w:type="dxa"/>
            <w:tcBorders>
              <w:top w:val="nil"/>
              <w:left w:val="nil"/>
              <w:bottom w:val="nil"/>
              <w:right w:val="nil"/>
            </w:tcBorders>
            <w:shd w:val="clear" w:color="000000" w:fill="FFFFFF"/>
            <w:noWrap/>
            <w:vAlign w:val="bottom"/>
            <w:hideMark/>
          </w:tcPr>
          <w:p w14:paraId="3312D395"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136</w:t>
            </w:r>
          </w:p>
        </w:tc>
        <w:tc>
          <w:tcPr>
            <w:tcW w:w="960" w:type="dxa"/>
            <w:tcBorders>
              <w:top w:val="nil"/>
              <w:left w:val="nil"/>
              <w:bottom w:val="nil"/>
              <w:right w:val="single" w:sz="4" w:space="0" w:color="auto"/>
            </w:tcBorders>
            <w:shd w:val="clear" w:color="000000" w:fill="FFFFFF"/>
            <w:noWrap/>
            <w:vAlign w:val="bottom"/>
            <w:hideMark/>
          </w:tcPr>
          <w:p w14:paraId="744BDBB5"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21.7%</w:t>
            </w:r>
          </w:p>
        </w:tc>
      </w:tr>
      <w:tr w:rsidR="00CF4E62" w:rsidRPr="007E2527" w14:paraId="4296AE95"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236315C1" w14:textId="77777777" w:rsidR="00CF4E62" w:rsidRPr="00CF4E62" w:rsidRDefault="00CF4E62" w:rsidP="00CF4E62">
            <w:pPr>
              <w:spacing w:after="0" w:line="240" w:lineRule="auto"/>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56-65</w:t>
            </w:r>
          </w:p>
        </w:tc>
        <w:tc>
          <w:tcPr>
            <w:tcW w:w="960" w:type="dxa"/>
            <w:tcBorders>
              <w:top w:val="nil"/>
              <w:left w:val="single" w:sz="4" w:space="0" w:color="auto"/>
              <w:bottom w:val="nil"/>
              <w:right w:val="nil"/>
            </w:tcBorders>
            <w:shd w:val="clear" w:color="000000" w:fill="FFFFFF"/>
            <w:noWrap/>
            <w:vAlign w:val="bottom"/>
            <w:hideMark/>
          </w:tcPr>
          <w:p w14:paraId="2B4656B2"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136</w:t>
            </w:r>
          </w:p>
        </w:tc>
        <w:tc>
          <w:tcPr>
            <w:tcW w:w="960" w:type="dxa"/>
            <w:tcBorders>
              <w:top w:val="nil"/>
              <w:left w:val="nil"/>
              <w:bottom w:val="nil"/>
              <w:right w:val="nil"/>
            </w:tcBorders>
            <w:shd w:val="clear" w:color="000000" w:fill="FFFFFF"/>
            <w:noWrap/>
            <w:vAlign w:val="bottom"/>
            <w:hideMark/>
          </w:tcPr>
          <w:p w14:paraId="4478AC60"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47.6%</w:t>
            </w:r>
          </w:p>
        </w:tc>
        <w:tc>
          <w:tcPr>
            <w:tcW w:w="960" w:type="dxa"/>
            <w:tcBorders>
              <w:top w:val="nil"/>
              <w:left w:val="single" w:sz="4" w:space="0" w:color="auto"/>
              <w:bottom w:val="nil"/>
              <w:right w:val="nil"/>
            </w:tcBorders>
            <w:shd w:val="clear" w:color="000000" w:fill="FFFFFF"/>
            <w:noWrap/>
            <w:vAlign w:val="bottom"/>
            <w:hideMark/>
          </w:tcPr>
          <w:p w14:paraId="6479C42D"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36</w:t>
            </w:r>
          </w:p>
        </w:tc>
        <w:tc>
          <w:tcPr>
            <w:tcW w:w="960" w:type="dxa"/>
            <w:tcBorders>
              <w:top w:val="nil"/>
              <w:left w:val="nil"/>
              <w:bottom w:val="nil"/>
              <w:right w:val="single" w:sz="4" w:space="0" w:color="auto"/>
            </w:tcBorders>
            <w:shd w:val="clear" w:color="000000" w:fill="FFFFFF"/>
            <w:noWrap/>
            <w:vAlign w:val="bottom"/>
            <w:hideMark/>
          </w:tcPr>
          <w:p w14:paraId="2E67E25E"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28.8%</w:t>
            </w:r>
          </w:p>
        </w:tc>
        <w:tc>
          <w:tcPr>
            <w:tcW w:w="960" w:type="dxa"/>
            <w:tcBorders>
              <w:top w:val="nil"/>
              <w:left w:val="nil"/>
              <w:bottom w:val="nil"/>
              <w:right w:val="nil"/>
            </w:tcBorders>
            <w:shd w:val="clear" w:color="000000" w:fill="FFFFFF"/>
            <w:noWrap/>
            <w:vAlign w:val="bottom"/>
            <w:hideMark/>
          </w:tcPr>
          <w:p w14:paraId="6263F8D4"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81</w:t>
            </w:r>
          </w:p>
        </w:tc>
        <w:tc>
          <w:tcPr>
            <w:tcW w:w="960" w:type="dxa"/>
            <w:tcBorders>
              <w:top w:val="nil"/>
              <w:left w:val="nil"/>
              <w:bottom w:val="nil"/>
              <w:right w:val="nil"/>
            </w:tcBorders>
            <w:shd w:val="clear" w:color="000000" w:fill="FFFFFF"/>
            <w:noWrap/>
            <w:vAlign w:val="bottom"/>
            <w:hideMark/>
          </w:tcPr>
          <w:p w14:paraId="304DBE33"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21.0%</w:t>
            </w:r>
          </w:p>
        </w:tc>
        <w:tc>
          <w:tcPr>
            <w:tcW w:w="960" w:type="dxa"/>
            <w:tcBorders>
              <w:top w:val="nil"/>
              <w:left w:val="single" w:sz="4" w:space="0" w:color="auto"/>
              <w:bottom w:val="nil"/>
              <w:right w:val="nil"/>
            </w:tcBorders>
            <w:shd w:val="clear" w:color="000000" w:fill="FFFFFF"/>
            <w:noWrap/>
            <w:vAlign w:val="bottom"/>
            <w:hideMark/>
          </w:tcPr>
          <w:p w14:paraId="3186748F"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89</w:t>
            </w:r>
          </w:p>
        </w:tc>
        <w:tc>
          <w:tcPr>
            <w:tcW w:w="960" w:type="dxa"/>
            <w:tcBorders>
              <w:top w:val="nil"/>
              <w:left w:val="nil"/>
              <w:bottom w:val="nil"/>
              <w:right w:val="single" w:sz="4" w:space="0" w:color="auto"/>
            </w:tcBorders>
            <w:shd w:val="clear" w:color="000000" w:fill="FFFFFF"/>
            <w:noWrap/>
            <w:vAlign w:val="bottom"/>
            <w:hideMark/>
          </w:tcPr>
          <w:p w14:paraId="0E32571D"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14.9%</w:t>
            </w:r>
          </w:p>
        </w:tc>
        <w:tc>
          <w:tcPr>
            <w:tcW w:w="960" w:type="dxa"/>
            <w:tcBorders>
              <w:top w:val="nil"/>
              <w:left w:val="nil"/>
              <w:bottom w:val="nil"/>
              <w:right w:val="nil"/>
            </w:tcBorders>
            <w:shd w:val="clear" w:color="000000" w:fill="FFFFFF"/>
            <w:noWrap/>
            <w:vAlign w:val="bottom"/>
            <w:hideMark/>
          </w:tcPr>
          <w:p w14:paraId="3C4499C0"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83</w:t>
            </w:r>
          </w:p>
        </w:tc>
        <w:tc>
          <w:tcPr>
            <w:tcW w:w="960" w:type="dxa"/>
            <w:tcBorders>
              <w:top w:val="nil"/>
              <w:left w:val="nil"/>
              <w:bottom w:val="nil"/>
              <w:right w:val="single" w:sz="4" w:space="0" w:color="auto"/>
            </w:tcBorders>
            <w:shd w:val="clear" w:color="000000" w:fill="FFFFFF"/>
            <w:noWrap/>
            <w:vAlign w:val="bottom"/>
            <w:hideMark/>
          </w:tcPr>
          <w:p w14:paraId="2ECB26A7"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13.2%</w:t>
            </w:r>
          </w:p>
        </w:tc>
      </w:tr>
      <w:tr w:rsidR="00CF4E62" w:rsidRPr="007E2527" w14:paraId="16968303"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29B462C5" w14:textId="77777777" w:rsidR="00CF4E62" w:rsidRPr="00CF4E62" w:rsidRDefault="00CF4E62" w:rsidP="00CF4E62">
            <w:pPr>
              <w:spacing w:after="0" w:line="240" w:lineRule="auto"/>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&gt;=66</w:t>
            </w:r>
          </w:p>
        </w:tc>
        <w:tc>
          <w:tcPr>
            <w:tcW w:w="960" w:type="dxa"/>
            <w:tcBorders>
              <w:top w:val="nil"/>
              <w:left w:val="single" w:sz="4" w:space="0" w:color="auto"/>
              <w:bottom w:val="nil"/>
              <w:right w:val="nil"/>
            </w:tcBorders>
            <w:shd w:val="clear" w:color="000000" w:fill="FFFFFF"/>
            <w:noWrap/>
            <w:vAlign w:val="bottom"/>
            <w:hideMark/>
          </w:tcPr>
          <w:p w14:paraId="083DF4D7"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nil"/>
            </w:tcBorders>
            <w:shd w:val="clear" w:color="000000" w:fill="FFFFFF"/>
            <w:noWrap/>
            <w:vAlign w:val="bottom"/>
            <w:hideMark/>
          </w:tcPr>
          <w:p w14:paraId="4BE68457"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9.1%</w:t>
            </w:r>
          </w:p>
        </w:tc>
        <w:tc>
          <w:tcPr>
            <w:tcW w:w="960" w:type="dxa"/>
            <w:tcBorders>
              <w:top w:val="nil"/>
              <w:left w:val="single" w:sz="4" w:space="0" w:color="auto"/>
              <w:bottom w:val="nil"/>
              <w:right w:val="nil"/>
            </w:tcBorders>
            <w:shd w:val="clear" w:color="000000" w:fill="FFFFFF"/>
            <w:noWrap/>
            <w:vAlign w:val="bottom"/>
            <w:hideMark/>
          </w:tcPr>
          <w:p w14:paraId="656FEC33"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1C53E44"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56F27318"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8</w:t>
            </w:r>
          </w:p>
        </w:tc>
        <w:tc>
          <w:tcPr>
            <w:tcW w:w="960" w:type="dxa"/>
            <w:tcBorders>
              <w:top w:val="nil"/>
              <w:left w:val="nil"/>
              <w:bottom w:val="nil"/>
              <w:right w:val="nil"/>
            </w:tcBorders>
            <w:shd w:val="clear" w:color="000000" w:fill="FFFFFF"/>
            <w:noWrap/>
            <w:vAlign w:val="bottom"/>
            <w:hideMark/>
          </w:tcPr>
          <w:p w14:paraId="2E3648FF"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2.1%</w:t>
            </w:r>
          </w:p>
        </w:tc>
        <w:tc>
          <w:tcPr>
            <w:tcW w:w="960" w:type="dxa"/>
            <w:tcBorders>
              <w:top w:val="nil"/>
              <w:left w:val="single" w:sz="4" w:space="0" w:color="auto"/>
              <w:bottom w:val="nil"/>
              <w:right w:val="nil"/>
            </w:tcBorders>
            <w:shd w:val="clear" w:color="000000" w:fill="FFFFFF"/>
            <w:noWrap/>
            <w:vAlign w:val="bottom"/>
            <w:hideMark/>
          </w:tcPr>
          <w:p w14:paraId="739B19FA"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04086A1"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6799D3C"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single" w:sz="4" w:space="0" w:color="auto"/>
            </w:tcBorders>
            <w:shd w:val="clear" w:color="000000" w:fill="FFFFFF"/>
            <w:noWrap/>
            <w:vAlign w:val="bottom"/>
            <w:hideMark/>
          </w:tcPr>
          <w:p w14:paraId="62920353" w14:textId="77777777" w:rsidR="00CF4E62" w:rsidRPr="00CF4E62" w:rsidRDefault="00CF4E62" w:rsidP="00CF4E62">
            <w:pPr>
              <w:spacing w:after="0" w:line="240" w:lineRule="auto"/>
              <w:jc w:val="right"/>
              <w:rPr>
                <w:rFonts w:asciiTheme="minorHAnsi" w:eastAsia="Times New Roman" w:hAnsiTheme="minorHAnsi" w:cs="Times New Roman"/>
                <w:color w:val="000000"/>
                <w:kern w:val="0"/>
                <w:szCs w:val="22"/>
                <w:lang w:eastAsia="en-GB"/>
                <w14:ligatures w14:val="none"/>
              </w:rPr>
            </w:pPr>
            <w:r w:rsidRPr="00CF4E62">
              <w:rPr>
                <w:rFonts w:asciiTheme="minorHAnsi" w:eastAsia="Times New Roman" w:hAnsiTheme="minorHAnsi" w:cs="Times New Roman"/>
                <w:color w:val="000000"/>
                <w:kern w:val="0"/>
                <w:szCs w:val="22"/>
                <w:lang w:eastAsia="en-GB"/>
                <w14:ligatures w14:val="none"/>
              </w:rPr>
              <w:t>1.9%</w:t>
            </w:r>
          </w:p>
        </w:tc>
      </w:tr>
      <w:tr w:rsidR="00CF4E62" w:rsidRPr="007E2527" w14:paraId="120D7620" w14:textId="77777777" w:rsidTr="00B042E0">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272CC73C" w14:textId="77777777" w:rsidR="00CF4E62" w:rsidRPr="00CF4E62" w:rsidRDefault="00CF4E62" w:rsidP="00CF4E62">
            <w:pPr>
              <w:spacing w:after="0" w:line="240" w:lineRule="auto"/>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BE404A9"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286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593CC9D"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21DA1BD"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125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5D2AF7F"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EA35AD3"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BE039A0"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40F9B65"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598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5C95D97"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91832E9"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627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065F24D" w14:textId="77777777" w:rsidR="00CF4E62" w:rsidRPr="00CF4E62" w:rsidRDefault="00CF4E62" w:rsidP="00CF4E62">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F4E62">
              <w:rPr>
                <w:rFonts w:asciiTheme="minorHAnsi" w:eastAsia="Times New Roman" w:hAnsiTheme="minorHAnsi" w:cs="Times New Roman"/>
                <w:b/>
                <w:bCs/>
                <w:color w:val="000000"/>
                <w:kern w:val="0"/>
                <w:szCs w:val="22"/>
                <w:lang w:eastAsia="en-GB"/>
                <w14:ligatures w14:val="none"/>
              </w:rPr>
              <w:t>100%</w:t>
            </w:r>
          </w:p>
        </w:tc>
      </w:tr>
    </w:tbl>
    <w:p w14:paraId="410B74F6" w14:textId="77777777" w:rsidR="00E72A06" w:rsidRPr="007E2527" w:rsidRDefault="00E72A06" w:rsidP="00E72A06">
      <w:pPr>
        <w:rPr>
          <w:rFonts w:asciiTheme="minorHAnsi" w:hAnsiTheme="minorHAnsi"/>
          <w:b/>
          <w:bCs/>
          <w:szCs w:val="22"/>
        </w:rPr>
      </w:pPr>
    </w:p>
    <w:tbl>
      <w:tblPr>
        <w:tblW w:w="9324" w:type="dxa"/>
        <w:tblLayout w:type="fixed"/>
        <w:tblLook w:val="04A0" w:firstRow="1" w:lastRow="0" w:firstColumn="1" w:lastColumn="0" w:noHBand="0" w:noVBand="1"/>
      </w:tblPr>
      <w:tblGrid>
        <w:gridCol w:w="1644"/>
        <w:gridCol w:w="960"/>
        <w:gridCol w:w="960"/>
        <w:gridCol w:w="960"/>
        <w:gridCol w:w="960"/>
        <w:gridCol w:w="960"/>
        <w:gridCol w:w="960"/>
        <w:gridCol w:w="960"/>
        <w:gridCol w:w="960"/>
      </w:tblGrid>
      <w:tr w:rsidR="00F1764C" w:rsidRPr="00F1764C" w14:paraId="53B845B0" w14:textId="77777777" w:rsidTr="00B042E0">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0CD1BF7E" w14:textId="77777777" w:rsidR="00F1764C" w:rsidRPr="00F1764C" w:rsidRDefault="00F1764C" w:rsidP="00F1764C">
            <w:pPr>
              <w:spacing w:after="0" w:line="240" w:lineRule="auto"/>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5AC007D" w14:textId="77777777" w:rsidR="00F1764C" w:rsidRPr="00F1764C" w:rsidRDefault="00F1764C" w:rsidP="00F1764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29BB2B3" w14:textId="77777777" w:rsidR="00F1764C" w:rsidRPr="00F1764C" w:rsidRDefault="00F1764C" w:rsidP="00F1764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A233718" w14:textId="77777777" w:rsidR="00F1764C" w:rsidRPr="00F1764C" w:rsidRDefault="00F1764C" w:rsidP="00F1764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4058B28" w14:textId="77777777" w:rsidR="00F1764C" w:rsidRPr="00F1764C" w:rsidRDefault="00F1764C" w:rsidP="00F1764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Grade I</w:t>
            </w:r>
          </w:p>
        </w:tc>
      </w:tr>
      <w:tr w:rsidR="00F1764C" w:rsidRPr="007E2527" w14:paraId="12B13CCA" w14:textId="77777777" w:rsidTr="00B042E0">
        <w:trPr>
          <w:trHeight w:val="300"/>
        </w:trPr>
        <w:tc>
          <w:tcPr>
            <w:tcW w:w="1644" w:type="dxa"/>
            <w:tcBorders>
              <w:top w:val="nil"/>
              <w:left w:val="single" w:sz="4" w:space="0" w:color="auto"/>
              <w:bottom w:val="single" w:sz="4" w:space="0" w:color="auto"/>
              <w:right w:val="single" w:sz="4" w:space="0" w:color="auto"/>
            </w:tcBorders>
            <w:shd w:val="clear" w:color="000000" w:fill="FFFFFF"/>
            <w:noWrap/>
            <w:vAlign w:val="bottom"/>
            <w:hideMark/>
          </w:tcPr>
          <w:p w14:paraId="5F5647B4" w14:textId="77777777" w:rsidR="00F1764C" w:rsidRPr="00F1764C" w:rsidRDefault="00F1764C" w:rsidP="00F1764C">
            <w:pPr>
              <w:spacing w:after="0" w:line="240" w:lineRule="auto"/>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0C09AB45"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9FC389A"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C14512D"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27AEE0A"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10A9C12"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F123F59"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A151DE4"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7285E29" w14:textId="77777777" w:rsidR="00F1764C" w:rsidRPr="00F1764C" w:rsidRDefault="00F1764C" w:rsidP="00F1764C">
            <w:pPr>
              <w:spacing w:after="0" w:line="240" w:lineRule="auto"/>
              <w:jc w:val="center"/>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r>
      <w:tr w:rsidR="00F1764C" w:rsidRPr="007E2527" w14:paraId="082C6AEC"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3475C875" w14:textId="77777777" w:rsidR="00F1764C" w:rsidRPr="00F1764C" w:rsidRDefault="00F1764C" w:rsidP="00F1764C">
            <w:pPr>
              <w:spacing w:after="0" w:line="240" w:lineRule="auto"/>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&lt;=25</w:t>
            </w:r>
          </w:p>
        </w:tc>
        <w:tc>
          <w:tcPr>
            <w:tcW w:w="960" w:type="dxa"/>
            <w:tcBorders>
              <w:top w:val="single" w:sz="4" w:space="0" w:color="auto"/>
              <w:left w:val="single" w:sz="4" w:space="0" w:color="auto"/>
              <w:bottom w:val="nil"/>
              <w:right w:val="nil"/>
            </w:tcBorders>
            <w:shd w:val="clear" w:color="000000" w:fill="FFFFFF"/>
            <w:noWrap/>
            <w:vAlign w:val="bottom"/>
            <w:hideMark/>
          </w:tcPr>
          <w:p w14:paraId="2597F763"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1FA645C"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single" w:sz="4" w:space="0" w:color="auto"/>
              <w:left w:val="nil"/>
              <w:bottom w:val="nil"/>
              <w:right w:val="nil"/>
            </w:tcBorders>
            <w:shd w:val="clear" w:color="000000" w:fill="FFFFFF"/>
            <w:noWrap/>
            <w:vAlign w:val="bottom"/>
            <w:hideMark/>
          </w:tcPr>
          <w:p w14:paraId="0DE8FDA2"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3E56EC05"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single" w:sz="4" w:space="0" w:color="auto"/>
              <w:left w:val="single" w:sz="4" w:space="0" w:color="auto"/>
              <w:bottom w:val="nil"/>
              <w:right w:val="nil"/>
            </w:tcBorders>
            <w:shd w:val="clear" w:color="000000" w:fill="FFFFFF"/>
            <w:noWrap/>
            <w:vAlign w:val="bottom"/>
            <w:hideMark/>
          </w:tcPr>
          <w:p w14:paraId="27A95030"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5760925"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 </w:t>
            </w:r>
          </w:p>
        </w:tc>
        <w:tc>
          <w:tcPr>
            <w:tcW w:w="960" w:type="dxa"/>
            <w:tcBorders>
              <w:top w:val="single" w:sz="4" w:space="0" w:color="auto"/>
              <w:left w:val="nil"/>
              <w:bottom w:val="nil"/>
              <w:right w:val="nil"/>
            </w:tcBorders>
            <w:shd w:val="clear" w:color="000000" w:fill="FFFFFF"/>
            <w:noWrap/>
            <w:vAlign w:val="bottom"/>
            <w:hideMark/>
          </w:tcPr>
          <w:p w14:paraId="3C49A3C3"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701C4914"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 </w:t>
            </w:r>
          </w:p>
        </w:tc>
      </w:tr>
      <w:tr w:rsidR="00F1764C" w:rsidRPr="007E2527" w14:paraId="7ED66947"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2B0E8D84" w14:textId="77777777" w:rsidR="00F1764C" w:rsidRPr="00F1764C" w:rsidRDefault="00F1764C" w:rsidP="00F1764C">
            <w:pPr>
              <w:spacing w:after="0" w:line="240" w:lineRule="auto"/>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26-35</w:t>
            </w:r>
          </w:p>
        </w:tc>
        <w:tc>
          <w:tcPr>
            <w:tcW w:w="960" w:type="dxa"/>
            <w:tcBorders>
              <w:top w:val="nil"/>
              <w:left w:val="single" w:sz="4" w:space="0" w:color="auto"/>
              <w:bottom w:val="nil"/>
              <w:right w:val="nil"/>
            </w:tcBorders>
            <w:shd w:val="clear" w:color="000000" w:fill="FFFFFF"/>
            <w:noWrap/>
            <w:vAlign w:val="bottom"/>
            <w:hideMark/>
          </w:tcPr>
          <w:p w14:paraId="6857DA1E"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223</w:t>
            </w:r>
          </w:p>
        </w:tc>
        <w:tc>
          <w:tcPr>
            <w:tcW w:w="960" w:type="dxa"/>
            <w:tcBorders>
              <w:top w:val="nil"/>
              <w:left w:val="nil"/>
              <w:bottom w:val="nil"/>
              <w:right w:val="single" w:sz="4" w:space="0" w:color="auto"/>
            </w:tcBorders>
            <w:shd w:val="clear" w:color="000000" w:fill="FFFFFF"/>
            <w:noWrap/>
            <w:vAlign w:val="bottom"/>
            <w:hideMark/>
          </w:tcPr>
          <w:p w14:paraId="0D579096"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26.9%</w:t>
            </w:r>
          </w:p>
        </w:tc>
        <w:tc>
          <w:tcPr>
            <w:tcW w:w="960" w:type="dxa"/>
            <w:tcBorders>
              <w:top w:val="nil"/>
              <w:left w:val="nil"/>
              <w:bottom w:val="nil"/>
              <w:right w:val="nil"/>
            </w:tcBorders>
            <w:shd w:val="clear" w:color="000000" w:fill="FFFFFF"/>
            <w:noWrap/>
            <w:vAlign w:val="bottom"/>
            <w:hideMark/>
          </w:tcPr>
          <w:p w14:paraId="73527C3E"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33</w:t>
            </w:r>
          </w:p>
        </w:tc>
        <w:tc>
          <w:tcPr>
            <w:tcW w:w="960" w:type="dxa"/>
            <w:tcBorders>
              <w:top w:val="nil"/>
              <w:left w:val="nil"/>
              <w:bottom w:val="nil"/>
              <w:right w:val="nil"/>
            </w:tcBorders>
            <w:shd w:val="clear" w:color="000000" w:fill="FFFFFF"/>
            <w:noWrap/>
            <w:vAlign w:val="bottom"/>
            <w:hideMark/>
          </w:tcPr>
          <w:p w14:paraId="3E7547BE"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8.5%</w:t>
            </w:r>
          </w:p>
        </w:tc>
        <w:tc>
          <w:tcPr>
            <w:tcW w:w="960" w:type="dxa"/>
            <w:tcBorders>
              <w:top w:val="nil"/>
              <w:left w:val="single" w:sz="4" w:space="0" w:color="auto"/>
              <w:bottom w:val="nil"/>
              <w:right w:val="nil"/>
            </w:tcBorders>
            <w:shd w:val="clear" w:color="000000" w:fill="FFFFFF"/>
            <w:noWrap/>
            <w:vAlign w:val="bottom"/>
            <w:hideMark/>
          </w:tcPr>
          <w:p w14:paraId="344E092F"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0C31CA7"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82EFE92"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4DE900F4"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r>
      <w:tr w:rsidR="00F1764C" w:rsidRPr="007E2527" w14:paraId="6DB73A91"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0291C46E" w14:textId="77777777" w:rsidR="00F1764C" w:rsidRPr="00F1764C" w:rsidRDefault="00F1764C" w:rsidP="00F1764C">
            <w:pPr>
              <w:spacing w:after="0" w:line="240" w:lineRule="auto"/>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36-45</w:t>
            </w:r>
          </w:p>
        </w:tc>
        <w:tc>
          <w:tcPr>
            <w:tcW w:w="960" w:type="dxa"/>
            <w:tcBorders>
              <w:top w:val="nil"/>
              <w:left w:val="single" w:sz="4" w:space="0" w:color="auto"/>
              <w:bottom w:val="nil"/>
              <w:right w:val="nil"/>
            </w:tcBorders>
            <w:shd w:val="clear" w:color="000000" w:fill="FFFFFF"/>
            <w:noWrap/>
            <w:vAlign w:val="bottom"/>
            <w:hideMark/>
          </w:tcPr>
          <w:p w14:paraId="2D295859"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307</w:t>
            </w:r>
          </w:p>
        </w:tc>
        <w:tc>
          <w:tcPr>
            <w:tcW w:w="960" w:type="dxa"/>
            <w:tcBorders>
              <w:top w:val="nil"/>
              <w:left w:val="nil"/>
              <w:bottom w:val="nil"/>
              <w:right w:val="single" w:sz="4" w:space="0" w:color="auto"/>
            </w:tcBorders>
            <w:shd w:val="clear" w:color="000000" w:fill="FFFFFF"/>
            <w:noWrap/>
            <w:vAlign w:val="bottom"/>
            <w:hideMark/>
          </w:tcPr>
          <w:p w14:paraId="262F2481"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37.1%</w:t>
            </w:r>
          </w:p>
        </w:tc>
        <w:tc>
          <w:tcPr>
            <w:tcW w:w="960" w:type="dxa"/>
            <w:tcBorders>
              <w:top w:val="nil"/>
              <w:left w:val="nil"/>
              <w:bottom w:val="nil"/>
              <w:right w:val="nil"/>
            </w:tcBorders>
            <w:shd w:val="clear" w:color="000000" w:fill="FFFFFF"/>
            <w:noWrap/>
            <w:vAlign w:val="bottom"/>
            <w:hideMark/>
          </w:tcPr>
          <w:p w14:paraId="79982EFE"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134</w:t>
            </w:r>
          </w:p>
        </w:tc>
        <w:tc>
          <w:tcPr>
            <w:tcW w:w="960" w:type="dxa"/>
            <w:tcBorders>
              <w:top w:val="nil"/>
              <w:left w:val="nil"/>
              <w:bottom w:val="nil"/>
              <w:right w:val="nil"/>
            </w:tcBorders>
            <w:shd w:val="clear" w:color="000000" w:fill="FFFFFF"/>
            <w:noWrap/>
            <w:vAlign w:val="bottom"/>
            <w:hideMark/>
          </w:tcPr>
          <w:p w14:paraId="5E4FC713"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34.5%</w:t>
            </w:r>
          </w:p>
        </w:tc>
        <w:tc>
          <w:tcPr>
            <w:tcW w:w="960" w:type="dxa"/>
            <w:tcBorders>
              <w:top w:val="nil"/>
              <w:left w:val="single" w:sz="4" w:space="0" w:color="auto"/>
              <w:bottom w:val="nil"/>
              <w:right w:val="nil"/>
            </w:tcBorders>
            <w:shd w:val="clear" w:color="000000" w:fill="FFFFFF"/>
            <w:noWrap/>
            <w:vAlign w:val="bottom"/>
            <w:hideMark/>
          </w:tcPr>
          <w:p w14:paraId="35950709"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single" w:sz="4" w:space="0" w:color="auto"/>
            </w:tcBorders>
            <w:shd w:val="clear" w:color="000000" w:fill="FFFFFF"/>
            <w:noWrap/>
            <w:vAlign w:val="bottom"/>
            <w:hideMark/>
          </w:tcPr>
          <w:p w14:paraId="313BA3A9"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31.6%</w:t>
            </w:r>
          </w:p>
        </w:tc>
        <w:tc>
          <w:tcPr>
            <w:tcW w:w="960" w:type="dxa"/>
            <w:tcBorders>
              <w:top w:val="nil"/>
              <w:left w:val="nil"/>
              <w:bottom w:val="nil"/>
              <w:right w:val="nil"/>
            </w:tcBorders>
            <w:shd w:val="clear" w:color="000000" w:fill="FFFFFF"/>
            <w:noWrap/>
            <w:vAlign w:val="bottom"/>
            <w:hideMark/>
          </w:tcPr>
          <w:p w14:paraId="5802577F"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single" w:sz="4" w:space="0" w:color="auto"/>
            </w:tcBorders>
            <w:shd w:val="clear" w:color="000000" w:fill="FFFFFF"/>
            <w:noWrap/>
            <w:vAlign w:val="bottom"/>
            <w:hideMark/>
          </w:tcPr>
          <w:p w14:paraId="6CE37974"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22.4%</w:t>
            </w:r>
          </w:p>
        </w:tc>
      </w:tr>
      <w:tr w:rsidR="00F1764C" w:rsidRPr="007E2527" w14:paraId="1831D5D9"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294ECE61" w14:textId="77777777" w:rsidR="00F1764C" w:rsidRPr="00F1764C" w:rsidRDefault="00F1764C" w:rsidP="00F1764C">
            <w:pPr>
              <w:spacing w:after="0" w:line="240" w:lineRule="auto"/>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46-55</w:t>
            </w:r>
          </w:p>
        </w:tc>
        <w:tc>
          <w:tcPr>
            <w:tcW w:w="960" w:type="dxa"/>
            <w:tcBorders>
              <w:top w:val="nil"/>
              <w:left w:val="single" w:sz="4" w:space="0" w:color="auto"/>
              <w:bottom w:val="nil"/>
              <w:right w:val="nil"/>
            </w:tcBorders>
            <w:shd w:val="clear" w:color="000000" w:fill="FFFFFF"/>
            <w:noWrap/>
            <w:vAlign w:val="bottom"/>
            <w:hideMark/>
          </w:tcPr>
          <w:p w14:paraId="4F5022E6"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199</w:t>
            </w:r>
          </w:p>
        </w:tc>
        <w:tc>
          <w:tcPr>
            <w:tcW w:w="960" w:type="dxa"/>
            <w:tcBorders>
              <w:top w:val="nil"/>
              <w:left w:val="nil"/>
              <w:bottom w:val="nil"/>
              <w:right w:val="single" w:sz="4" w:space="0" w:color="auto"/>
            </w:tcBorders>
            <w:shd w:val="clear" w:color="000000" w:fill="FFFFFF"/>
            <w:noWrap/>
            <w:vAlign w:val="bottom"/>
            <w:hideMark/>
          </w:tcPr>
          <w:p w14:paraId="5057AC38"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24.0%</w:t>
            </w:r>
          </w:p>
        </w:tc>
        <w:tc>
          <w:tcPr>
            <w:tcW w:w="960" w:type="dxa"/>
            <w:tcBorders>
              <w:top w:val="nil"/>
              <w:left w:val="nil"/>
              <w:bottom w:val="nil"/>
              <w:right w:val="nil"/>
            </w:tcBorders>
            <w:shd w:val="clear" w:color="000000" w:fill="FFFFFF"/>
            <w:noWrap/>
            <w:vAlign w:val="bottom"/>
            <w:hideMark/>
          </w:tcPr>
          <w:p w14:paraId="4E76B1F1"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156</w:t>
            </w:r>
          </w:p>
        </w:tc>
        <w:tc>
          <w:tcPr>
            <w:tcW w:w="960" w:type="dxa"/>
            <w:tcBorders>
              <w:top w:val="nil"/>
              <w:left w:val="nil"/>
              <w:bottom w:val="nil"/>
              <w:right w:val="nil"/>
            </w:tcBorders>
            <w:shd w:val="clear" w:color="000000" w:fill="FFFFFF"/>
            <w:noWrap/>
            <w:vAlign w:val="bottom"/>
            <w:hideMark/>
          </w:tcPr>
          <w:p w14:paraId="3A953CF9"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40.2%</w:t>
            </w:r>
          </w:p>
        </w:tc>
        <w:tc>
          <w:tcPr>
            <w:tcW w:w="960" w:type="dxa"/>
            <w:tcBorders>
              <w:top w:val="nil"/>
              <w:left w:val="single" w:sz="4" w:space="0" w:color="auto"/>
              <w:bottom w:val="nil"/>
              <w:right w:val="nil"/>
            </w:tcBorders>
            <w:shd w:val="clear" w:color="000000" w:fill="FFFFFF"/>
            <w:noWrap/>
            <w:vAlign w:val="bottom"/>
            <w:hideMark/>
          </w:tcPr>
          <w:p w14:paraId="0A50EECF"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50</w:t>
            </w:r>
          </w:p>
        </w:tc>
        <w:tc>
          <w:tcPr>
            <w:tcW w:w="960" w:type="dxa"/>
            <w:tcBorders>
              <w:top w:val="nil"/>
              <w:left w:val="nil"/>
              <w:bottom w:val="nil"/>
              <w:right w:val="single" w:sz="4" w:space="0" w:color="auto"/>
            </w:tcBorders>
            <w:shd w:val="clear" w:color="000000" w:fill="FFFFFF"/>
            <w:noWrap/>
            <w:vAlign w:val="bottom"/>
            <w:hideMark/>
          </w:tcPr>
          <w:p w14:paraId="5DE62036"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52.6%</w:t>
            </w:r>
          </w:p>
        </w:tc>
        <w:tc>
          <w:tcPr>
            <w:tcW w:w="960" w:type="dxa"/>
            <w:tcBorders>
              <w:top w:val="nil"/>
              <w:left w:val="nil"/>
              <w:bottom w:val="nil"/>
              <w:right w:val="nil"/>
            </w:tcBorders>
            <w:shd w:val="clear" w:color="000000" w:fill="FFFFFF"/>
            <w:noWrap/>
            <w:vAlign w:val="bottom"/>
            <w:hideMark/>
          </w:tcPr>
          <w:p w14:paraId="606EAD7A"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23</w:t>
            </w:r>
          </w:p>
        </w:tc>
        <w:tc>
          <w:tcPr>
            <w:tcW w:w="960" w:type="dxa"/>
            <w:tcBorders>
              <w:top w:val="nil"/>
              <w:left w:val="nil"/>
              <w:bottom w:val="nil"/>
              <w:right w:val="single" w:sz="4" w:space="0" w:color="auto"/>
            </w:tcBorders>
            <w:shd w:val="clear" w:color="000000" w:fill="FFFFFF"/>
            <w:noWrap/>
            <w:vAlign w:val="bottom"/>
            <w:hideMark/>
          </w:tcPr>
          <w:p w14:paraId="110216D0"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46.9%</w:t>
            </w:r>
          </w:p>
        </w:tc>
      </w:tr>
      <w:tr w:rsidR="00F1764C" w:rsidRPr="007E2527" w14:paraId="0D070DC9"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4AE5A6B8" w14:textId="77777777" w:rsidR="00F1764C" w:rsidRPr="00F1764C" w:rsidRDefault="00F1764C" w:rsidP="00F1764C">
            <w:pPr>
              <w:spacing w:after="0" w:line="240" w:lineRule="auto"/>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56-65</w:t>
            </w:r>
          </w:p>
        </w:tc>
        <w:tc>
          <w:tcPr>
            <w:tcW w:w="960" w:type="dxa"/>
            <w:tcBorders>
              <w:top w:val="nil"/>
              <w:left w:val="single" w:sz="4" w:space="0" w:color="auto"/>
              <w:bottom w:val="nil"/>
              <w:right w:val="nil"/>
            </w:tcBorders>
            <w:shd w:val="clear" w:color="000000" w:fill="FFFFFF"/>
            <w:noWrap/>
            <w:vAlign w:val="bottom"/>
            <w:hideMark/>
          </w:tcPr>
          <w:p w14:paraId="6739C638"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92</w:t>
            </w:r>
          </w:p>
        </w:tc>
        <w:tc>
          <w:tcPr>
            <w:tcW w:w="960" w:type="dxa"/>
            <w:tcBorders>
              <w:top w:val="nil"/>
              <w:left w:val="nil"/>
              <w:bottom w:val="nil"/>
              <w:right w:val="single" w:sz="4" w:space="0" w:color="auto"/>
            </w:tcBorders>
            <w:shd w:val="clear" w:color="000000" w:fill="FFFFFF"/>
            <w:noWrap/>
            <w:vAlign w:val="bottom"/>
            <w:hideMark/>
          </w:tcPr>
          <w:p w14:paraId="2E764955"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11.1%</w:t>
            </w:r>
          </w:p>
        </w:tc>
        <w:tc>
          <w:tcPr>
            <w:tcW w:w="960" w:type="dxa"/>
            <w:tcBorders>
              <w:top w:val="nil"/>
              <w:left w:val="nil"/>
              <w:bottom w:val="nil"/>
              <w:right w:val="nil"/>
            </w:tcBorders>
            <w:shd w:val="clear" w:color="000000" w:fill="FFFFFF"/>
            <w:noWrap/>
            <w:vAlign w:val="bottom"/>
            <w:hideMark/>
          </w:tcPr>
          <w:p w14:paraId="0AE80671"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58</w:t>
            </w:r>
          </w:p>
        </w:tc>
        <w:tc>
          <w:tcPr>
            <w:tcW w:w="960" w:type="dxa"/>
            <w:tcBorders>
              <w:top w:val="nil"/>
              <w:left w:val="nil"/>
              <w:bottom w:val="nil"/>
              <w:right w:val="nil"/>
            </w:tcBorders>
            <w:shd w:val="clear" w:color="000000" w:fill="FFFFFF"/>
            <w:noWrap/>
            <w:vAlign w:val="bottom"/>
            <w:hideMark/>
          </w:tcPr>
          <w:p w14:paraId="024BD840"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14.9%</w:t>
            </w:r>
          </w:p>
        </w:tc>
        <w:tc>
          <w:tcPr>
            <w:tcW w:w="960" w:type="dxa"/>
            <w:tcBorders>
              <w:top w:val="nil"/>
              <w:left w:val="single" w:sz="4" w:space="0" w:color="auto"/>
              <w:bottom w:val="nil"/>
              <w:right w:val="nil"/>
            </w:tcBorders>
            <w:shd w:val="clear" w:color="000000" w:fill="FFFFFF"/>
            <w:noWrap/>
            <w:vAlign w:val="bottom"/>
            <w:hideMark/>
          </w:tcPr>
          <w:p w14:paraId="32B3AF65"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single" w:sz="4" w:space="0" w:color="auto"/>
            </w:tcBorders>
            <w:shd w:val="clear" w:color="000000" w:fill="FFFFFF"/>
            <w:noWrap/>
            <w:vAlign w:val="bottom"/>
            <w:hideMark/>
          </w:tcPr>
          <w:p w14:paraId="325C8C9D"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13.7%</w:t>
            </w:r>
          </w:p>
        </w:tc>
        <w:tc>
          <w:tcPr>
            <w:tcW w:w="960" w:type="dxa"/>
            <w:tcBorders>
              <w:top w:val="nil"/>
              <w:left w:val="nil"/>
              <w:bottom w:val="nil"/>
              <w:right w:val="nil"/>
            </w:tcBorders>
            <w:shd w:val="clear" w:color="000000" w:fill="FFFFFF"/>
            <w:noWrap/>
            <w:vAlign w:val="bottom"/>
            <w:hideMark/>
          </w:tcPr>
          <w:p w14:paraId="238B2220"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single" w:sz="4" w:space="0" w:color="auto"/>
            </w:tcBorders>
            <w:shd w:val="clear" w:color="000000" w:fill="FFFFFF"/>
            <w:noWrap/>
            <w:vAlign w:val="bottom"/>
            <w:hideMark/>
          </w:tcPr>
          <w:p w14:paraId="2BA8FD38"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26.5%</w:t>
            </w:r>
          </w:p>
        </w:tc>
      </w:tr>
      <w:tr w:rsidR="00F1764C" w:rsidRPr="007E2527" w14:paraId="7134557B" w14:textId="77777777" w:rsidTr="00B042E0">
        <w:trPr>
          <w:trHeight w:val="300"/>
        </w:trPr>
        <w:tc>
          <w:tcPr>
            <w:tcW w:w="1644" w:type="dxa"/>
            <w:tcBorders>
              <w:top w:val="nil"/>
              <w:left w:val="single" w:sz="4" w:space="0" w:color="auto"/>
              <w:bottom w:val="nil"/>
              <w:right w:val="nil"/>
            </w:tcBorders>
            <w:shd w:val="clear" w:color="000000" w:fill="FFFFFF"/>
            <w:noWrap/>
            <w:vAlign w:val="bottom"/>
            <w:hideMark/>
          </w:tcPr>
          <w:p w14:paraId="62A89396" w14:textId="77777777" w:rsidR="00F1764C" w:rsidRPr="00F1764C" w:rsidRDefault="00F1764C" w:rsidP="00F1764C">
            <w:pPr>
              <w:spacing w:after="0" w:line="240" w:lineRule="auto"/>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&gt;=66</w:t>
            </w:r>
          </w:p>
        </w:tc>
        <w:tc>
          <w:tcPr>
            <w:tcW w:w="960" w:type="dxa"/>
            <w:tcBorders>
              <w:top w:val="nil"/>
              <w:left w:val="single" w:sz="4" w:space="0" w:color="auto"/>
              <w:bottom w:val="nil"/>
              <w:right w:val="nil"/>
            </w:tcBorders>
            <w:shd w:val="clear" w:color="000000" w:fill="FFFFFF"/>
            <w:noWrap/>
            <w:vAlign w:val="bottom"/>
            <w:hideMark/>
          </w:tcPr>
          <w:p w14:paraId="7832CAD7"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4F9C82C8"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252030E"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5F4C061A"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0293015F"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CA83888"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C8D9AE4"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F7BF35F" w14:textId="77777777" w:rsidR="00F1764C" w:rsidRPr="00F1764C" w:rsidRDefault="00F1764C" w:rsidP="00F1764C">
            <w:pPr>
              <w:spacing w:after="0" w:line="240" w:lineRule="auto"/>
              <w:jc w:val="right"/>
              <w:rPr>
                <w:rFonts w:asciiTheme="minorHAnsi" w:eastAsia="Times New Roman" w:hAnsiTheme="minorHAnsi" w:cs="Times New Roman"/>
                <w:color w:val="000000"/>
                <w:kern w:val="0"/>
                <w:szCs w:val="22"/>
                <w:lang w:eastAsia="en-GB"/>
                <w14:ligatures w14:val="none"/>
              </w:rPr>
            </w:pPr>
            <w:r w:rsidRPr="00F1764C">
              <w:rPr>
                <w:rFonts w:asciiTheme="minorHAnsi" w:eastAsia="Times New Roman" w:hAnsiTheme="minorHAnsi" w:cs="Times New Roman"/>
                <w:color w:val="000000"/>
                <w:kern w:val="0"/>
                <w:szCs w:val="22"/>
                <w:lang w:eastAsia="en-GB"/>
                <w14:ligatures w14:val="none"/>
              </w:rPr>
              <w:t>-</w:t>
            </w:r>
          </w:p>
        </w:tc>
      </w:tr>
      <w:tr w:rsidR="00F1764C" w:rsidRPr="007E2527" w14:paraId="128713E8" w14:textId="77777777" w:rsidTr="00B042E0">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7FC044F1" w14:textId="77777777" w:rsidR="00F1764C" w:rsidRPr="00F1764C" w:rsidRDefault="00F1764C" w:rsidP="00F1764C">
            <w:pPr>
              <w:spacing w:after="0" w:line="240" w:lineRule="auto"/>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E21DC19"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828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4055903"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C34AF32"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388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C31C23E"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BF59D64"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8A3C923"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E682C50"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49</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D78E8C8" w14:textId="77777777" w:rsidR="00F1764C" w:rsidRPr="00F1764C" w:rsidRDefault="00F1764C" w:rsidP="00F1764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1764C">
              <w:rPr>
                <w:rFonts w:asciiTheme="minorHAnsi" w:eastAsia="Times New Roman" w:hAnsiTheme="minorHAnsi" w:cs="Times New Roman"/>
                <w:b/>
                <w:bCs/>
                <w:color w:val="000000"/>
                <w:kern w:val="0"/>
                <w:szCs w:val="22"/>
                <w:lang w:eastAsia="en-GB"/>
                <w14:ligatures w14:val="none"/>
              </w:rPr>
              <w:t>100%</w:t>
            </w:r>
          </w:p>
        </w:tc>
      </w:tr>
    </w:tbl>
    <w:p w14:paraId="39145389" w14:textId="77777777" w:rsidR="00E72A06" w:rsidRPr="007E2527" w:rsidRDefault="00E72A06" w:rsidP="00E72A06">
      <w:pPr>
        <w:rPr>
          <w:rFonts w:asciiTheme="minorHAnsi" w:hAnsiTheme="minorHAnsi"/>
          <w:b/>
          <w:bCs/>
          <w:szCs w:val="22"/>
        </w:rPr>
      </w:pPr>
    </w:p>
    <w:p w14:paraId="290C242D" w14:textId="77777777" w:rsidR="00E72A06" w:rsidRPr="007E2527" w:rsidRDefault="00E72A06" w:rsidP="00E72A06">
      <w:pPr>
        <w:rPr>
          <w:rFonts w:asciiTheme="minorHAnsi" w:hAnsiTheme="minorHAnsi"/>
          <w:b/>
          <w:bCs/>
          <w:szCs w:val="22"/>
        </w:rPr>
      </w:pPr>
    </w:p>
    <w:p w14:paraId="292945FA" w14:textId="79459B33" w:rsidR="00466B3B" w:rsidRPr="007E2527" w:rsidRDefault="00466B3B" w:rsidP="00466B3B">
      <w:pPr>
        <w:rPr>
          <w:rFonts w:asciiTheme="minorHAnsi" w:hAnsiTheme="minorHAnsi"/>
          <w:b/>
          <w:bCs/>
          <w:szCs w:val="22"/>
        </w:rPr>
      </w:pPr>
    </w:p>
    <w:p w14:paraId="45CC9B7E" w14:textId="7E5FDB9A" w:rsidR="00B251C8" w:rsidRPr="007E2527" w:rsidRDefault="00B251C8" w:rsidP="00E07335">
      <w:pPr>
        <w:rPr>
          <w:rFonts w:asciiTheme="minorHAnsi" w:hAnsiTheme="minorHAnsi"/>
          <w:b/>
          <w:bCs/>
          <w:szCs w:val="22"/>
        </w:rPr>
      </w:pPr>
    </w:p>
    <w:p w14:paraId="5D152D66" w14:textId="77777777" w:rsidR="00D30F25" w:rsidRPr="007E2527" w:rsidRDefault="00D30F25" w:rsidP="00E07335">
      <w:pPr>
        <w:rPr>
          <w:rFonts w:asciiTheme="minorHAnsi" w:hAnsiTheme="minorHAnsi"/>
          <w:b/>
          <w:bCs/>
          <w:szCs w:val="22"/>
        </w:rPr>
      </w:pPr>
    </w:p>
    <w:p w14:paraId="54AB016C" w14:textId="02CBAC57" w:rsidR="0011501E" w:rsidRPr="007E2527" w:rsidRDefault="0011501E"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Average age of all colleagues by grade and occupation, 2025 (N=6,241)</w:t>
      </w:r>
    </w:p>
    <w:tbl>
      <w:tblPr>
        <w:tblW w:w="7837" w:type="dxa"/>
        <w:tblLayout w:type="fixed"/>
        <w:tblLook w:val="04A0" w:firstRow="1" w:lastRow="0" w:firstColumn="1" w:lastColumn="0" w:noHBand="0" w:noVBand="1"/>
      </w:tblPr>
      <w:tblGrid>
        <w:gridCol w:w="1723"/>
        <w:gridCol w:w="1019"/>
        <w:gridCol w:w="1019"/>
        <w:gridCol w:w="1019"/>
        <w:gridCol w:w="1019"/>
        <w:gridCol w:w="1019"/>
        <w:gridCol w:w="1019"/>
      </w:tblGrid>
      <w:tr w:rsidR="00C00659" w:rsidRPr="00630FF4" w14:paraId="4B1B47E3" w14:textId="77777777" w:rsidTr="00C00659">
        <w:trPr>
          <w:trHeight w:val="307"/>
        </w:trPr>
        <w:tc>
          <w:tcPr>
            <w:tcW w:w="1723" w:type="dxa"/>
            <w:tcBorders>
              <w:top w:val="single" w:sz="4" w:space="0" w:color="auto"/>
              <w:left w:val="single" w:sz="4" w:space="0" w:color="auto"/>
              <w:bottom w:val="nil"/>
              <w:right w:val="nil"/>
            </w:tcBorders>
            <w:shd w:val="clear" w:color="000000" w:fill="FFFFFF"/>
            <w:noWrap/>
            <w:vAlign w:val="bottom"/>
            <w:hideMark/>
          </w:tcPr>
          <w:p w14:paraId="65446C59" w14:textId="77777777" w:rsidR="00630FF4" w:rsidRPr="00630FF4" w:rsidRDefault="00630FF4" w:rsidP="00630FF4">
            <w:pPr>
              <w:spacing w:after="0" w:line="240" w:lineRule="auto"/>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 </w:t>
            </w:r>
          </w:p>
        </w:tc>
        <w:tc>
          <w:tcPr>
            <w:tcW w:w="2038"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CFD77CA" w14:textId="77777777" w:rsidR="00630FF4" w:rsidRPr="00630FF4" w:rsidRDefault="00630FF4" w:rsidP="00630FF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Academic</w:t>
            </w:r>
          </w:p>
        </w:tc>
        <w:tc>
          <w:tcPr>
            <w:tcW w:w="2038" w:type="dxa"/>
            <w:gridSpan w:val="2"/>
            <w:tcBorders>
              <w:top w:val="single" w:sz="4" w:space="0" w:color="auto"/>
              <w:left w:val="nil"/>
              <w:bottom w:val="nil"/>
              <w:right w:val="nil"/>
            </w:tcBorders>
            <w:shd w:val="clear" w:color="000000" w:fill="FFFFFF"/>
            <w:noWrap/>
            <w:vAlign w:val="bottom"/>
            <w:hideMark/>
          </w:tcPr>
          <w:p w14:paraId="72E9319C" w14:textId="77777777" w:rsidR="00630FF4" w:rsidRPr="00630FF4" w:rsidRDefault="00630FF4" w:rsidP="00630FF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Research</w:t>
            </w:r>
          </w:p>
        </w:tc>
        <w:tc>
          <w:tcPr>
            <w:tcW w:w="2038"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7211478" w14:textId="77777777" w:rsidR="00630FF4" w:rsidRPr="00630FF4" w:rsidRDefault="00630FF4" w:rsidP="00630FF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PS</w:t>
            </w:r>
          </w:p>
        </w:tc>
      </w:tr>
      <w:tr w:rsidR="00630FF4" w:rsidRPr="007E2527" w14:paraId="2CFB28A0" w14:textId="77777777" w:rsidTr="00C00659">
        <w:trPr>
          <w:trHeight w:val="615"/>
        </w:trPr>
        <w:tc>
          <w:tcPr>
            <w:tcW w:w="1723" w:type="dxa"/>
            <w:tcBorders>
              <w:top w:val="nil"/>
              <w:left w:val="single" w:sz="4" w:space="0" w:color="auto"/>
              <w:bottom w:val="single" w:sz="4" w:space="0" w:color="auto"/>
              <w:right w:val="nil"/>
            </w:tcBorders>
            <w:shd w:val="clear" w:color="000000" w:fill="FFFFFF"/>
            <w:noWrap/>
            <w:vAlign w:val="bottom"/>
            <w:hideMark/>
          </w:tcPr>
          <w:p w14:paraId="70A1B8E3"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single" w:sz="4" w:space="0" w:color="auto"/>
              <w:bottom w:val="single" w:sz="4" w:space="0" w:color="auto"/>
              <w:right w:val="nil"/>
            </w:tcBorders>
            <w:shd w:val="clear" w:color="000000" w:fill="FFFFFF"/>
            <w:noWrap/>
            <w:vAlign w:val="center"/>
            <w:hideMark/>
          </w:tcPr>
          <w:p w14:paraId="073ECC1D" w14:textId="77777777" w:rsidR="00630FF4" w:rsidRPr="00630FF4" w:rsidRDefault="00630FF4" w:rsidP="00630FF4">
            <w:pPr>
              <w:spacing w:after="0" w:line="240" w:lineRule="auto"/>
              <w:jc w:val="center"/>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n</w:t>
            </w:r>
          </w:p>
        </w:tc>
        <w:tc>
          <w:tcPr>
            <w:tcW w:w="1019" w:type="dxa"/>
            <w:tcBorders>
              <w:top w:val="nil"/>
              <w:left w:val="nil"/>
              <w:bottom w:val="single" w:sz="4" w:space="0" w:color="auto"/>
              <w:right w:val="single" w:sz="4" w:space="0" w:color="auto"/>
            </w:tcBorders>
            <w:shd w:val="clear" w:color="000000" w:fill="FFFFFF"/>
            <w:vAlign w:val="center"/>
            <w:hideMark/>
          </w:tcPr>
          <w:p w14:paraId="0F291A87" w14:textId="77777777" w:rsidR="00630FF4" w:rsidRPr="00630FF4" w:rsidRDefault="00630FF4" w:rsidP="00630FF4">
            <w:pPr>
              <w:spacing w:after="0" w:line="240" w:lineRule="auto"/>
              <w:jc w:val="center"/>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Average age (yrs)</w:t>
            </w:r>
          </w:p>
        </w:tc>
        <w:tc>
          <w:tcPr>
            <w:tcW w:w="1019" w:type="dxa"/>
            <w:tcBorders>
              <w:top w:val="nil"/>
              <w:left w:val="nil"/>
              <w:bottom w:val="single" w:sz="4" w:space="0" w:color="auto"/>
              <w:right w:val="nil"/>
            </w:tcBorders>
            <w:shd w:val="clear" w:color="000000" w:fill="FFFFFF"/>
            <w:noWrap/>
            <w:vAlign w:val="center"/>
            <w:hideMark/>
          </w:tcPr>
          <w:p w14:paraId="36EB640B" w14:textId="77777777" w:rsidR="00630FF4" w:rsidRPr="00630FF4" w:rsidRDefault="00630FF4" w:rsidP="00630FF4">
            <w:pPr>
              <w:spacing w:after="0" w:line="240" w:lineRule="auto"/>
              <w:jc w:val="center"/>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n</w:t>
            </w:r>
          </w:p>
        </w:tc>
        <w:tc>
          <w:tcPr>
            <w:tcW w:w="1019" w:type="dxa"/>
            <w:tcBorders>
              <w:top w:val="nil"/>
              <w:left w:val="nil"/>
              <w:bottom w:val="single" w:sz="4" w:space="0" w:color="auto"/>
              <w:right w:val="single" w:sz="4" w:space="0" w:color="auto"/>
            </w:tcBorders>
            <w:shd w:val="clear" w:color="000000" w:fill="FFFFFF"/>
            <w:vAlign w:val="center"/>
            <w:hideMark/>
          </w:tcPr>
          <w:p w14:paraId="7F69B9E8" w14:textId="77777777" w:rsidR="00630FF4" w:rsidRPr="00630FF4" w:rsidRDefault="00630FF4" w:rsidP="00630FF4">
            <w:pPr>
              <w:spacing w:after="0" w:line="240" w:lineRule="auto"/>
              <w:jc w:val="center"/>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Average age (yrs)</w:t>
            </w:r>
          </w:p>
        </w:tc>
        <w:tc>
          <w:tcPr>
            <w:tcW w:w="1019" w:type="dxa"/>
            <w:tcBorders>
              <w:top w:val="nil"/>
              <w:left w:val="nil"/>
              <w:bottom w:val="single" w:sz="4" w:space="0" w:color="auto"/>
              <w:right w:val="nil"/>
            </w:tcBorders>
            <w:shd w:val="clear" w:color="000000" w:fill="FFFFFF"/>
            <w:noWrap/>
            <w:vAlign w:val="center"/>
            <w:hideMark/>
          </w:tcPr>
          <w:p w14:paraId="160DF72A" w14:textId="77777777" w:rsidR="00630FF4" w:rsidRPr="00630FF4" w:rsidRDefault="00630FF4" w:rsidP="00630FF4">
            <w:pPr>
              <w:spacing w:after="0" w:line="240" w:lineRule="auto"/>
              <w:jc w:val="center"/>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n</w:t>
            </w:r>
          </w:p>
        </w:tc>
        <w:tc>
          <w:tcPr>
            <w:tcW w:w="1019" w:type="dxa"/>
            <w:tcBorders>
              <w:top w:val="nil"/>
              <w:left w:val="nil"/>
              <w:bottom w:val="single" w:sz="4" w:space="0" w:color="auto"/>
              <w:right w:val="single" w:sz="4" w:space="0" w:color="auto"/>
            </w:tcBorders>
            <w:shd w:val="clear" w:color="000000" w:fill="FFFFFF"/>
            <w:vAlign w:val="center"/>
            <w:hideMark/>
          </w:tcPr>
          <w:p w14:paraId="30CFBFBB" w14:textId="77777777" w:rsidR="00630FF4" w:rsidRPr="00630FF4" w:rsidRDefault="00630FF4" w:rsidP="00630FF4">
            <w:pPr>
              <w:spacing w:after="0" w:line="240" w:lineRule="auto"/>
              <w:jc w:val="center"/>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Average age (yrs)</w:t>
            </w:r>
          </w:p>
        </w:tc>
      </w:tr>
      <w:tr w:rsidR="00630FF4" w:rsidRPr="007E2527" w14:paraId="2B365A67"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3A5244BD"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A</w:t>
            </w:r>
          </w:p>
        </w:tc>
        <w:tc>
          <w:tcPr>
            <w:tcW w:w="1019" w:type="dxa"/>
            <w:tcBorders>
              <w:top w:val="nil"/>
              <w:left w:val="single" w:sz="4" w:space="0" w:color="auto"/>
              <w:bottom w:val="nil"/>
              <w:right w:val="nil"/>
            </w:tcBorders>
            <w:shd w:val="clear" w:color="000000" w:fill="FFFFFF"/>
            <w:noWrap/>
            <w:vAlign w:val="bottom"/>
            <w:hideMark/>
          </w:tcPr>
          <w:p w14:paraId="0123CC7F"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single" w:sz="4" w:space="0" w:color="auto"/>
            </w:tcBorders>
            <w:shd w:val="clear" w:color="000000" w:fill="FFFFFF"/>
            <w:noWrap/>
            <w:vAlign w:val="bottom"/>
            <w:hideMark/>
          </w:tcPr>
          <w:p w14:paraId="5568E2B3"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33CDE092"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7C2D036C"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single" w:sz="4" w:space="0" w:color="auto"/>
              <w:bottom w:val="nil"/>
              <w:right w:val="nil"/>
            </w:tcBorders>
            <w:shd w:val="clear" w:color="000000" w:fill="FFFFFF"/>
            <w:noWrap/>
            <w:vAlign w:val="bottom"/>
            <w:hideMark/>
          </w:tcPr>
          <w:p w14:paraId="65E943E3"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286</w:t>
            </w:r>
          </w:p>
        </w:tc>
        <w:tc>
          <w:tcPr>
            <w:tcW w:w="1019" w:type="dxa"/>
            <w:tcBorders>
              <w:top w:val="nil"/>
              <w:left w:val="nil"/>
              <w:bottom w:val="nil"/>
              <w:right w:val="single" w:sz="4" w:space="0" w:color="auto"/>
            </w:tcBorders>
            <w:shd w:val="clear" w:color="000000" w:fill="FFFFFF"/>
            <w:noWrap/>
            <w:vAlign w:val="bottom"/>
            <w:hideMark/>
          </w:tcPr>
          <w:p w14:paraId="40DE4CD5"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53.1</w:t>
            </w:r>
          </w:p>
        </w:tc>
      </w:tr>
      <w:tr w:rsidR="00630FF4" w:rsidRPr="007E2527" w14:paraId="56FDE314"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5F36DEC8"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B</w:t>
            </w:r>
          </w:p>
        </w:tc>
        <w:tc>
          <w:tcPr>
            <w:tcW w:w="1019" w:type="dxa"/>
            <w:tcBorders>
              <w:top w:val="nil"/>
              <w:left w:val="single" w:sz="4" w:space="0" w:color="auto"/>
              <w:bottom w:val="nil"/>
              <w:right w:val="nil"/>
            </w:tcBorders>
            <w:shd w:val="clear" w:color="000000" w:fill="FFFFFF"/>
            <w:noWrap/>
            <w:vAlign w:val="bottom"/>
            <w:hideMark/>
          </w:tcPr>
          <w:p w14:paraId="570D95CB"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single" w:sz="4" w:space="0" w:color="auto"/>
            </w:tcBorders>
            <w:shd w:val="clear" w:color="000000" w:fill="FFFFFF"/>
            <w:noWrap/>
            <w:vAlign w:val="bottom"/>
            <w:hideMark/>
          </w:tcPr>
          <w:p w14:paraId="3F385F3E"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70AAA6D6"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5DCF4D5C"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single" w:sz="4" w:space="0" w:color="auto"/>
              <w:bottom w:val="nil"/>
              <w:right w:val="nil"/>
            </w:tcBorders>
            <w:shd w:val="clear" w:color="000000" w:fill="FFFFFF"/>
            <w:noWrap/>
            <w:vAlign w:val="bottom"/>
            <w:hideMark/>
          </w:tcPr>
          <w:p w14:paraId="74D7B8BB"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125</w:t>
            </w:r>
          </w:p>
        </w:tc>
        <w:tc>
          <w:tcPr>
            <w:tcW w:w="1019" w:type="dxa"/>
            <w:tcBorders>
              <w:top w:val="nil"/>
              <w:left w:val="nil"/>
              <w:bottom w:val="nil"/>
              <w:right w:val="single" w:sz="4" w:space="0" w:color="auto"/>
            </w:tcBorders>
            <w:shd w:val="clear" w:color="000000" w:fill="FFFFFF"/>
            <w:noWrap/>
            <w:vAlign w:val="bottom"/>
            <w:hideMark/>
          </w:tcPr>
          <w:p w14:paraId="12D6D6DF"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46.0</w:t>
            </w:r>
          </w:p>
        </w:tc>
      </w:tr>
      <w:tr w:rsidR="00630FF4" w:rsidRPr="007E2527" w14:paraId="001FE540"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64FD6DB3"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C</w:t>
            </w:r>
          </w:p>
        </w:tc>
        <w:tc>
          <w:tcPr>
            <w:tcW w:w="1019" w:type="dxa"/>
            <w:tcBorders>
              <w:top w:val="nil"/>
              <w:left w:val="single" w:sz="4" w:space="0" w:color="auto"/>
              <w:bottom w:val="nil"/>
              <w:right w:val="nil"/>
            </w:tcBorders>
            <w:shd w:val="clear" w:color="000000" w:fill="FFFFFF"/>
            <w:noWrap/>
            <w:vAlign w:val="bottom"/>
            <w:hideMark/>
          </w:tcPr>
          <w:p w14:paraId="69665A65"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single" w:sz="4" w:space="0" w:color="auto"/>
            </w:tcBorders>
            <w:shd w:val="clear" w:color="000000" w:fill="FFFFFF"/>
            <w:noWrap/>
            <w:vAlign w:val="bottom"/>
            <w:hideMark/>
          </w:tcPr>
          <w:p w14:paraId="16A6C3E3"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16B5A439"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5169E07E"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single" w:sz="4" w:space="0" w:color="auto"/>
              <w:bottom w:val="nil"/>
              <w:right w:val="nil"/>
            </w:tcBorders>
            <w:shd w:val="clear" w:color="000000" w:fill="FFFFFF"/>
            <w:noWrap/>
            <w:vAlign w:val="bottom"/>
            <w:hideMark/>
          </w:tcPr>
          <w:p w14:paraId="65D62E0B"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385</w:t>
            </w:r>
          </w:p>
        </w:tc>
        <w:tc>
          <w:tcPr>
            <w:tcW w:w="1019" w:type="dxa"/>
            <w:tcBorders>
              <w:top w:val="nil"/>
              <w:left w:val="nil"/>
              <w:bottom w:val="nil"/>
              <w:right w:val="single" w:sz="4" w:space="0" w:color="auto"/>
            </w:tcBorders>
            <w:shd w:val="clear" w:color="000000" w:fill="FFFFFF"/>
            <w:noWrap/>
            <w:vAlign w:val="bottom"/>
            <w:hideMark/>
          </w:tcPr>
          <w:p w14:paraId="64B147E4"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42.5</w:t>
            </w:r>
          </w:p>
        </w:tc>
      </w:tr>
      <w:tr w:rsidR="00630FF4" w:rsidRPr="007E2527" w14:paraId="75EC5AC7"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62AA7F8C"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D</w:t>
            </w:r>
          </w:p>
        </w:tc>
        <w:tc>
          <w:tcPr>
            <w:tcW w:w="1019" w:type="dxa"/>
            <w:tcBorders>
              <w:top w:val="nil"/>
              <w:left w:val="single" w:sz="4" w:space="0" w:color="auto"/>
              <w:bottom w:val="nil"/>
              <w:right w:val="nil"/>
            </w:tcBorders>
            <w:shd w:val="clear" w:color="000000" w:fill="FFFFFF"/>
            <w:noWrap/>
            <w:vAlign w:val="bottom"/>
            <w:hideMark/>
          </w:tcPr>
          <w:p w14:paraId="41EBF9A6"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single" w:sz="4" w:space="0" w:color="auto"/>
            </w:tcBorders>
            <w:shd w:val="clear" w:color="000000" w:fill="FFFFFF"/>
            <w:noWrap/>
            <w:vAlign w:val="bottom"/>
            <w:hideMark/>
          </w:tcPr>
          <w:p w14:paraId="14D52ABA"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50D4D7BE"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10657A61"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single" w:sz="4" w:space="0" w:color="auto"/>
              <w:bottom w:val="nil"/>
              <w:right w:val="nil"/>
            </w:tcBorders>
            <w:shd w:val="clear" w:color="000000" w:fill="FFFFFF"/>
            <w:noWrap/>
            <w:vAlign w:val="bottom"/>
            <w:hideMark/>
          </w:tcPr>
          <w:p w14:paraId="2014935D"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598</w:t>
            </w:r>
          </w:p>
        </w:tc>
        <w:tc>
          <w:tcPr>
            <w:tcW w:w="1019" w:type="dxa"/>
            <w:tcBorders>
              <w:top w:val="nil"/>
              <w:left w:val="nil"/>
              <w:bottom w:val="nil"/>
              <w:right w:val="single" w:sz="4" w:space="0" w:color="auto"/>
            </w:tcBorders>
            <w:shd w:val="clear" w:color="000000" w:fill="FFFFFF"/>
            <w:noWrap/>
            <w:vAlign w:val="bottom"/>
            <w:hideMark/>
          </w:tcPr>
          <w:p w14:paraId="50660C22"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40.3</w:t>
            </w:r>
          </w:p>
        </w:tc>
      </w:tr>
      <w:tr w:rsidR="00630FF4" w:rsidRPr="007E2527" w14:paraId="0ACA9797"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076369C0"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E</w:t>
            </w:r>
          </w:p>
        </w:tc>
        <w:tc>
          <w:tcPr>
            <w:tcW w:w="1019" w:type="dxa"/>
            <w:tcBorders>
              <w:top w:val="nil"/>
              <w:left w:val="single" w:sz="4" w:space="0" w:color="auto"/>
              <w:bottom w:val="nil"/>
              <w:right w:val="nil"/>
            </w:tcBorders>
            <w:shd w:val="clear" w:color="000000" w:fill="FFFFFF"/>
            <w:noWrap/>
            <w:vAlign w:val="bottom"/>
            <w:hideMark/>
          </w:tcPr>
          <w:p w14:paraId="0BDC9C22"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26</w:t>
            </w:r>
          </w:p>
        </w:tc>
        <w:tc>
          <w:tcPr>
            <w:tcW w:w="1019" w:type="dxa"/>
            <w:tcBorders>
              <w:top w:val="nil"/>
              <w:left w:val="nil"/>
              <w:bottom w:val="nil"/>
              <w:right w:val="single" w:sz="4" w:space="0" w:color="auto"/>
            </w:tcBorders>
            <w:shd w:val="clear" w:color="000000" w:fill="FFFFFF"/>
            <w:noWrap/>
            <w:vAlign w:val="bottom"/>
            <w:hideMark/>
          </w:tcPr>
          <w:p w14:paraId="295E6C5D"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29.4</w:t>
            </w:r>
          </w:p>
        </w:tc>
        <w:tc>
          <w:tcPr>
            <w:tcW w:w="1019" w:type="dxa"/>
            <w:tcBorders>
              <w:top w:val="nil"/>
              <w:left w:val="nil"/>
              <w:bottom w:val="nil"/>
              <w:right w:val="nil"/>
            </w:tcBorders>
            <w:shd w:val="clear" w:color="000000" w:fill="FFFFFF"/>
            <w:noWrap/>
            <w:vAlign w:val="bottom"/>
            <w:hideMark/>
          </w:tcPr>
          <w:p w14:paraId="2670057A"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nil"/>
              <w:bottom w:val="nil"/>
              <w:right w:val="nil"/>
            </w:tcBorders>
            <w:shd w:val="clear" w:color="000000" w:fill="FFFFFF"/>
            <w:noWrap/>
            <w:vAlign w:val="bottom"/>
            <w:hideMark/>
          </w:tcPr>
          <w:p w14:paraId="328EDD0E"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 </w:t>
            </w:r>
          </w:p>
        </w:tc>
        <w:tc>
          <w:tcPr>
            <w:tcW w:w="1019" w:type="dxa"/>
            <w:tcBorders>
              <w:top w:val="nil"/>
              <w:left w:val="single" w:sz="4" w:space="0" w:color="auto"/>
              <w:bottom w:val="nil"/>
              <w:right w:val="nil"/>
            </w:tcBorders>
            <w:shd w:val="clear" w:color="000000" w:fill="FFFFFF"/>
            <w:noWrap/>
            <w:vAlign w:val="bottom"/>
            <w:hideMark/>
          </w:tcPr>
          <w:p w14:paraId="2DC343B8"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627</w:t>
            </w:r>
          </w:p>
        </w:tc>
        <w:tc>
          <w:tcPr>
            <w:tcW w:w="1019" w:type="dxa"/>
            <w:tcBorders>
              <w:top w:val="nil"/>
              <w:left w:val="nil"/>
              <w:bottom w:val="nil"/>
              <w:right w:val="single" w:sz="4" w:space="0" w:color="auto"/>
            </w:tcBorders>
            <w:shd w:val="clear" w:color="000000" w:fill="FFFFFF"/>
            <w:noWrap/>
            <w:vAlign w:val="bottom"/>
            <w:hideMark/>
          </w:tcPr>
          <w:p w14:paraId="3709B752"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41.9</w:t>
            </w:r>
          </w:p>
        </w:tc>
      </w:tr>
      <w:tr w:rsidR="00630FF4" w:rsidRPr="007E2527" w14:paraId="63794EE2"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19262452"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F</w:t>
            </w:r>
          </w:p>
        </w:tc>
        <w:tc>
          <w:tcPr>
            <w:tcW w:w="1019" w:type="dxa"/>
            <w:tcBorders>
              <w:top w:val="nil"/>
              <w:left w:val="single" w:sz="4" w:space="0" w:color="auto"/>
              <w:bottom w:val="nil"/>
              <w:right w:val="nil"/>
            </w:tcBorders>
            <w:shd w:val="clear" w:color="000000" w:fill="FFFFFF"/>
            <w:noWrap/>
            <w:vAlign w:val="bottom"/>
            <w:hideMark/>
          </w:tcPr>
          <w:p w14:paraId="674C148F"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204</w:t>
            </w:r>
          </w:p>
        </w:tc>
        <w:tc>
          <w:tcPr>
            <w:tcW w:w="1019" w:type="dxa"/>
            <w:tcBorders>
              <w:top w:val="nil"/>
              <w:left w:val="nil"/>
              <w:bottom w:val="nil"/>
              <w:right w:val="single" w:sz="4" w:space="0" w:color="auto"/>
            </w:tcBorders>
            <w:shd w:val="clear" w:color="000000" w:fill="FFFFFF"/>
            <w:noWrap/>
            <w:vAlign w:val="bottom"/>
            <w:hideMark/>
          </w:tcPr>
          <w:p w14:paraId="6CBDA9AF"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37.8</w:t>
            </w:r>
          </w:p>
        </w:tc>
        <w:tc>
          <w:tcPr>
            <w:tcW w:w="1019" w:type="dxa"/>
            <w:tcBorders>
              <w:top w:val="nil"/>
              <w:left w:val="nil"/>
              <w:bottom w:val="nil"/>
              <w:right w:val="nil"/>
            </w:tcBorders>
            <w:shd w:val="clear" w:color="000000" w:fill="FFFFFF"/>
            <w:noWrap/>
            <w:vAlign w:val="bottom"/>
            <w:hideMark/>
          </w:tcPr>
          <w:p w14:paraId="43238274"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743</w:t>
            </w:r>
          </w:p>
        </w:tc>
        <w:tc>
          <w:tcPr>
            <w:tcW w:w="1019" w:type="dxa"/>
            <w:tcBorders>
              <w:top w:val="nil"/>
              <w:left w:val="nil"/>
              <w:bottom w:val="nil"/>
              <w:right w:val="nil"/>
            </w:tcBorders>
            <w:shd w:val="clear" w:color="000000" w:fill="FFFFFF"/>
            <w:noWrap/>
            <w:vAlign w:val="bottom"/>
            <w:hideMark/>
          </w:tcPr>
          <w:p w14:paraId="44507AED"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35.5</w:t>
            </w:r>
          </w:p>
        </w:tc>
        <w:tc>
          <w:tcPr>
            <w:tcW w:w="1019" w:type="dxa"/>
            <w:tcBorders>
              <w:top w:val="nil"/>
              <w:left w:val="single" w:sz="4" w:space="0" w:color="auto"/>
              <w:bottom w:val="nil"/>
              <w:right w:val="nil"/>
            </w:tcBorders>
            <w:shd w:val="clear" w:color="000000" w:fill="FFFFFF"/>
            <w:noWrap/>
            <w:vAlign w:val="bottom"/>
            <w:hideMark/>
          </w:tcPr>
          <w:p w14:paraId="5E88A752"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828</w:t>
            </w:r>
          </w:p>
        </w:tc>
        <w:tc>
          <w:tcPr>
            <w:tcW w:w="1019" w:type="dxa"/>
            <w:tcBorders>
              <w:top w:val="nil"/>
              <w:left w:val="nil"/>
              <w:bottom w:val="nil"/>
              <w:right w:val="single" w:sz="4" w:space="0" w:color="auto"/>
            </w:tcBorders>
            <w:shd w:val="clear" w:color="000000" w:fill="FFFFFF"/>
            <w:noWrap/>
            <w:vAlign w:val="bottom"/>
            <w:hideMark/>
          </w:tcPr>
          <w:p w14:paraId="3B87CABB"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42.4</w:t>
            </w:r>
          </w:p>
        </w:tc>
      </w:tr>
      <w:tr w:rsidR="00630FF4" w:rsidRPr="007E2527" w14:paraId="4C2348A4"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3FD423F8"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G</w:t>
            </w:r>
          </w:p>
        </w:tc>
        <w:tc>
          <w:tcPr>
            <w:tcW w:w="1019" w:type="dxa"/>
            <w:tcBorders>
              <w:top w:val="nil"/>
              <w:left w:val="single" w:sz="4" w:space="0" w:color="auto"/>
              <w:bottom w:val="nil"/>
              <w:right w:val="nil"/>
            </w:tcBorders>
            <w:shd w:val="clear" w:color="000000" w:fill="FFFFFF"/>
            <w:noWrap/>
            <w:vAlign w:val="bottom"/>
            <w:hideMark/>
          </w:tcPr>
          <w:p w14:paraId="4874C233"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406</w:t>
            </w:r>
          </w:p>
        </w:tc>
        <w:tc>
          <w:tcPr>
            <w:tcW w:w="1019" w:type="dxa"/>
            <w:tcBorders>
              <w:top w:val="nil"/>
              <w:left w:val="nil"/>
              <w:bottom w:val="nil"/>
              <w:right w:val="single" w:sz="4" w:space="0" w:color="auto"/>
            </w:tcBorders>
            <w:shd w:val="clear" w:color="000000" w:fill="FFFFFF"/>
            <w:noWrap/>
            <w:vAlign w:val="bottom"/>
            <w:hideMark/>
          </w:tcPr>
          <w:p w14:paraId="424B07F4"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44.1</w:t>
            </w:r>
          </w:p>
        </w:tc>
        <w:tc>
          <w:tcPr>
            <w:tcW w:w="1019" w:type="dxa"/>
            <w:tcBorders>
              <w:top w:val="nil"/>
              <w:left w:val="nil"/>
              <w:bottom w:val="nil"/>
              <w:right w:val="nil"/>
            </w:tcBorders>
            <w:shd w:val="clear" w:color="000000" w:fill="FFFFFF"/>
            <w:noWrap/>
            <w:vAlign w:val="bottom"/>
            <w:hideMark/>
          </w:tcPr>
          <w:p w14:paraId="537CE4EB"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230</w:t>
            </w:r>
          </w:p>
        </w:tc>
        <w:tc>
          <w:tcPr>
            <w:tcW w:w="1019" w:type="dxa"/>
            <w:tcBorders>
              <w:top w:val="nil"/>
              <w:left w:val="nil"/>
              <w:bottom w:val="nil"/>
              <w:right w:val="nil"/>
            </w:tcBorders>
            <w:shd w:val="clear" w:color="000000" w:fill="FFFFFF"/>
            <w:noWrap/>
            <w:vAlign w:val="bottom"/>
            <w:hideMark/>
          </w:tcPr>
          <w:p w14:paraId="7966FDEF"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41.7</w:t>
            </w:r>
          </w:p>
        </w:tc>
        <w:tc>
          <w:tcPr>
            <w:tcW w:w="1019" w:type="dxa"/>
            <w:tcBorders>
              <w:top w:val="nil"/>
              <w:left w:val="single" w:sz="4" w:space="0" w:color="auto"/>
              <w:bottom w:val="nil"/>
              <w:right w:val="nil"/>
            </w:tcBorders>
            <w:shd w:val="clear" w:color="000000" w:fill="FFFFFF"/>
            <w:noWrap/>
            <w:vAlign w:val="bottom"/>
            <w:hideMark/>
          </w:tcPr>
          <w:p w14:paraId="7F28AF9C"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388</w:t>
            </w:r>
          </w:p>
        </w:tc>
        <w:tc>
          <w:tcPr>
            <w:tcW w:w="1019" w:type="dxa"/>
            <w:tcBorders>
              <w:top w:val="nil"/>
              <w:left w:val="nil"/>
              <w:bottom w:val="nil"/>
              <w:right w:val="single" w:sz="4" w:space="0" w:color="auto"/>
            </w:tcBorders>
            <w:shd w:val="clear" w:color="000000" w:fill="FFFFFF"/>
            <w:noWrap/>
            <w:vAlign w:val="bottom"/>
            <w:hideMark/>
          </w:tcPr>
          <w:p w14:paraId="56E5E231"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47.0</w:t>
            </w:r>
          </w:p>
        </w:tc>
      </w:tr>
      <w:tr w:rsidR="00630FF4" w:rsidRPr="007E2527" w14:paraId="2CA719E5"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00A6A96D"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H</w:t>
            </w:r>
          </w:p>
        </w:tc>
        <w:tc>
          <w:tcPr>
            <w:tcW w:w="1019" w:type="dxa"/>
            <w:tcBorders>
              <w:top w:val="nil"/>
              <w:left w:val="single" w:sz="4" w:space="0" w:color="auto"/>
              <w:bottom w:val="nil"/>
              <w:right w:val="nil"/>
            </w:tcBorders>
            <w:shd w:val="clear" w:color="000000" w:fill="FFFFFF"/>
            <w:noWrap/>
            <w:vAlign w:val="bottom"/>
            <w:hideMark/>
          </w:tcPr>
          <w:p w14:paraId="14BE7904"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487</w:t>
            </w:r>
          </w:p>
        </w:tc>
        <w:tc>
          <w:tcPr>
            <w:tcW w:w="1019" w:type="dxa"/>
            <w:tcBorders>
              <w:top w:val="nil"/>
              <w:left w:val="nil"/>
              <w:bottom w:val="nil"/>
              <w:right w:val="single" w:sz="4" w:space="0" w:color="auto"/>
            </w:tcBorders>
            <w:shd w:val="clear" w:color="000000" w:fill="FFFFFF"/>
            <w:noWrap/>
            <w:vAlign w:val="bottom"/>
            <w:hideMark/>
          </w:tcPr>
          <w:p w14:paraId="6A354DB1"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47.9</w:t>
            </w:r>
          </w:p>
        </w:tc>
        <w:tc>
          <w:tcPr>
            <w:tcW w:w="1019" w:type="dxa"/>
            <w:tcBorders>
              <w:top w:val="nil"/>
              <w:left w:val="nil"/>
              <w:bottom w:val="nil"/>
              <w:right w:val="nil"/>
            </w:tcBorders>
            <w:shd w:val="clear" w:color="000000" w:fill="FFFFFF"/>
            <w:noWrap/>
            <w:vAlign w:val="bottom"/>
            <w:hideMark/>
          </w:tcPr>
          <w:p w14:paraId="19F27055"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24</w:t>
            </w:r>
          </w:p>
        </w:tc>
        <w:tc>
          <w:tcPr>
            <w:tcW w:w="1019" w:type="dxa"/>
            <w:tcBorders>
              <w:top w:val="nil"/>
              <w:left w:val="nil"/>
              <w:bottom w:val="nil"/>
              <w:right w:val="nil"/>
            </w:tcBorders>
            <w:shd w:val="clear" w:color="000000" w:fill="FFFFFF"/>
            <w:noWrap/>
            <w:vAlign w:val="bottom"/>
            <w:hideMark/>
          </w:tcPr>
          <w:p w14:paraId="04CC33C4"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48.0</w:t>
            </w:r>
          </w:p>
        </w:tc>
        <w:tc>
          <w:tcPr>
            <w:tcW w:w="1019" w:type="dxa"/>
            <w:tcBorders>
              <w:top w:val="nil"/>
              <w:left w:val="single" w:sz="4" w:space="0" w:color="auto"/>
              <w:bottom w:val="nil"/>
              <w:right w:val="nil"/>
            </w:tcBorders>
            <w:shd w:val="clear" w:color="000000" w:fill="FFFFFF"/>
            <w:noWrap/>
            <w:vAlign w:val="bottom"/>
            <w:hideMark/>
          </w:tcPr>
          <w:p w14:paraId="28EA933D"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95</w:t>
            </w:r>
          </w:p>
        </w:tc>
        <w:tc>
          <w:tcPr>
            <w:tcW w:w="1019" w:type="dxa"/>
            <w:tcBorders>
              <w:top w:val="nil"/>
              <w:left w:val="nil"/>
              <w:bottom w:val="nil"/>
              <w:right w:val="single" w:sz="4" w:space="0" w:color="auto"/>
            </w:tcBorders>
            <w:shd w:val="clear" w:color="000000" w:fill="FFFFFF"/>
            <w:noWrap/>
            <w:vAlign w:val="bottom"/>
            <w:hideMark/>
          </w:tcPr>
          <w:p w14:paraId="4A1F4501"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48.6</w:t>
            </w:r>
          </w:p>
        </w:tc>
      </w:tr>
      <w:tr w:rsidR="00630FF4" w:rsidRPr="007E2527" w14:paraId="27596A9C" w14:textId="77777777" w:rsidTr="00C00659">
        <w:trPr>
          <w:trHeight w:val="307"/>
        </w:trPr>
        <w:tc>
          <w:tcPr>
            <w:tcW w:w="1723" w:type="dxa"/>
            <w:tcBorders>
              <w:top w:val="nil"/>
              <w:left w:val="single" w:sz="4" w:space="0" w:color="auto"/>
              <w:bottom w:val="nil"/>
              <w:right w:val="nil"/>
            </w:tcBorders>
            <w:shd w:val="clear" w:color="000000" w:fill="FFFFFF"/>
            <w:noWrap/>
            <w:vAlign w:val="bottom"/>
            <w:hideMark/>
          </w:tcPr>
          <w:p w14:paraId="21993A90" w14:textId="77777777" w:rsidR="00630FF4" w:rsidRPr="00630FF4" w:rsidRDefault="00630FF4" w:rsidP="00630FF4">
            <w:pPr>
              <w:spacing w:after="0" w:line="240" w:lineRule="auto"/>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Grade I</w:t>
            </w:r>
          </w:p>
        </w:tc>
        <w:tc>
          <w:tcPr>
            <w:tcW w:w="1019" w:type="dxa"/>
            <w:tcBorders>
              <w:top w:val="nil"/>
              <w:left w:val="single" w:sz="4" w:space="0" w:color="auto"/>
              <w:bottom w:val="nil"/>
              <w:right w:val="nil"/>
            </w:tcBorders>
            <w:shd w:val="clear" w:color="000000" w:fill="FFFFFF"/>
            <w:noWrap/>
            <w:vAlign w:val="bottom"/>
            <w:hideMark/>
          </w:tcPr>
          <w:p w14:paraId="0E686E06"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737</w:t>
            </w:r>
          </w:p>
        </w:tc>
        <w:tc>
          <w:tcPr>
            <w:tcW w:w="1019" w:type="dxa"/>
            <w:tcBorders>
              <w:top w:val="nil"/>
              <w:left w:val="nil"/>
              <w:bottom w:val="nil"/>
              <w:right w:val="single" w:sz="4" w:space="0" w:color="auto"/>
            </w:tcBorders>
            <w:shd w:val="clear" w:color="000000" w:fill="FFFFFF"/>
            <w:noWrap/>
            <w:vAlign w:val="bottom"/>
            <w:hideMark/>
          </w:tcPr>
          <w:p w14:paraId="57518923"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52.4</w:t>
            </w:r>
          </w:p>
        </w:tc>
        <w:tc>
          <w:tcPr>
            <w:tcW w:w="1019" w:type="dxa"/>
            <w:tcBorders>
              <w:top w:val="nil"/>
              <w:left w:val="nil"/>
              <w:bottom w:val="nil"/>
              <w:right w:val="nil"/>
            </w:tcBorders>
            <w:shd w:val="clear" w:color="000000" w:fill="FFFFFF"/>
            <w:noWrap/>
            <w:vAlign w:val="bottom"/>
            <w:hideMark/>
          </w:tcPr>
          <w:p w14:paraId="6E06DCF4"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&lt;7</w:t>
            </w:r>
          </w:p>
        </w:tc>
        <w:tc>
          <w:tcPr>
            <w:tcW w:w="1019" w:type="dxa"/>
            <w:tcBorders>
              <w:top w:val="nil"/>
              <w:left w:val="nil"/>
              <w:bottom w:val="nil"/>
              <w:right w:val="nil"/>
            </w:tcBorders>
            <w:shd w:val="clear" w:color="000000" w:fill="FFFFFF"/>
            <w:noWrap/>
            <w:vAlign w:val="bottom"/>
            <w:hideMark/>
          </w:tcPr>
          <w:p w14:paraId="1857634C"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w:t>
            </w:r>
          </w:p>
        </w:tc>
        <w:tc>
          <w:tcPr>
            <w:tcW w:w="1019" w:type="dxa"/>
            <w:tcBorders>
              <w:top w:val="nil"/>
              <w:left w:val="single" w:sz="4" w:space="0" w:color="auto"/>
              <w:bottom w:val="nil"/>
              <w:right w:val="nil"/>
            </w:tcBorders>
            <w:shd w:val="clear" w:color="000000" w:fill="FFFFFF"/>
            <w:noWrap/>
            <w:vAlign w:val="bottom"/>
            <w:hideMark/>
          </w:tcPr>
          <w:p w14:paraId="6B890863"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49</w:t>
            </w:r>
          </w:p>
        </w:tc>
        <w:tc>
          <w:tcPr>
            <w:tcW w:w="1019" w:type="dxa"/>
            <w:tcBorders>
              <w:top w:val="nil"/>
              <w:left w:val="nil"/>
              <w:bottom w:val="nil"/>
              <w:right w:val="single" w:sz="4" w:space="0" w:color="auto"/>
            </w:tcBorders>
            <w:shd w:val="clear" w:color="000000" w:fill="FFFFFF"/>
            <w:noWrap/>
            <w:vAlign w:val="bottom"/>
            <w:hideMark/>
          </w:tcPr>
          <w:p w14:paraId="0313BD7F" w14:textId="77777777" w:rsidR="00630FF4" w:rsidRPr="00630FF4" w:rsidRDefault="00630FF4" w:rsidP="00630FF4">
            <w:pPr>
              <w:spacing w:after="0" w:line="240" w:lineRule="auto"/>
              <w:jc w:val="right"/>
              <w:rPr>
                <w:rFonts w:asciiTheme="minorHAnsi" w:eastAsia="Times New Roman" w:hAnsiTheme="minorHAnsi" w:cs="Times New Roman"/>
                <w:color w:val="000000"/>
                <w:kern w:val="0"/>
                <w:szCs w:val="22"/>
                <w:lang w:eastAsia="en-GB"/>
                <w14:ligatures w14:val="none"/>
              </w:rPr>
            </w:pPr>
            <w:r w:rsidRPr="00630FF4">
              <w:rPr>
                <w:rFonts w:asciiTheme="minorHAnsi" w:eastAsia="Times New Roman" w:hAnsiTheme="minorHAnsi" w:cs="Times New Roman"/>
                <w:color w:val="000000"/>
                <w:kern w:val="0"/>
                <w:szCs w:val="22"/>
                <w:lang w:eastAsia="en-GB"/>
                <w14:ligatures w14:val="none"/>
              </w:rPr>
              <w:t>51.5</w:t>
            </w:r>
          </w:p>
        </w:tc>
      </w:tr>
      <w:tr w:rsidR="00630FF4" w:rsidRPr="007E2527" w14:paraId="4EA6C27B" w14:textId="77777777" w:rsidTr="00C00659">
        <w:trPr>
          <w:trHeight w:val="322"/>
        </w:trPr>
        <w:tc>
          <w:tcPr>
            <w:tcW w:w="1723" w:type="dxa"/>
            <w:tcBorders>
              <w:top w:val="dotted" w:sz="4" w:space="0" w:color="auto"/>
              <w:left w:val="single" w:sz="4" w:space="0" w:color="auto"/>
              <w:bottom w:val="double" w:sz="6" w:space="0" w:color="auto"/>
              <w:right w:val="nil"/>
            </w:tcBorders>
            <w:shd w:val="clear" w:color="000000" w:fill="FFFFFF"/>
            <w:noWrap/>
            <w:vAlign w:val="bottom"/>
            <w:hideMark/>
          </w:tcPr>
          <w:p w14:paraId="2C5BA25D" w14:textId="77777777" w:rsidR="00630FF4" w:rsidRPr="00630FF4" w:rsidRDefault="00630FF4" w:rsidP="00630FF4">
            <w:pPr>
              <w:spacing w:after="0" w:line="240" w:lineRule="auto"/>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All colleagues</w:t>
            </w:r>
          </w:p>
        </w:tc>
        <w:tc>
          <w:tcPr>
            <w:tcW w:w="1019" w:type="dxa"/>
            <w:tcBorders>
              <w:top w:val="dotted" w:sz="4" w:space="0" w:color="auto"/>
              <w:left w:val="single" w:sz="4" w:space="0" w:color="auto"/>
              <w:bottom w:val="double" w:sz="6" w:space="0" w:color="auto"/>
              <w:right w:val="nil"/>
            </w:tcBorders>
            <w:shd w:val="clear" w:color="000000" w:fill="FFFFFF"/>
            <w:noWrap/>
            <w:vAlign w:val="bottom"/>
            <w:hideMark/>
          </w:tcPr>
          <w:p w14:paraId="5270A366" w14:textId="77777777" w:rsidR="00630FF4" w:rsidRPr="00630FF4" w:rsidRDefault="00630FF4" w:rsidP="00630FF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1860</w:t>
            </w:r>
          </w:p>
        </w:tc>
        <w:tc>
          <w:tcPr>
            <w:tcW w:w="1019" w:type="dxa"/>
            <w:tcBorders>
              <w:top w:val="dotted" w:sz="4" w:space="0" w:color="auto"/>
              <w:left w:val="nil"/>
              <w:bottom w:val="double" w:sz="6" w:space="0" w:color="auto"/>
              <w:right w:val="single" w:sz="4" w:space="0" w:color="auto"/>
            </w:tcBorders>
            <w:shd w:val="clear" w:color="000000" w:fill="FFFFFF"/>
            <w:noWrap/>
            <w:vAlign w:val="bottom"/>
            <w:hideMark/>
          </w:tcPr>
          <w:p w14:paraId="4639632F" w14:textId="77777777" w:rsidR="00630FF4" w:rsidRPr="00630FF4" w:rsidRDefault="00630FF4" w:rsidP="00630FF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47.5</w:t>
            </w:r>
          </w:p>
        </w:tc>
        <w:tc>
          <w:tcPr>
            <w:tcW w:w="1019" w:type="dxa"/>
            <w:tcBorders>
              <w:top w:val="dotted" w:sz="4" w:space="0" w:color="auto"/>
              <w:left w:val="nil"/>
              <w:bottom w:val="double" w:sz="6" w:space="0" w:color="auto"/>
              <w:right w:val="nil"/>
            </w:tcBorders>
            <w:shd w:val="clear" w:color="000000" w:fill="FFFFFF"/>
            <w:noWrap/>
            <w:vAlign w:val="bottom"/>
            <w:hideMark/>
          </w:tcPr>
          <w:p w14:paraId="229EE7D4" w14:textId="77777777" w:rsidR="00630FF4" w:rsidRPr="00630FF4" w:rsidRDefault="00630FF4" w:rsidP="00630FF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1000</w:t>
            </w:r>
          </w:p>
        </w:tc>
        <w:tc>
          <w:tcPr>
            <w:tcW w:w="1019" w:type="dxa"/>
            <w:tcBorders>
              <w:top w:val="dotted" w:sz="4" w:space="0" w:color="auto"/>
              <w:left w:val="nil"/>
              <w:bottom w:val="double" w:sz="6" w:space="0" w:color="auto"/>
              <w:right w:val="nil"/>
            </w:tcBorders>
            <w:shd w:val="clear" w:color="000000" w:fill="FFFFFF"/>
            <w:noWrap/>
            <w:vAlign w:val="bottom"/>
            <w:hideMark/>
          </w:tcPr>
          <w:p w14:paraId="45307D1E" w14:textId="77777777" w:rsidR="00630FF4" w:rsidRPr="00630FF4" w:rsidRDefault="00630FF4" w:rsidP="00630FF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37.3</w:t>
            </w:r>
          </w:p>
        </w:tc>
        <w:tc>
          <w:tcPr>
            <w:tcW w:w="1019" w:type="dxa"/>
            <w:tcBorders>
              <w:top w:val="dotted" w:sz="4" w:space="0" w:color="auto"/>
              <w:left w:val="single" w:sz="4" w:space="0" w:color="auto"/>
              <w:bottom w:val="double" w:sz="6" w:space="0" w:color="auto"/>
              <w:right w:val="nil"/>
            </w:tcBorders>
            <w:shd w:val="clear" w:color="000000" w:fill="FFFFFF"/>
            <w:noWrap/>
            <w:vAlign w:val="bottom"/>
            <w:hideMark/>
          </w:tcPr>
          <w:p w14:paraId="703CBE37" w14:textId="77777777" w:rsidR="00630FF4" w:rsidRPr="00630FF4" w:rsidRDefault="00630FF4" w:rsidP="00630FF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3381</w:t>
            </w:r>
          </w:p>
        </w:tc>
        <w:tc>
          <w:tcPr>
            <w:tcW w:w="1019" w:type="dxa"/>
            <w:tcBorders>
              <w:top w:val="dotted" w:sz="4" w:space="0" w:color="auto"/>
              <w:left w:val="nil"/>
              <w:bottom w:val="double" w:sz="6" w:space="0" w:color="auto"/>
              <w:right w:val="single" w:sz="4" w:space="0" w:color="auto"/>
            </w:tcBorders>
            <w:shd w:val="clear" w:color="000000" w:fill="FFFFFF"/>
            <w:noWrap/>
            <w:vAlign w:val="bottom"/>
            <w:hideMark/>
          </w:tcPr>
          <w:p w14:paraId="655A2769" w14:textId="77777777" w:rsidR="00630FF4" w:rsidRPr="00630FF4" w:rsidRDefault="00630FF4" w:rsidP="00630FF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0FF4">
              <w:rPr>
                <w:rFonts w:asciiTheme="minorHAnsi" w:eastAsia="Times New Roman" w:hAnsiTheme="minorHAnsi" w:cs="Times New Roman"/>
                <w:b/>
                <w:bCs/>
                <w:color w:val="000000"/>
                <w:kern w:val="0"/>
                <w:szCs w:val="22"/>
                <w:lang w:eastAsia="en-GB"/>
                <w14:ligatures w14:val="none"/>
              </w:rPr>
              <w:t>43.8</w:t>
            </w:r>
          </w:p>
        </w:tc>
      </w:tr>
    </w:tbl>
    <w:p w14:paraId="7E0DAA7E" w14:textId="77777777" w:rsidR="00B251C8" w:rsidRPr="007E2527" w:rsidRDefault="00B251C8" w:rsidP="00E07335">
      <w:pPr>
        <w:rPr>
          <w:rFonts w:asciiTheme="minorHAnsi" w:hAnsiTheme="minorHAnsi"/>
          <w:b/>
          <w:bCs/>
          <w:szCs w:val="22"/>
        </w:rPr>
      </w:pPr>
    </w:p>
    <w:p w14:paraId="3A05E0FA" w14:textId="77777777" w:rsidR="00FE6139" w:rsidRPr="007E2527" w:rsidRDefault="00FE6139" w:rsidP="00E07335">
      <w:pPr>
        <w:rPr>
          <w:rFonts w:asciiTheme="minorHAnsi" w:hAnsiTheme="minorHAnsi"/>
          <w:b/>
          <w:bCs/>
          <w:szCs w:val="22"/>
        </w:rPr>
      </w:pPr>
    </w:p>
    <w:p w14:paraId="288A1E43" w14:textId="0F016F58" w:rsidR="00E765AE" w:rsidRPr="007E2527" w:rsidRDefault="0011501E" w:rsidP="00E765AE">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age group and sex, 2025 (Female n=3,438; Male n=2,803)</w:t>
      </w:r>
    </w:p>
    <w:tbl>
      <w:tblPr>
        <w:tblW w:w="5484" w:type="dxa"/>
        <w:tblLayout w:type="fixed"/>
        <w:tblLook w:val="04A0" w:firstRow="1" w:lastRow="0" w:firstColumn="1" w:lastColumn="0" w:noHBand="0" w:noVBand="1"/>
      </w:tblPr>
      <w:tblGrid>
        <w:gridCol w:w="1644"/>
        <w:gridCol w:w="960"/>
        <w:gridCol w:w="960"/>
        <w:gridCol w:w="960"/>
        <w:gridCol w:w="960"/>
      </w:tblGrid>
      <w:tr w:rsidR="008B0FB7" w:rsidRPr="008B0FB7" w14:paraId="09AA2FE1" w14:textId="77777777" w:rsidTr="00C0065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7BF117ED" w14:textId="77777777" w:rsidR="008B0FB7" w:rsidRPr="008B0FB7" w:rsidRDefault="008B0FB7" w:rsidP="008B0FB7">
            <w:pPr>
              <w:spacing w:after="0" w:line="240" w:lineRule="auto"/>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B2FD3D5" w14:textId="77777777" w:rsidR="008B0FB7" w:rsidRPr="008B0FB7" w:rsidRDefault="008B0FB7" w:rsidP="008B0FB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Female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4DE9295" w14:textId="77777777" w:rsidR="008B0FB7" w:rsidRPr="008B0FB7" w:rsidRDefault="008B0FB7" w:rsidP="008B0FB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Male</w:t>
            </w:r>
          </w:p>
        </w:tc>
      </w:tr>
      <w:tr w:rsidR="008B0FB7" w:rsidRPr="008B0FB7" w14:paraId="3202EEEF" w14:textId="77777777" w:rsidTr="00C0065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60FB84BB" w14:textId="77777777" w:rsidR="008B0FB7" w:rsidRPr="008B0FB7" w:rsidRDefault="008B0FB7" w:rsidP="008B0FB7">
            <w:pPr>
              <w:spacing w:after="0" w:line="240" w:lineRule="auto"/>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C1FEA67" w14:textId="77777777" w:rsidR="008B0FB7" w:rsidRPr="008B0FB7" w:rsidRDefault="008B0FB7" w:rsidP="008B0FB7">
            <w:pPr>
              <w:spacing w:after="0" w:line="240" w:lineRule="auto"/>
              <w:jc w:val="center"/>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F703D8B" w14:textId="77777777" w:rsidR="008B0FB7" w:rsidRPr="008B0FB7" w:rsidRDefault="008B0FB7" w:rsidP="008B0FB7">
            <w:pPr>
              <w:spacing w:after="0" w:line="240" w:lineRule="auto"/>
              <w:jc w:val="center"/>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FF5EC50" w14:textId="77777777" w:rsidR="008B0FB7" w:rsidRPr="008B0FB7" w:rsidRDefault="008B0FB7" w:rsidP="008B0FB7">
            <w:pPr>
              <w:spacing w:after="0" w:line="240" w:lineRule="auto"/>
              <w:jc w:val="center"/>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877ABB4" w14:textId="77777777" w:rsidR="008B0FB7" w:rsidRPr="008B0FB7" w:rsidRDefault="008B0FB7" w:rsidP="008B0FB7">
            <w:pPr>
              <w:spacing w:after="0" w:line="240" w:lineRule="auto"/>
              <w:jc w:val="center"/>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w:t>
            </w:r>
          </w:p>
        </w:tc>
      </w:tr>
      <w:tr w:rsidR="008B0FB7" w:rsidRPr="008B0FB7" w14:paraId="28057929" w14:textId="77777777" w:rsidTr="00C00659">
        <w:trPr>
          <w:trHeight w:val="300"/>
        </w:trPr>
        <w:tc>
          <w:tcPr>
            <w:tcW w:w="1644" w:type="dxa"/>
            <w:tcBorders>
              <w:top w:val="nil"/>
              <w:left w:val="single" w:sz="4" w:space="0" w:color="auto"/>
              <w:bottom w:val="nil"/>
              <w:right w:val="nil"/>
            </w:tcBorders>
            <w:shd w:val="clear" w:color="000000" w:fill="FFFFFF"/>
            <w:noWrap/>
            <w:vAlign w:val="bottom"/>
            <w:hideMark/>
          </w:tcPr>
          <w:p w14:paraId="359518CC" w14:textId="77777777" w:rsidR="008B0FB7" w:rsidRPr="008B0FB7" w:rsidRDefault="008B0FB7" w:rsidP="008B0FB7">
            <w:pPr>
              <w:spacing w:after="0" w:line="240" w:lineRule="auto"/>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&lt;=25</w:t>
            </w:r>
          </w:p>
        </w:tc>
        <w:tc>
          <w:tcPr>
            <w:tcW w:w="960" w:type="dxa"/>
            <w:tcBorders>
              <w:top w:val="single" w:sz="4" w:space="0" w:color="auto"/>
              <w:left w:val="single" w:sz="4" w:space="0" w:color="auto"/>
              <w:bottom w:val="nil"/>
              <w:right w:val="nil"/>
            </w:tcBorders>
            <w:shd w:val="clear" w:color="000000" w:fill="FFFFFF"/>
            <w:noWrap/>
            <w:vAlign w:val="bottom"/>
            <w:hideMark/>
          </w:tcPr>
          <w:p w14:paraId="33E51903"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130</w:t>
            </w:r>
          </w:p>
        </w:tc>
        <w:tc>
          <w:tcPr>
            <w:tcW w:w="960" w:type="dxa"/>
            <w:tcBorders>
              <w:top w:val="nil"/>
              <w:left w:val="nil"/>
              <w:bottom w:val="nil"/>
              <w:right w:val="nil"/>
            </w:tcBorders>
            <w:shd w:val="clear" w:color="000000" w:fill="FFFFFF"/>
            <w:noWrap/>
            <w:vAlign w:val="bottom"/>
            <w:hideMark/>
          </w:tcPr>
          <w:p w14:paraId="76FD45D4"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3.8%</w:t>
            </w:r>
          </w:p>
        </w:tc>
        <w:tc>
          <w:tcPr>
            <w:tcW w:w="960" w:type="dxa"/>
            <w:tcBorders>
              <w:top w:val="single" w:sz="4" w:space="0" w:color="auto"/>
              <w:left w:val="single" w:sz="4" w:space="0" w:color="auto"/>
              <w:bottom w:val="nil"/>
              <w:right w:val="nil"/>
            </w:tcBorders>
            <w:shd w:val="clear" w:color="000000" w:fill="FFFFFF"/>
            <w:noWrap/>
            <w:vAlign w:val="bottom"/>
            <w:hideMark/>
          </w:tcPr>
          <w:p w14:paraId="6D6CC9A1"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82</w:t>
            </w:r>
          </w:p>
        </w:tc>
        <w:tc>
          <w:tcPr>
            <w:tcW w:w="960" w:type="dxa"/>
            <w:tcBorders>
              <w:top w:val="nil"/>
              <w:left w:val="nil"/>
              <w:bottom w:val="nil"/>
              <w:right w:val="single" w:sz="4" w:space="0" w:color="auto"/>
            </w:tcBorders>
            <w:shd w:val="clear" w:color="000000" w:fill="FFFFFF"/>
            <w:noWrap/>
            <w:vAlign w:val="bottom"/>
            <w:hideMark/>
          </w:tcPr>
          <w:p w14:paraId="018009D2"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2.9%</w:t>
            </w:r>
          </w:p>
        </w:tc>
      </w:tr>
      <w:tr w:rsidR="008B0FB7" w:rsidRPr="008B0FB7" w14:paraId="4B8F41E4" w14:textId="77777777" w:rsidTr="00C00659">
        <w:trPr>
          <w:trHeight w:val="300"/>
        </w:trPr>
        <w:tc>
          <w:tcPr>
            <w:tcW w:w="1644" w:type="dxa"/>
            <w:tcBorders>
              <w:top w:val="nil"/>
              <w:left w:val="single" w:sz="4" w:space="0" w:color="auto"/>
              <w:bottom w:val="nil"/>
              <w:right w:val="nil"/>
            </w:tcBorders>
            <w:shd w:val="clear" w:color="000000" w:fill="FFFFFF"/>
            <w:noWrap/>
            <w:vAlign w:val="bottom"/>
            <w:hideMark/>
          </w:tcPr>
          <w:p w14:paraId="7505D264" w14:textId="77777777" w:rsidR="008B0FB7" w:rsidRPr="008B0FB7" w:rsidRDefault="008B0FB7" w:rsidP="008B0FB7">
            <w:pPr>
              <w:spacing w:after="0" w:line="240" w:lineRule="auto"/>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26-35</w:t>
            </w:r>
          </w:p>
        </w:tc>
        <w:tc>
          <w:tcPr>
            <w:tcW w:w="960" w:type="dxa"/>
            <w:tcBorders>
              <w:top w:val="nil"/>
              <w:left w:val="single" w:sz="4" w:space="0" w:color="auto"/>
              <w:bottom w:val="nil"/>
              <w:right w:val="nil"/>
            </w:tcBorders>
            <w:shd w:val="clear" w:color="000000" w:fill="FFFFFF"/>
            <w:noWrap/>
            <w:vAlign w:val="bottom"/>
            <w:hideMark/>
          </w:tcPr>
          <w:p w14:paraId="7B652A04"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819</w:t>
            </w:r>
          </w:p>
        </w:tc>
        <w:tc>
          <w:tcPr>
            <w:tcW w:w="960" w:type="dxa"/>
            <w:tcBorders>
              <w:top w:val="nil"/>
              <w:left w:val="nil"/>
              <w:bottom w:val="nil"/>
              <w:right w:val="nil"/>
            </w:tcBorders>
            <w:shd w:val="clear" w:color="000000" w:fill="FFFFFF"/>
            <w:noWrap/>
            <w:vAlign w:val="bottom"/>
            <w:hideMark/>
          </w:tcPr>
          <w:p w14:paraId="7309E265"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23.8%</w:t>
            </w:r>
          </w:p>
        </w:tc>
        <w:tc>
          <w:tcPr>
            <w:tcW w:w="960" w:type="dxa"/>
            <w:tcBorders>
              <w:top w:val="nil"/>
              <w:left w:val="single" w:sz="4" w:space="0" w:color="auto"/>
              <w:bottom w:val="nil"/>
              <w:right w:val="nil"/>
            </w:tcBorders>
            <w:shd w:val="clear" w:color="000000" w:fill="FFFFFF"/>
            <w:noWrap/>
            <w:vAlign w:val="bottom"/>
            <w:hideMark/>
          </w:tcPr>
          <w:p w14:paraId="5D3F4223"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656</w:t>
            </w:r>
          </w:p>
        </w:tc>
        <w:tc>
          <w:tcPr>
            <w:tcW w:w="960" w:type="dxa"/>
            <w:tcBorders>
              <w:top w:val="nil"/>
              <w:left w:val="nil"/>
              <w:bottom w:val="nil"/>
              <w:right w:val="single" w:sz="4" w:space="0" w:color="auto"/>
            </w:tcBorders>
            <w:shd w:val="clear" w:color="000000" w:fill="FFFFFF"/>
            <w:noWrap/>
            <w:vAlign w:val="bottom"/>
            <w:hideMark/>
          </w:tcPr>
          <w:p w14:paraId="5ED925E2"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23.4%</w:t>
            </w:r>
          </w:p>
        </w:tc>
      </w:tr>
      <w:tr w:rsidR="008B0FB7" w:rsidRPr="008B0FB7" w14:paraId="4944CB37" w14:textId="77777777" w:rsidTr="00C00659">
        <w:trPr>
          <w:trHeight w:val="300"/>
        </w:trPr>
        <w:tc>
          <w:tcPr>
            <w:tcW w:w="1644" w:type="dxa"/>
            <w:tcBorders>
              <w:top w:val="nil"/>
              <w:left w:val="single" w:sz="4" w:space="0" w:color="auto"/>
              <w:bottom w:val="nil"/>
              <w:right w:val="nil"/>
            </w:tcBorders>
            <w:shd w:val="clear" w:color="000000" w:fill="FFFFFF"/>
            <w:noWrap/>
            <w:vAlign w:val="bottom"/>
            <w:hideMark/>
          </w:tcPr>
          <w:p w14:paraId="51DFAC28" w14:textId="77777777" w:rsidR="008B0FB7" w:rsidRPr="008B0FB7" w:rsidRDefault="008B0FB7" w:rsidP="008B0FB7">
            <w:pPr>
              <w:spacing w:after="0" w:line="240" w:lineRule="auto"/>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36-45</w:t>
            </w:r>
          </w:p>
        </w:tc>
        <w:tc>
          <w:tcPr>
            <w:tcW w:w="960" w:type="dxa"/>
            <w:tcBorders>
              <w:top w:val="nil"/>
              <w:left w:val="single" w:sz="4" w:space="0" w:color="auto"/>
              <w:bottom w:val="nil"/>
              <w:right w:val="nil"/>
            </w:tcBorders>
            <w:shd w:val="clear" w:color="000000" w:fill="FFFFFF"/>
            <w:noWrap/>
            <w:vAlign w:val="bottom"/>
            <w:hideMark/>
          </w:tcPr>
          <w:p w14:paraId="0CDC5CB1"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1076</w:t>
            </w:r>
          </w:p>
        </w:tc>
        <w:tc>
          <w:tcPr>
            <w:tcW w:w="960" w:type="dxa"/>
            <w:tcBorders>
              <w:top w:val="nil"/>
              <w:left w:val="nil"/>
              <w:bottom w:val="nil"/>
              <w:right w:val="nil"/>
            </w:tcBorders>
            <w:shd w:val="clear" w:color="000000" w:fill="FFFFFF"/>
            <w:noWrap/>
            <w:vAlign w:val="bottom"/>
            <w:hideMark/>
          </w:tcPr>
          <w:p w14:paraId="7CDCA3D3"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31.3%</w:t>
            </w:r>
          </w:p>
        </w:tc>
        <w:tc>
          <w:tcPr>
            <w:tcW w:w="960" w:type="dxa"/>
            <w:tcBorders>
              <w:top w:val="nil"/>
              <w:left w:val="single" w:sz="4" w:space="0" w:color="auto"/>
              <w:bottom w:val="nil"/>
              <w:right w:val="nil"/>
            </w:tcBorders>
            <w:shd w:val="clear" w:color="000000" w:fill="FFFFFF"/>
            <w:noWrap/>
            <w:vAlign w:val="bottom"/>
            <w:hideMark/>
          </w:tcPr>
          <w:p w14:paraId="3785D854"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775</w:t>
            </w:r>
          </w:p>
        </w:tc>
        <w:tc>
          <w:tcPr>
            <w:tcW w:w="960" w:type="dxa"/>
            <w:tcBorders>
              <w:top w:val="nil"/>
              <w:left w:val="nil"/>
              <w:bottom w:val="nil"/>
              <w:right w:val="single" w:sz="4" w:space="0" w:color="auto"/>
            </w:tcBorders>
            <w:shd w:val="clear" w:color="000000" w:fill="FFFFFF"/>
            <w:noWrap/>
            <w:vAlign w:val="bottom"/>
            <w:hideMark/>
          </w:tcPr>
          <w:p w14:paraId="24C8DFF7"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27.6%</w:t>
            </w:r>
          </w:p>
        </w:tc>
      </w:tr>
      <w:tr w:rsidR="008B0FB7" w:rsidRPr="008B0FB7" w14:paraId="47C3AA7C" w14:textId="77777777" w:rsidTr="00C00659">
        <w:trPr>
          <w:trHeight w:val="300"/>
        </w:trPr>
        <w:tc>
          <w:tcPr>
            <w:tcW w:w="1644" w:type="dxa"/>
            <w:tcBorders>
              <w:top w:val="nil"/>
              <w:left w:val="single" w:sz="4" w:space="0" w:color="auto"/>
              <w:bottom w:val="nil"/>
              <w:right w:val="nil"/>
            </w:tcBorders>
            <w:shd w:val="clear" w:color="000000" w:fill="FFFFFF"/>
            <w:noWrap/>
            <w:vAlign w:val="bottom"/>
            <w:hideMark/>
          </w:tcPr>
          <w:p w14:paraId="6F34D791" w14:textId="77777777" w:rsidR="008B0FB7" w:rsidRPr="008B0FB7" w:rsidRDefault="008B0FB7" w:rsidP="008B0FB7">
            <w:pPr>
              <w:spacing w:after="0" w:line="240" w:lineRule="auto"/>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46-55</w:t>
            </w:r>
          </w:p>
        </w:tc>
        <w:tc>
          <w:tcPr>
            <w:tcW w:w="960" w:type="dxa"/>
            <w:tcBorders>
              <w:top w:val="nil"/>
              <w:left w:val="single" w:sz="4" w:space="0" w:color="auto"/>
              <w:bottom w:val="nil"/>
              <w:right w:val="nil"/>
            </w:tcBorders>
            <w:shd w:val="clear" w:color="000000" w:fill="FFFFFF"/>
            <w:noWrap/>
            <w:vAlign w:val="bottom"/>
            <w:hideMark/>
          </w:tcPr>
          <w:p w14:paraId="593EC6AB"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835</w:t>
            </w:r>
          </w:p>
        </w:tc>
        <w:tc>
          <w:tcPr>
            <w:tcW w:w="960" w:type="dxa"/>
            <w:tcBorders>
              <w:top w:val="nil"/>
              <w:left w:val="nil"/>
              <w:bottom w:val="nil"/>
              <w:right w:val="nil"/>
            </w:tcBorders>
            <w:shd w:val="clear" w:color="000000" w:fill="FFFFFF"/>
            <w:noWrap/>
            <w:vAlign w:val="bottom"/>
            <w:hideMark/>
          </w:tcPr>
          <w:p w14:paraId="585864AA"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24.3%</w:t>
            </w:r>
          </w:p>
        </w:tc>
        <w:tc>
          <w:tcPr>
            <w:tcW w:w="960" w:type="dxa"/>
            <w:tcBorders>
              <w:top w:val="nil"/>
              <w:left w:val="single" w:sz="4" w:space="0" w:color="auto"/>
              <w:bottom w:val="nil"/>
              <w:right w:val="nil"/>
            </w:tcBorders>
            <w:shd w:val="clear" w:color="000000" w:fill="FFFFFF"/>
            <w:noWrap/>
            <w:vAlign w:val="bottom"/>
            <w:hideMark/>
          </w:tcPr>
          <w:p w14:paraId="521A9FBB"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713</w:t>
            </w:r>
          </w:p>
        </w:tc>
        <w:tc>
          <w:tcPr>
            <w:tcW w:w="960" w:type="dxa"/>
            <w:tcBorders>
              <w:top w:val="nil"/>
              <w:left w:val="nil"/>
              <w:bottom w:val="nil"/>
              <w:right w:val="single" w:sz="4" w:space="0" w:color="auto"/>
            </w:tcBorders>
            <w:shd w:val="clear" w:color="000000" w:fill="FFFFFF"/>
            <w:noWrap/>
            <w:vAlign w:val="bottom"/>
            <w:hideMark/>
          </w:tcPr>
          <w:p w14:paraId="626E97D5"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25.4%</w:t>
            </w:r>
          </w:p>
        </w:tc>
      </w:tr>
      <w:tr w:rsidR="008B0FB7" w:rsidRPr="008B0FB7" w14:paraId="5B4E02E0" w14:textId="77777777" w:rsidTr="00C00659">
        <w:trPr>
          <w:trHeight w:val="300"/>
        </w:trPr>
        <w:tc>
          <w:tcPr>
            <w:tcW w:w="1644" w:type="dxa"/>
            <w:tcBorders>
              <w:top w:val="nil"/>
              <w:left w:val="single" w:sz="4" w:space="0" w:color="auto"/>
              <w:bottom w:val="nil"/>
              <w:right w:val="nil"/>
            </w:tcBorders>
            <w:shd w:val="clear" w:color="000000" w:fill="FFFFFF"/>
            <w:noWrap/>
            <w:vAlign w:val="bottom"/>
            <w:hideMark/>
          </w:tcPr>
          <w:p w14:paraId="3870244C" w14:textId="77777777" w:rsidR="008B0FB7" w:rsidRPr="008B0FB7" w:rsidRDefault="008B0FB7" w:rsidP="008B0FB7">
            <w:pPr>
              <w:spacing w:after="0" w:line="240" w:lineRule="auto"/>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56-65</w:t>
            </w:r>
          </w:p>
        </w:tc>
        <w:tc>
          <w:tcPr>
            <w:tcW w:w="960" w:type="dxa"/>
            <w:tcBorders>
              <w:top w:val="nil"/>
              <w:left w:val="single" w:sz="4" w:space="0" w:color="auto"/>
              <w:bottom w:val="nil"/>
              <w:right w:val="nil"/>
            </w:tcBorders>
            <w:shd w:val="clear" w:color="000000" w:fill="FFFFFF"/>
            <w:noWrap/>
            <w:vAlign w:val="bottom"/>
            <w:hideMark/>
          </w:tcPr>
          <w:p w14:paraId="412D5BDD"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531</w:t>
            </w:r>
          </w:p>
        </w:tc>
        <w:tc>
          <w:tcPr>
            <w:tcW w:w="960" w:type="dxa"/>
            <w:tcBorders>
              <w:top w:val="nil"/>
              <w:left w:val="nil"/>
              <w:bottom w:val="nil"/>
              <w:right w:val="nil"/>
            </w:tcBorders>
            <w:shd w:val="clear" w:color="000000" w:fill="FFFFFF"/>
            <w:noWrap/>
            <w:vAlign w:val="bottom"/>
            <w:hideMark/>
          </w:tcPr>
          <w:p w14:paraId="042A087A"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15.4%</w:t>
            </w:r>
          </w:p>
        </w:tc>
        <w:tc>
          <w:tcPr>
            <w:tcW w:w="960" w:type="dxa"/>
            <w:tcBorders>
              <w:top w:val="nil"/>
              <w:left w:val="single" w:sz="4" w:space="0" w:color="auto"/>
              <w:bottom w:val="nil"/>
              <w:right w:val="nil"/>
            </w:tcBorders>
            <w:shd w:val="clear" w:color="000000" w:fill="FFFFFF"/>
            <w:noWrap/>
            <w:vAlign w:val="bottom"/>
            <w:hideMark/>
          </w:tcPr>
          <w:p w14:paraId="5B93E5F8"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475</w:t>
            </w:r>
          </w:p>
        </w:tc>
        <w:tc>
          <w:tcPr>
            <w:tcW w:w="960" w:type="dxa"/>
            <w:tcBorders>
              <w:top w:val="nil"/>
              <w:left w:val="nil"/>
              <w:bottom w:val="nil"/>
              <w:right w:val="single" w:sz="4" w:space="0" w:color="auto"/>
            </w:tcBorders>
            <w:shd w:val="clear" w:color="000000" w:fill="FFFFFF"/>
            <w:noWrap/>
            <w:vAlign w:val="bottom"/>
            <w:hideMark/>
          </w:tcPr>
          <w:p w14:paraId="53EA3708"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16.9%</w:t>
            </w:r>
          </w:p>
        </w:tc>
      </w:tr>
      <w:tr w:rsidR="008B0FB7" w:rsidRPr="008B0FB7" w14:paraId="76B32FDB" w14:textId="77777777" w:rsidTr="00C00659">
        <w:trPr>
          <w:trHeight w:val="300"/>
        </w:trPr>
        <w:tc>
          <w:tcPr>
            <w:tcW w:w="1644" w:type="dxa"/>
            <w:tcBorders>
              <w:top w:val="nil"/>
              <w:left w:val="single" w:sz="4" w:space="0" w:color="auto"/>
              <w:bottom w:val="nil"/>
              <w:right w:val="nil"/>
            </w:tcBorders>
            <w:shd w:val="clear" w:color="000000" w:fill="FFFFFF"/>
            <w:noWrap/>
            <w:vAlign w:val="bottom"/>
            <w:hideMark/>
          </w:tcPr>
          <w:p w14:paraId="5AD12477" w14:textId="77777777" w:rsidR="008B0FB7" w:rsidRPr="008B0FB7" w:rsidRDefault="008B0FB7" w:rsidP="008B0FB7">
            <w:pPr>
              <w:spacing w:after="0" w:line="240" w:lineRule="auto"/>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&gt;=66</w:t>
            </w:r>
          </w:p>
        </w:tc>
        <w:tc>
          <w:tcPr>
            <w:tcW w:w="960" w:type="dxa"/>
            <w:tcBorders>
              <w:top w:val="nil"/>
              <w:left w:val="single" w:sz="4" w:space="0" w:color="auto"/>
              <w:bottom w:val="nil"/>
              <w:right w:val="nil"/>
            </w:tcBorders>
            <w:shd w:val="clear" w:color="000000" w:fill="FFFFFF"/>
            <w:noWrap/>
            <w:vAlign w:val="bottom"/>
            <w:hideMark/>
          </w:tcPr>
          <w:p w14:paraId="2470C1F3"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nil"/>
            </w:tcBorders>
            <w:shd w:val="clear" w:color="000000" w:fill="FFFFFF"/>
            <w:noWrap/>
            <w:vAlign w:val="bottom"/>
            <w:hideMark/>
          </w:tcPr>
          <w:p w14:paraId="14CD3D27"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1.4%</w:t>
            </w:r>
          </w:p>
        </w:tc>
        <w:tc>
          <w:tcPr>
            <w:tcW w:w="960" w:type="dxa"/>
            <w:tcBorders>
              <w:top w:val="nil"/>
              <w:left w:val="single" w:sz="4" w:space="0" w:color="auto"/>
              <w:bottom w:val="nil"/>
              <w:right w:val="nil"/>
            </w:tcBorders>
            <w:shd w:val="clear" w:color="000000" w:fill="FFFFFF"/>
            <w:noWrap/>
            <w:vAlign w:val="bottom"/>
            <w:hideMark/>
          </w:tcPr>
          <w:p w14:paraId="20AFCBA6"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102</w:t>
            </w:r>
          </w:p>
        </w:tc>
        <w:tc>
          <w:tcPr>
            <w:tcW w:w="960" w:type="dxa"/>
            <w:tcBorders>
              <w:top w:val="nil"/>
              <w:left w:val="nil"/>
              <w:bottom w:val="nil"/>
              <w:right w:val="single" w:sz="4" w:space="0" w:color="auto"/>
            </w:tcBorders>
            <w:shd w:val="clear" w:color="000000" w:fill="FFFFFF"/>
            <w:noWrap/>
            <w:vAlign w:val="bottom"/>
            <w:hideMark/>
          </w:tcPr>
          <w:p w14:paraId="132467EA" w14:textId="77777777" w:rsidR="008B0FB7" w:rsidRPr="008B0FB7" w:rsidRDefault="008B0FB7" w:rsidP="008B0FB7">
            <w:pPr>
              <w:spacing w:after="0" w:line="240" w:lineRule="auto"/>
              <w:jc w:val="right"/>
              <w:rPr>
                <w:rFonts w:asciiTheme="minorHAnsi" w:eastAsia="Times New Roman" w:hAnsiTheme="minorHAnsi" w:cs="Times New Roman"/>
                <w:color w:val="000000"/>
                <w:kern w:val="0"/>
                <w:szCs w:val="22"/>
                <w:lang w:eastAsia="en-GB"/>
                <w14:ligatures w14:val="none"/>
              </w:rPr>
            </w:pPr>
            <w:r w:rsidRPr="008B0FB7">
              <w:rPr>
                <w:rFonts w:asciiTheme="minorHAnsi" w:eastAsia="Times New Roman" w:hAnsiTheme="minorHAnsi" w:cs="Times New Roman"/>
                <w:color w:val="000000"/>
                <w:kern w:val="0"/>
                <w:szCs w:val="22"/>
                <w:lang w:eastAsia="en-GB"/>
                <w14:ligatures w14:val="none"/>
              </w:rPr>
              <w:t>3.6%</w:t>
            </w:r>
          </w:p>
        </w:tc>
      </w:tr>
      <w:tr w:rsidR="008B0FB7" w:rsidRPr="008B0FB7" w14:paraId="435C037F" w14:textId="77777777" w:rsidTr="00C0065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533FD912" w14:textId="77777777" w:rsidR="008B0FB7" w:rsidRPr="008B0FB7" w:rsidRDefault="008B0FB7" w:rsidP="008B0FB7">
            <w:pPr>
              <w:spacing w:after="0" w:line="240" w:lineRule="auto"/>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37772C3" w14:textId="77777777" w:rsidR="008B0FB7" w:rsidRPr="008B0FB7" w:rsidRDefault="008B0FB7" w:rsidP="008B0FB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3438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87A79E9" w14:textId="77777777" w:rsidR="008B0FB7" w:rsidRPr="008B0FB7" w:rsidRDefault="008B0FB7" w:rsidP="008B0FB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DA395AA" w14:textId="77777777" w:rsidR="008B0FB7" w:rsidRPr="008B0FB7" w:rsidRDefault="008B0FB7" w:rsidP="008B0FB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2803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7B1998A" w14:textId="77777777" w:rsidR="008B0FB7" w:rsidRPr="008B0FB7" w:rsidRDefault="008B0FB7" w:rsidP="008B0FB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0FB7">
              <w:rPr>
                <w:rFonts w:asciiTheme="minorHAnsi" w:eastAsia="Times New Roman" w:hAnsiTheme="minorHAnsi" w:cs="Times New Roman"/>
                <w:b/>
                <w:bCs/>
                <w:color w:val="000000"/>
                <w:kern w:val="0"/>
                <w:szCs w:val="22"/>
                <w:lang w:eastAsia="en-GB"/>
                <w14:ligatures w14:val="none"/>
              </w:rPr>
              <w:t>100%</w:t>
            </w:r>
          </w:p>
        </w:tc>
      </w:tr>
    </w:tbl>
    <w:p w14:paraId="24229C36" w14:textId="77777777" w:rsidR="008B0FB7" w:rsidRPr="007E2527" w:rsidRDefault="008B0FB7" w:rsidP="008B0FB7">
      <w:pPr>
        <w:rPr>
          <w:rFonts w:asciiTheme="minorHAnsi" w:hAnsiTheme="minorHAnsi"/>
          <w:b/>
          <w:bCs/>
          <w:szCs w:val="22"/>
        </w:rPr>
      </w:pPr>
    </w:p>
    <w:p w14:paraId="11BA0F26" w14:textId="33BC014A" w:rsidR="00E765AE" w:rsidRPr="007E2527" w:rsidRDefault="00E765AE"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Average age of all colleagues by occupation and sex, 2025 (N=6,241)</w:t>
      </w:r>
    </w:p>
    <w:tbl>
      <w:tblPr>
        <w:tblW w:w="7867" w:type="dxa"/>
        <w:tblLayout w:type="fixed"/>
        <w:tblLook w:val="04A0" w:firstRow="1" w:lastRow="0" w:firstColumn="1" w:lastColumn="0" w:noHBand="0" w:noVBand="1"/>
      </w:tblPr>
      <w:tblGrid>
        <w:gridCol w:w="1729"/>
        <w:gridCol w:w="1022"/>
        <w:gridCol w:w="1024"/>
        <w:gridCol w:w="1022"/>
        <w:gridCol w:w="1024"/>
        <w:gridCol w:w="1022"/>
        <w:gridCol w:w="1024"/>
      </w:tblGrid>
      <w:tr w:rsidR="00C00659" w:rsidRPr="00FB6461" w14:paraId="6BB4E1A2" w14:textId="77777777" w:rsidTr="00C00659">
        <w:trPr>
          <w:trHeight w:val="317"/>
        </w:trPr>
        <w:tc>
          <w:tcPr>
            <w:tcW w:w="1729" w:type="dxa"/>
            <w:tcBorders>
              <w:top w:val="single" w:sz="4" w:space="0" w:color="auto"/>
              <w:left w:val="single" w:sz="4" w:space="0" w:color="auto"/>
              <w:bottom w:val="nil"/>
              <w:right w:val="nil"/>
            </w:tcBorders>
            <w:shd w:val="clear" w:color="000000" w:fill="FFFFFF"/>
            <w:noWrap/>
            <w:vAlign w:val="bottom"/>
            <w:hideMark/>
          </w:tcPr>
          <w:p w14:paraId="381608B9" w14:textId="77777777" w:rsidR="00FB6461" w:rsidRPr="00FB6461" w:rsidRDefault="00FB6461" w:rsidP="00FB6461">
            <w:pPr>
              <w:spacing w:after="0" w:line="240" w:lineRule="auto"/>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 </w:t>
            </w:r>
          </w:p>
        </w:tc>
        <w:tc>
          <w:tcPr>
            <w:tcW w:w="2046"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0598084" w14:textId="77777777" w:rsidR="00FB6461" w:rsidRPr="00FB6461" w:rsidRDefault="00FB6461" w:rsidP="00FB646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Academic</w:t>
            </w:r>
          </w:p>
        </w:tc>
        <w:tc>
          <w:tcPr>
            <w:tcW w:w="2046" w:type="dxa"/>
            <w:gridSpan w:val="2"/>
            <w:tcBorders>
              <w:top w:val="single" w:sz="4" w:space="0" w:color="auto"/>
              <w:left w:val="nil"/>
              <w:bottom w:val="nil"/>
              <w:right w:val="nil"/>
            </w:tcBorders>
            <w:shd w:val="clear" w:color="000000" w:fill="FFFFFF"/>
            <w:noWrap/>
            <w:vAlign w:val="bottom"/>
            <w:hideMark/>
          </w:tcPr>
          <w:p w14:paraId="44A42397" w14:textId="77777777" w:rsidR="00FB6461" w:rsidRPr="00FB6461" w:rsidRDefault="00FB6461" w:rsidP="00FB646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Research</w:t>
            </w:r>
          </w:p>
        </w:tc>
        <w:tc>
          <w:tcPr>
            <w:tcW w:w="2046"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7F63750" w14:textId="77777777" w:rsidR="00FB6461" w:rsidRPr="00FB6461" w:rsidRDefault="00FB6461" w:rsidP="00FB646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PS</w:t>
            </w:r>
          </w:p>
        </w:tc>
      </w:tr>
      <w:tr w:rsidR="00FB6461" w:rsidRPr="007E2527" w14:paraId="37A2DEFC" w14:textId="77777777" w:rsidTr="00C00659">
        <w:trPr>
          <w:trHeight w:val="634"/>
        </w:trPr>
        <w:tc>
          <w:tcPr>
            <w:tcW w:w="1729" w:type="dxa"/>
            <w:tcBorders>
              <w:top w:val="nil"/>
              <w:left w:val="single" w:sz="4" w:space="0" w:color="auto"/>
              <w:bottom w:val="single" w:sz="4" w:space="0" w:color="auto"/>
              <w:right w:val="nil"/>
            </w:tcBorders>
            <w:shd w:val="clear" w:color="000000" w:fill="FFFFFF"/>
            <w:noWrap/>
            <w:vAlign w:val="bottom"/>
            <w:hideMark/>
          </w:tcPr>
          <w:p w14:paraId="1541016F" w14:textId="77777777" w:rsidR="00FB6461" w:rsidRPr="00FB6461" w:rsidRDefault="00FB6461" w:rsidP="00FB6461">
            <w:pPr>
              <w:spacing w:after="0" w:line="240" w:lineRule="auto"/>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 </w:t>
            </w:r>
          </w:p>
        </w:tc>
        <w:tc>
          <w:tcPr>
            <w:tcW w:w="1022" w:type="dxa"/>
            <w:tcBorders>
              <w:top w:val="nil"/>
              <w:left w:val="single" w:sz="4" w:space="0" w:color="auto"/>
              <w:bottom w:val="single" w:sz="4" w:space="0" w:color="auto"/>
              <w:right w:val="nil"/>
            </w:tcBorders>
            <w:shd w:val="clear" w:color="000000" w:fill="FFFFFF"/>
            <w:noWrap/>
            <w:vAlign w:val="center"/>
            <w:hideMark/>
          </w:tcPr>
          <w:p w14:paraId="79E0C348" w14:textId="77777777" w:rsidR="00FB6461" w:rsidRPr="00FB6461" w:rsidRDefault="00FB6461" w:rsidP="00FB6461">
            <w:pPr>
              <w:spacing w:after="0" w:line="240" w:lineRule="auto"/>
              <w:jc w:val="center"/>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n</w:t>
            </w:r>
          </w:p>
        </w:tc>
        <w:tc>
          <w:tcPr>
            <w:tcW w:w="1023" w:type="dxa"/>
            <w:tcBorders>
              <w:top w:val="nil"/>
              <w:left w:val="nil"/>
              <w:bottom w:val="single" w:sz="4" w:space="0" w:color="auto"/>
              <w:right w:val="single" w:sz="4" w:space="0" w:color="auto"/>
            </w:tcBorders>
            <w:shd w:val="clear" w:color="000000" w:fill="FFFFFF"/>
            <w:vAlign w:val="center"/>
            <w:hideMark/>
          </w:tcPr>
          <w:p w14:paraId="3EB097B1" w14:textId="77777777" w:rsidR="00FB6461" w:rsidRPr="00FB6461" w:rsidRDefault="00FB6461" w:rsidP="00FB6461">
            <w:pPr>
              <w:spacing w:after="0" w:line="240" w:lineRule="auto"/>
              <w:jc w:val="center"/>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Average age (yrs)</w:t>
            </w:r>
          </w:p>
        </w:tc>
        <w:tc>
          <w:tcPr>
            <w:tcW w:w="1022" w:type="dxa"/>
            <w:tcBorders>
              <w:top w:val="nil"/>
              <w:left w:val="nil"/>
              <w:bottom w:val="single" w:sz="4" w:space="0" w:color="auto"/>
              <w:right w:val="nil"/>
            </w:tcBorders>
            <w:shd w:val="clear" w:color="000000" w:fill="FFFFFF"/>
            <w:noWrap/>
            <w:vAlign w:val="center"/>
            <w:hideMark/>
          </w:tcPr>
          <w:p w14:paraId="17B848EE" w14:textId="77777777" w:rsidR="00FB6461" w:rsidRPr="00FB6461" w:rsidRDefault="00FB6461" w:rsidP="00FB6461">
            <w:pPr>
              <w:spacing w:after="0" w:line="240" w:lineRule="auto"/>
              <w:jc w:val="center"/>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n</w:t>
            </w:r>
          </w:p>
        </w:tc>
        <w:tc>
          <w:tcPr>
            <w:tcW w:w="1023" w:type="dxa"/>
            <w:tcBorders>
              <w:top w:val="nil"/>
              <w:left w:val="nil"/>
              <w:bottom w:val="single" w:sz="4" w:space="0" w:color="auto"/>
              <w:right w:val="single" w:sz="4" w:space="0" w:color="auto"/>
            </w:tcBorders>
            <w:shd w:val="clear" w:color="000000" w:fill="FFFFFF"/>
            <w:vAlign w:val="center"/>
            <w:hideMark/>
          </w:tcPr>
          <w:p w14:paraId="13D28DF5" w14:textId="77777777" w:rsidR="00FB6461" w:rsidRPr="00FB6461" w:rsidRDefault="00FB6461" w:rsidP="00FB6461">
            <w:pPr>
              <w:spacing w:after="0" w:line="240" w:lineRule="auto"/>
              <w:jc w:val="center"/>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Average age (yrs)</w:t>
            </w:r>
          </w:p>
        </w:tc>
        <w:tc>
          <w:tcPr>
            <w:tcW w:w="1022" w:type="dxa"/>
            <w:tcBorders>
              <w:top w:val="nil"/>
              <w:left w:val="nil"/>
              <w:bottom w:val="single" w:sz="4" w:space="0" w:color="auto"/>
              <w:right w:val="nil"/>
            </w:tcBorders>
            <w:shd w:val="clear" w:color="000000" w:fill="FFFFFF"/>
            <w:noWrap/>
            <w:vAlign w:val="center"/>
            <w:hideMark/>
          </w:tcPr>
          <w:p w14:paraId="0F9CAC06" w14:textId="77777777" w:rsidR="00FB6461" w:rsidRPr="00FB6461" w:rsidRDefault="00FB6461" w:rsidP="00FB6461">
            <w:pPr>
              <w:spacing w:after="0" w:line="240" w:lineRule="auto"/>
              <w:jc w:val="center"/>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n</w:t>
            </w:r>
          </w:p>
        </w:tc>
        <w:tc>
          <w:tcPr>
            <w:tcW w:w="1023" w:type="dxa"/>
            <w:tcBorders>
              <w:top w:val="nil"/>
              <w:left w:val="nil"/>
              <w:bottom w:val="single" w:sz="4" w:space="0" w:color="auto"/>
              <w:right w:val="single" w:sz="4" w:space="0" w:color="auto"/>
            </w:tcBorders>
            <w:shd w:val="clear" w:color="000000" w:fill="FFFFFF"/>
            <w:vAlign w:val="center"/>
            <w:hideMark/>
          </w:tcPr>
          <w:p w14:paraId="0880289E" w14:textId="77777777" w:rsidR="00FB6461" w:rsidRPr="00FB6461" w:rsidRDefault="00FB6461" w:rsidP="00FB6461">
            <w:pPr>
              <w:spacing w:after="0" w:line="240" w:lineRule="auto"/>
              <w:jc w:val="center"/>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Average age (yrs)</w:t>
            </w:r>
          </w:p>
        </w:tc>
      </w:tr>
      <w:tr w:rsidR="00FB6461" w:rsidRPr="007E2527" w14:paraId="2E5BFEE5" w14:textId="77777777" w:rsidTr="00C00659">
        <w:trPr>
          <w:trHeight w:val="317"/>
        </w:trPr>
        <w:tc>
          <w:tcPr>
            <w:tcW w:w="1729" w:type="dxa"/>
            <w:tcBorders>
              <w:top w:val="nil"/>
              <w:left w:val="single" w:sz="4" w:space="0" w:color="auto"/>
              <w:bottom w:val="nil"/>
              <w:right w:val="nil"/>
            </w:tcBorders>
            <w:shd w:val="clear" w:color="000000" w:fill="FFFFFF"/>
            <w:noWrap/>
            <w:vAlign w:val="bottom"/>
            <w:hideMark/>
          </w:tcPr>
          <w:p w14:paraId="7E513C1D" w14:textId="77777777" w:rsidR="00FB6461" w:rsidRPr="00FB6461" w:rsidRDefault="00FB6461" w:rsidP="00FB6461">
            <w:pPr>
              <w:spacing w:after="0" w:line="240" w:lineRule="auto"/>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Female</w:t>
            </w:r>
          </w:p>
        </w:tc>
        <w:tc>
          <w:tcPr>
            <w:tcW w:w="1022" w:type="dxa"/>
            <w:tcBorders>
              <w:top w:val="nil"/>
              <w:left w:val="single" w:sz="4" w:space="0" w:color="auto"/>
              <w:bottom w:val="nil"/>
              <w:right w:val="nil"/>
            </w:tcBorders>
            <w:shd w:val="clear" w:color="000000" w:fill="FFFFFF"/>
            <w:noWrap/>
            <w:vAlign w:val="bottom"/>
            <w:hideMark/>
          </w:tcPr>
          <w:p w14:paraId="0D7C2B2F"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825</w:t>
            </w:r>
          </w:p>
        </w:tc>
        <w:tc>
          <w:tcPr>
            <w:tcW w:w="1023" w:type="dxa"/>
            <w:tcBorders>
              <w:top w:val="nil"/>
              <w:left w:val="nil"/>
              <w:bottom w:val="nil"/>
              <w:right w:val="single" w:sz="4" w:space="0" w:color="auto"/>
            </w:tcBorders>
            <w:shd w:val="clear" w:color="000000" w:fill="FFFFFF"/>
            <w:noWrap/>
            <w:vAlign w:val="bottom"/>
            <w:hideMark/>
          </w:tcPr>
          <w:p w14:paraId="6F916D48"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46.1</w:t>
            </w:r>
          </w:p>
        </w:tc>
        <w:tc>
          <w:tcPr>
            <w:tcW w:w="1022" w:type="dxa"/>
            <w:tcBorders>
              <w:top w:val="nil"/>
              <w:left w:val="nil"/>
              <w:bottom w:val="nil"/>
              <w:right w:val="nil"/>
            </w:tcBorders>
            <w:shd w:val="clear" w:color="000000" w:fill="FFFFFF"/>
            <w:noWrap/>
            <w:vAlign w:val="bottom"/>
            <w:hideMark/>
          </w:tcPr>
          <w:p w14:paraId="391A60BD"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542</w:t>
            </w:r>
          </w:p>
        </w:tc>
        <w:tc>
          <w:tcPr>
            <w:tcW w:w="1023" w:type="dxa"/>
            <w:tcBorders>
              <w:top w:val="nil"/>
              <w:left w:val="nil"/>
              <w:bottom w:val="nil"/>
              <w:right w:val="nil"/>
            </w:tcBorders>
            <w:shd w:val="clear" w:color="000000" w:fill="FFFFFF"/>
            <w:noWrap/>
            <w:vAlign w:val="bottom"/>
            <w:hideMark/>
          </w:tcPr>
          <w:p w14:paraId="43FDF69F"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37.4</w:t>
            </w:r>
          </w:p>
        </w:tc>
        <w:tc>
          <w:tcPr>
            <w:tcW w:w="1022" w:type="dxa"/>
            <w:tcBorders>
              <w:top w:val="nil"/>
              <w:left w:val="single" w:sz="4" w:space="0" w:color="auto"/>
              <w:bottom w:val="nil"/>
              <w:right w:val="nil"/>
            </w:tcBorders>
            <w:shd w:val="clear" w:color="000000" w:fill="FFFFFF"/>
            <w:noWrap/>
            <w:vAlign w:val="bottom"/>
            <w:hideMark/>
          </w:tcPr>
          <w:p w14:paraId="00EB01F0"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2071</w:t>
            </w:r>
          </w:p>
        </w:tc>
        <w:tc>
          <w:tcPr>
            <w:tcW w:w="1023" w:type="dxa"/>
            <w:tcBorders>
              <w:top w:val="nil"/>
              <w:left w:val="nil"/>
              <w:bottom w:val="nil"/>
              <w:right w:val="single" w:sz="4" w:space="0" w:color="auto"/>
            </w:tcBorders>
            <w:shd w:val="clear" w:color="000000" w:fill="FFFFFF"/>
            <w:noWrap/>
            <w:vAlign w:val="bottom"/>
            <w:hideMark/>
          </w:tcPr>
          <w:p w14:paraId="52B6154D"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43.7</w:t>
            </w:r>
          </w:p>
        </w:tc>
      </w:tr>
      <w:tr w:rsidR="00FB6461" w:rsidRPr="007E2527" w14:paraId="6DFCBA71" w14:textId="77777777" w:rsidTr="00C00659">
        <w:trPr>
          <w:trHeight w:val="317"/>
        </w:trPr>
        <w:tc>
          <w:tcPr>
            <w:tcW w:w="1729" w:type="dxa"/>
            <w:tcBorders>
              <w:top w:val="nil"/>
              <w:left w:val="single" w:sz="4" w:space="0" w:color="auto"/>
              <w:bottom w:val="nil"/>
              <w:right w:val="nil"/>
            </w:tcBorders>
            <w:shd w:val="clear" w:color="000000" w:fill="FFFFFF"/>
            <w:noWrap/>
            <w:vAlign w:val="bottom"/>
            <w:hideMark/>
          </w:tcPr>
          <w:p w14:paraId="1A4E66EB" w14:textId="77777777" w:rsidR="00FB6461" w:rsidRPr="00FB6461" w:rsidRDefault="00FB6461" w:rsidP="00FB6461">
            <w:pPr>
              <w:spacing w:after="0" w:line="240" w:lineRule="auto"/>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Male</w:t>
            </w:r>
          </w:p>
        </w:tc>
        <w:tc>
          <w:tcPr>
            <w:tcW w:w="1022" w:type="dxa"/>
            <w:tcBorders>
              <w:top w:val="nil"/>
              <w:left w:val="single" w:sz="4" w:space="0" w:color="auto"/>
              <w:bottom w:val="nil"/>
              <w:right w:val="nil"/>
            </w:tcBorders>
            <w:shd w:val="clear" w:color="000000" w:fill="FFFFFF"/>
            <w:noWrap/>
            <w:vAlign w:val="bottom"/>
            <w:hideMark/>
          </w:tcPr>
          <w:p w14:paraId="4CCF0309"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1035</w:t>
            </w:r>
          </w:p>
        </w:tc>
        <w:tc>
          <w:tcPr>
            <w:tcW w:w="1023" w:type="dxa"/>
            <w:tcBorders>
              <w:top w:val="nil"/>
              <w:left w:val="nil"/>
              <w:bottom w:val="nil"/>
              <w:right w:val="single" w:sz="4" w:space="0" w:color="auto"/>
            </w:tcBorders>
            <w:shd w:val="clear" w:color="000000" w:fill="FFFFFF"/>
            <w:noWrap/>
            <w:vAlign w:val="bottom"/>
            <w:hideMark/>
          </w:tcPr>
          <w:p w14:paraId="3CB45CEB"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48.6</w:t>
            </w:r>
          </w:p>
        </w:tc>
        <w:tc>
          <w:tcPr>
            <w:tcW w:w="1022" w:type="dxa"/>
            <w:tcBorders>
              <w:top w:val="nil"/>
              <w:left w:val="nil"/>
              <w:bottom w:val="nil"/>
              <w:right w:val="nil"/>
            </w:tcBorders>
            <w:shd w:val="clear" w:color="000000" w:fill="FFFFFF"/>
            <w:noWrap/>
            <w:vAlign w:val="bottom"/>
            <w:hideMark/>
          </w:tcPr>
          <w:p w14:paraId="6E5D6561"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458</w:t>
            </w:r>
          </w:p>
        </w:tc>
        <w:tc>
          <w:tcPr>
            <w:tcW w:w="1023" w:type="dxa"/>
            <w:tcBorders>
              <w:top w:val="nil"/>
              <w:left w:val="nil"/>
              <w:bottom w:val="nil"/>
              <w:right w:val="nil"/>
            </w:tcBorders>
            <w:shd w:val="clear" w:color="000000" w:fill="FFFFFF"/>
            <w:noWrap/>
            <w:vAlign w:val="bottom"/>
            <w:hideMark/>
          </w:tcPr>
          <w:p w14:paraId="10073B6B"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37.1</w:t>
            </w:r>
          </w:p>
        </w:tc>
        <w:tc>
          <w:tcPr>
            <w:tcW w:w="1022" w:type="dxa"/>
            <w:tcBorders>
              <w:top w:val="nil"/>
              <w:left w:val="single" w:sz="4" w:space="0" w:color="auto"/>
              <w:bottom w:val="nil"/>
              <w:right w:val="nil"/>
            </w:tcBorders>
            <w:shd w:val="clear" w:color="000000" w:fill="FFFFFF"/>
            <w:noWrap/>
            <w:vAlign w:val="bottom"/>
            <w:hideMark/>
          </w:tcPr>
          <w:p w14:paraId="007F310C"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1310</w:t>
            </w:r>
          </w:p>
        </w:tc>
        <w:tc>
          <w:tcPr>
            <w:tcW w:w="1023" w:type="dxa"/>
            <w:tcBorders>
              <w:top w:val="nil"/>
              <w:left w:val="nil"/>
              <w:bottom w:val="nil"/>
              <w:right w:val="single" w:sz="4" w:space="0" w:color="auto"/>
            </w:tcBorders>
            <w:shd w:val="clear" w:color="000000" w:fill="FFFFFF"/>
            <w:noWrap/>
            <w:vAlign w:val="bottom"/>
            <w:hideMark/>
          </w:tcPr>
          <w:p w14:paraId="2A893D2D" w14:textId="77777777" w:rsidR="00FB6461" w:rsidRPr="00FB6461" w:rsidRDefault="00FB6461" w:rsidP="00FB6461">
            <w:pPr>
              <w:spacing w:after="0" w:line="240" w:lineRule="auto"/>
              <w:jc w:val="right"/>
              <w:rPr>
                <w:rFonts w:asciiTheme="minorHAnsi" w:eastAsia="Times New Roman" w:hAnsiTheme="minorHAnsi" w:cs="Times New Roman"/>
                <w:color w:val="000000"/>
                <w:kern w:val="0"/>
                <w:szCs w:val="22"/>
                <w:lang w:eastAsia="en-GB"/>
                <w14:ligatures w14:val="none"/>
              </w:rPr>
            </w:pPr>
            <w:r w:rsidRPr="00FB6461">
              <w:rPr>
                <w:rFonts w:asciiTheme="minorHAnsi" w:eastAsia="Times New Roman" w:hAnsiTheme="minorHAnsi" w:cs="Times New Roman"/>
                <w:color w:val="000000"/>
                <w:kern w:val="0"/>
                <w:szCs w:val="22"/>
                <w:lang w:eastAsia="en-GB"/>
                <w14:ligatures w14:val="none"/>
              </w:rPr>
              <w:t>44.0</w:t>
            </w:r>
          </w:p>
        </w:tc>
      </w:tr>
      <w:tr w:rsidR="00FB6461" w:rsidRPr="007E2527" w14:paraId="45788995" w14:textId="77777777" w:rsidTr="00C00659">
        <w:trPr>
          <w:trHeight w:val="333"/>
        </w:trPr>
        <w:tc>
          <w:tcPr>
            <w:tcW w:w="1729" w:type="dxa"/>
            <w:tcBorders>
              <w:top w:val="dotted" w:sz="4" w:space="0" w:color="auto"/>
              <w:left w:val="single" w:sz="4" w:space="0" w:color="auto"/>
              <w:bottom w:val="double" w:sz="6" w:space="0" w:color="auto"/>
              <w:right w:val="nil"/>
            </w:tcBorders>
            <w:shd w:val="clear" w:color="000000" w:fill="FFFFFF"/>
            <w:noWrap/>
            <w:vAlign w:val="bottom"/>
            <w:hideMark/>
          </w:tcPr>
          <w:p w14:paraId="13897741" w14:textId="77777777" w:rsidR="00FB6461" w:rsidRPr="00FB6461" w:rsidRDefault="00FB6461" w:rsidP="00FB6461">
            <w:pPr>
              <w:spacing w:after="0" w:line="240" w:lineRule="auto"/>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All colleagues</w:t>
            </w:r>
          </w:p>
        </w:tc>
        <w:tc>
          <w:tcPr>
            <w:tcW w:w="1022" w:type="dxa"/>
            <w:tcBorders>
              <w:top w:val="dotted" w:sz="4" w:space="0" w:color="auto"/>
              <w:left w:val="single" w:sz="4" w:space="0" w:color="auto"/>
              <w:bottom w:val="double" w:sz="6" w:space="0" w:color="auto"/>
              <w:right w:val="nil"/>
            </w:tcBorders>
            <w:shd w:val="clear" w:color="000000" w:fill="FFFFFF"/>
            <w:noWrap/>
            <w:vAlign w:val="bottom"/>
            <w:hideMark/>
          </w:tcPr>
          <w:p w14:paraId="1BB0AD97" w14:textId="77777777" w:rsidR="00FB6461" w:rsidRPr="00FB6461" w:rsidRDefault="00FB6461" w:rsidP="00FB646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1860</w:t>
            </w:r>
          </w:p>
        </w:tc>
        <w:tc>
          <w:tcPr>
            <w:tcW w:w="1023" w:type="dxa"/>
            <w:tcBorders>
              <w:top w:val="dotted" w:sz="4" w:space="0" w:color="auto"/>
              <w:left w:val="nil"/>
              <w:bottom w:val="double" w:sz="6" w:space="0" w:color="auto"/>
              <w:right w:val="single" w:sz="4" w:space="0" w:color="auto"/>
            </w:tcBorders>
            <w:shd w:val="clear" w:color="000000" w:fill="FFFFFF"/>
            <w:noWrap/>
            <w:vAlign w:val="bottom"/>
            <w:hideMark/>
          </w:tcPr>
          <w:p w14:paraId="64003D70" w14:textId="77777777" w:rsidR="00FB6461" w:rsidRPr="00FB6461" w:rsidRDefault="00FB6461" w:rsidP="00FB646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47.5</w:t>
            </w:r>
          </w:p>
        </w:tc>
        <w:tc>
          <w:tcPr>
            <w:tcW w:w="1022" w:type="dxa"/>
            <w:tcBorders>
              <w:top w:val="dotted" w:sz="4" w:space="0" w:color="auto"/>
              <w:left w:val="nil"/>
              <w:bottom w:val="double" w:sz="6" w:space="0" w:color="auto"/>
              <w:right w:val="nil"/>
            </w:tcBorders>
            <w:shd w:val="clear" w:color="000000" w:fill="FFFFFF"/>
            <w:noWrap/>
            <w:vAlign w:val="bottom"/>
            <w:hideMark/>
          </w:tcPr>
          <w:p w14:paraId="7841EBBE" w14:textId="77777777" w:rsidR="00FB6461" w:rsidRPr="00FB6461" w:rsidRDefault="00FB6461" w:rsidP="00FB646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1000</w:t>
            </w:r>
          </w:p>
        </w:tc>
        <w:tc>
          <w:tcPr>
            <w:tcW w:w="1023" w:type="dxa"/>
            <w:tcBorders>
              <w:top w:val="dotted" w:sz="4" w:space="0" w:color="auto"/>
              <w:left w:val="nil"/>
              <w:bottom w:val="double" w:sz="6" w:space="0" w:color="auto"/>
              <w:right w:val="nil"/>
            </w:tcBorders>
            <w:shd w:val="clear" w:color="000000" w:fill="FFFFFF"/>
            <w:noWrap/>
            <w:vAlign w:val="bottom"/>
            <w:hideMark/>
          </w:tcPr>
          <w:p w14:paraId="13FDD41C" w14:textId="77777777" w:rsidR="00FB6461" w:rsidRPr="00FB6461" w:rsidRDefault="00FB6461" w:rsidP="00FB646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37.3</w:t>
            </w:r>
          </w:p>
        </w:tc>
        <w:tc>
          <w:tcPr>
            <w:tcW w:w="1022" w:type="dxa"/>
            <w:tcBorders>
              <w:top w:val="dotted" w:sz="4" w:space="0" w:color="auto"/>
              <w:left w:val="single" w:sz="4" w:space="0" w:color="auto"/>
              <w:bottom w:val="double" w:sz="6" w:space="0" w:color="auto"/>
              <w:right w:val="nil"/>
            </w:tcBorders>
            <w:shd w:val="clear" w:color="000000" w:fill="FFFFFF"/>
            <w:noWrap/>
            <w:vAlign w:val="bottom"/>
            <w:hideMark/>
          </w:tcPr>
          <w:p w14:paraId="0BBEE1DC" w14:textId="77777777" w:rsidR="00FB6461" w:rsidRPr="00FB6461" w:rsidRDefault="00FB6461" w:rsidP="00FB646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3381</w:t>
            </w:r>
          </w:p>
        </w:tc>
        <w:tc>
          <w:tcPr>
            <w:tcW w:w="1023" w:type="dxa"/>
            <w:tcBorders>
              <w:top w:val="dotted" w:sz="4" w:space="0" w:color="auto"/>
              <w:left w:val="nil"/>
              <w:bottom w:val="double" w:sz="6" w:space="0" w:color="auto"/>
              <w:right w:val="single" w:sz="4" w:space="0" w:color="auto"/>
            </w:tcBorders>
            <w:shd w:val="clear" w:color="000000" w:fill="FFFFFF"/>
            <w:noWrap/>
            <w:vAlign w:val="bottom"/>
            <w:hideMark/>
          </w:tcPr>
          <w:p w14:paraId="34EB646D" w14:textId="77777777" w:rsidR="00FB6461" w:rsidRPr="00FB6461" w:rsidRDefault="00FB6461" w:rsidP="00FB646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B6461">
              <w:rPr>
                <w:rFonts w:asciiTheme="minorHAnsi" w:eastAsia="Times New Roman" w:hAnsiTheme="minorHAnsi" w:cs="Times New Roman"/>
                <w:b/>
                <w:bCs/>
                <w:color w:val="000000"/>
                <w:kern w:val="0"/>
                <w:szCs w:val="22"/>
                <w:lang w:eastAsia="en-GB"/>
                <w14:ligatures w14:val="none"/>
              </w:rPr>
              <w:t>43.8</w:t>
            </w:r>
          </w:p>
        </w:tc>
      </w:tr>
    </w:tbl>
    <w:p w14:paraId="1C7EFA72" w14:textId="77777777" w:rsidR="00F15A2F" w:rsidRPr="007E2527" w:rsidRDefault="00F15A2F">
      <w:pPr>
        <w:rPr>
          <w:rFonts w:asciiTheme="minorHAnsi" w:hAnsiTheme="minorHAnsi"/>
          <w:b/>
          <w:bCs/>
          <w:szCs w:val="22"/>
        </w:rPr>
      </w:pPr>
    </w:p>
    <w:p w14:paraId="6FD4C229" w14:textId="77777777" w:rsidR="00FB6461" w:rsidRPr="007E2527" w:rsidRDefault="00FB6461">
      <w:pPr>
        <w:rPr>
          <w:rFonts w:asciiTheme="minorHAnsi" w:hAnsiTheme="minorHAnsi"/>
          <w:b/>
          <w:bCs/>
          <w:szCs w:val="22"/>
        </w:rPr>
      </w:pPr>
    </w:p>
    <w:p w14:paraId="417DF096" w14:textId="77777777" w:rsidR="00FB6461" w:rsidRPr="007E2527" w:rsidRDefault="00FB6461">
      <w:pPr>
        <w:rPr>
          <w:rFonts w:asciiTheme="minorHAnsi" w:hAnsiTheme="minorHAnsi"/>
          <w:b/>
          <w:bCs/>
          <w:szCs w:val="22"/>
        </w:rPr>
      </w:pPr>
    </w:p>
    <w:p w14:paraId="514E37D5" w14:textId="5AD7D46A" w:rsidR="00D30F25" w:rsidRPr="00B00C1D" w:rsidRDefault="00E765AE" w:rsidP="00A01418">
      <w:pPr>
        <w:pStyle w:val="ListParagraph"/>
        <w:numPr>
          <w:ilvl w:val="1"/>
          <w:numId w:val="11"/>
        </w:numPr>
        <w:spacing w:after="0"/>
        <w:rPr>
          <w:rFonts w:asciiTheme="minorHAnsi" w:hAnsiTheme="minorHAnsi"/>
          <w:color w:val="0B769F" w:themeColor="accent4" w:themeShade="BF"/>
          <w:sz w:val="28"/>
          <w:szCs w:val="28"/>
        </w:rPr>
      </w:pPr>
      <w:r w:rsidRPr="00B00C1D">
        <w:rPr>
          <w:rFonts w:asciiTheme="minorHAnsi" w:hAnsiTheme="minorHAnsi"/>
          <w:color w:val="0B769F" w:themeColor="accent4" w:themeShade="BF"/>
          <w:sz w:val="28"/>
          <w:szCs w:val="28"/>
        </w:rPr>
        <w:t>Disability</w:t>
      </w:r>
    </w:p>
    <w:p w14:paraId="7C089AB4" w14:textId="77777777" w:rsidR="00D30F25" w:rsidRPr="007E2527" w:rsidRDefault="00D30F25" w:rsidP="00D30F25">
      <w:pPr>
        <w:spacing w:after="0"/>
        <w:rPr>
          <w:rFonts w:asciiTheme="minorHAnsi" w:hAnsiTheme="minorHAnsi"/>
          <w:color w:val="0B769F" w:themeColor="accent4" w:themeShade="BF"/>
          <w:szCs w:val="22"/>
        </w:rPr>
      </w:pPr>
    </w:p>
    <w:p w14:paraId="3F42FDF7" w14:textId="047A765C" w:rsidR="00E765AE" w:rsidRPr="007E2527" w:rsidRDefault="0071273B" w:rsidP="00A01418">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disability status over time, 2019-2025</w:t>
      </w:r>
    </w:p>
    <w:tbl>
      <w:tblPr>
        <w:tblW w:w="12884" w:type="dxa"/>
        <w:tblLayout w:type="fixed"/>
        <w:tblLook w:val="04A0" w:firstRow="1" w:lastRow="0" w:firstColumn="1" w:lastColumn="0" w:noHBand="0" w:noVBand="1"/>
      </w:tblPr>
      <w:tblGrid>
        <w:gridCol w:w="2324"/>
        <w:gridCol w:w="960"/>
        <w:gridCol w:w="960"/>
        <w:gridCol w:w="960"/>
        <w:gridCol w:w="960"/>
        <w:gridCol w:w="960"/>
        <w:gridCol w:w="960"/>
        <w:gridCol w:w="960"/>
        <w:gridCol w:w="960"/>
        <w:gridCol w:w="960"/>
        <w:gridCol w:w="960"/>
        <w:gridCol w:w="960"/>
      </w:tblGrid>
      <w:tr w:rsidR="00B00C1D" w:rsidRPr="00F9570C" w14:paraId="06EC80B9" w14:textId="77777777" w:rsidTr="00B00C1D">
        <w:trPr>
          <w:trHeight w:val="300"/>
        </w:trPr>
        <w:tc>
          <w:tcPr>
            <w:tcW w:w="2324" w:type="dxa"/>
            <w:tcBorders>
              <w:top w:val="single" w:sz="4" w:space="0" w:color="auto"/>
              <w:left w:val="single" w:sz="4" w:space="0" w:color="auto"/>
              <w:bottom w:val="nil"/>
              <w:right w:val="nil"/>
            </w:tcBorders>
            <w:shd w:val="clear" w:color="000000" w:fill="FFFFFF"/>
            <w:noWrap/>
            <w:vAlign w:val="bottom"/>
            <w:hideMark/>
          </w:tcPr>
          <w:p w14:paraId="34AECB05" w14:textId="77777777" w:rsidR="00F9570C" w:rsidRPr="00F9570C" w:rsidRDefault="00F9570C" w:rsidP="00F9570C">
            <w:pPr>
              <w:spacing w:after="0" w:line="240" w:lineRule="auto"/>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30AF4699" w14:textId="77777777" w:rsidR="00F9570C" w:rsidRPr="00F9570C" w:rsidRDefault="00F9570C" w:rsidP="00F9570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2019</w:t>
            </w:r>
          </w:p>
        </w:tc>
        <w:tc>
          <w:tcPr>
            <w:tcW w:w="960" w:type="dxa"/>
            <w:tcBorders>
              <w:top w:val="single" w:sz="4" w:space="0" w:color="auto"/>
              <w:left w:val="nil"/>
              <w:bottom w:val="nil"/>
              <w:right w:val="nil"/>
            </w:tcBorders>
            <w:shd w:val="clear" w:color="000000" w:fill="FFFFFF"/>
            <w:noWrap/>
            <w:vAlign w:val="bottom"/>
            <w:hideMark/>
          </w:tcPr>
          <w:p w14:paraId="4F3435DF" w14:textId="77777777" w:rsidR="00F9570C" w:rsidRPr="00F9570C" w:rsidRDefault="00F9570C" w:rsidP="00F9570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2020</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21038122" w14:textId="77777777" w:rsidR="00F9570C" w:rsidRPr="00F9570C" w:rsidRDefault="00F9570C" w:rsidP="00F9570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E7DB604" w14:textId="77777777" w:rsidR="00F9570C" w:rsidRPr="00F9570C" w:rsidRDefault="00F9570C" w:rsidP="00F9570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7BC87ED" w14:textId="77777777" w:rsidR="00F9570C" w:rsidRPr="00F9570C" w:rsidRDefault="00F9570C" w:rsidP="00F9570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6B76C15" w14:textId="77777777" w:rsidR="00F9570C" w:rsidRPr="00F9570C" w:rsidRDefault="00F9570C" w:rsidP="00F9570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5BA4B6D" w14:textId="77777777" w:rsidR="00F9570C" w:rsidRPr="00F9570C" w:rsidRDefault="00F9570C" w:rsidP="00F9570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2025</w:t>
            </w:r>
          </w:p>
        </w:tc>
      </w:tr>
      <w:tr w:rsidR="00F9570C" w:rsidRPr="007E2527" w14:paraId="000B1E64" w14:textId="77777777" w:rsidTr="00B00C1D">
        <w:trPr>
          <w:trHeight w:val="300"/>
        </w:trPr>
        <w:tc>
          <w:tcPr>
            <w:tcW w:w="2324" w:type="dxa"/>
            <w:tcBorders>
              <w:top w:val="nil"/>
              <w:left w:val="single" w:sz="4" w:space="0" w:color="auto"/>
              <w:bottom w:val="single" w:sz="4" w:space="0" w:color="auto"/>
              <w:right w:val="nil"/>
            </w:tcBorders>
            <w:shd w:val="clear" w:color="000000" w:fill="FFFFFF"/>
            <w:noWrap/>
            <w:vAlign w:val="bottom"/>
            <w:hideMark/>
          </w:tcPr>
          <w:p w14:paraId="3A12F0E1"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3AFC002"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865BF28"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2631E60"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F910F3B"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2B0239C7"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0F6F5E23"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E7B2C32"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65B5EF2"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A562927"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675A2B2"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9EF6539" w14:textId="77777777" w:rsidR="00F9570C" w:rsidRPr="00F9570C" w:rsidRDefault="00F9570C" w:rsidP="00F9570C">
            <w:pPr>
              <w:spacing w:after="0" w:line="240" w:lineRule="auto"/>
              <w:jc w:val="center"/>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r>
      <w:tr w:rsidR="00F9570C" w:rsidRPr="007E2527" w14:paraId="7EE3E81D" w14:textId="77777777" w:rsidTr="00B00C1D">
        <w:trPr>
          <w:trHeight w:val="300"/>
        </w:trPr>
        <w:tc>
          <w:tcPr>
            <w:tcW w:w="2324" w:type="dxa"/>
            <w:tcBorders>
              <w:top w:val="nil"/>
              <w:left w:val="single" w:sz="4" w:space="0" w:color="auto"/>
              <w:bottom w:val="nil"/>
              <w:right w:val="nil"/>
            </w:tcBorders>
            <w:shd w:val="clear" w:color="000000" w:fill="FFFFFF"/>
            <w:noWrap/>
            <w:vAlign w:val="bottom"/>
            <w:hideMark/>
          </w:tcPr>
          <w:p w14:paraId="45999E45"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single" w:sz="4" w:space="0" w:color="auto"/>
            </w:tcBorders>
            <w:shd w:val="clear" w:color="000000" w:fill="FFFFFF"/>
            <w:noWrap/>
            <w:vAlign w:val="bottom"/>
            <w:hideMark/>
          </w:tcPr>
          <w:p w14:paraId="3159A2E6"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3.6%</w:t>
            </w:r>
          </w:p>
        </w:tc>
        <w:tc>
          <w:tcPr>
            <w:tcW w:w="960" w:type="dxa"/>
            <w:tcBorders>
              <w:top w:val="nil"/>
              <w:left w:val="nil"/>
              <w:bottom w:val="nil"/>
              <w:right w:val="nil"/>
            </w:tcBorders>
            <w:shd w:val="clear" w:color="000000" w:fill="FFFFFF"/>
            <w:noWrap/>
            <w:vAlign w:val="bottom"/>
            <w:hideMark/>
          </w:tcPr>
          <w:p w14:paraId="56CB0CE6"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3.9%</w:t>
            </w:r>
          </w:p>
        </w:tc>
        <w:tc>
          <w:tcPr>
            <w:tcW w:w="960" w:type="dxa"/>
            <w:tcBorders>
              <w:top w:val="nil"/>
              <w:left w:val="single" w:sz="4" w:space="0" w:color="auto"/>
              <w:bottom w:val="nil"/>
              <w:right w:val="single" w:sz="4" w:space="0" w:color="auto"/>
            </w:tcBorders>
            <w:shd w:val="clear" w:color="000000" w:fill="FFFFFF"/>
            <w:noWrap/>
            <w:vAlign w:val="bottom"/>
            <w:hideMark/>
          </w:tcPr>
          <w:p w14:paraId="46BAA800"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4.0%</w:t>
            </w:r>
          </w:p>
        </w:tc>
        <w:tc>
          <w:tcPr>
            <w:tcW w:w="960" w:type="dxa"/>
            <w:tcBorders>
              <w:top w:val="nil"/>
              <w:left w:val="nil"/>
              <w:bottom w:val="nil"/>
              <w:right w:val="nil"/>
            </w:tcBorders>
            <w:shd w:val="clear" w:color="000000" w:fill="FFFFFF"/>
            <w:noWrap/>
            <w:vAlign w:val="bottom"/>
            <w:hideMark/>
          </w:tcPr>
          <w:p w14:paraId="01CBD6A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263</w:t>
            </w:r>
          </w:p>
        </w:tc>
        <w:tc>
          <w:tcPr>
            <w:tcW w:w="960" w:type="dxa"/>
            <w:tcBorders>
              <w:top w:val="nil"/>
              <w:left w:val="nil"/>
              <w:bottom w:val="nil"/>
              <w:right w:val="nil"/>
            </w:tcBorders>
            <w:shd w:val="clear" w:color="000000" w:fill="FFFFFF"/>
            <w:noWrap/>
            <w:vAlign w:val="bottom"/>
            <w:hideMark/>
          </w:tcPr>
          <w:p w14:paraId="03F77A0D"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4.1%</w:t>
            </w:r>
          </w:p>
        </w:tc>
        <w:tc>
          <w:tcPr>
            <w:tcW w:w="960" w:type="dxa"/>
            <w:tcBorders>
              <w:top w:val="nil"/>
              <w:left w:val="single" w:sz="4" w:space="0" w:color="auto"/>
              <w:bottom w:val="nil"/>
              <w:right w:val="nil"/>
            </w:tcBorders>
            <w:shd w:val="clear" w:color="000000" w:fill="FFFFFF"/>
            <w:noWrap/>
            <w:vAlign w:val="bottom"/>
            <w:hideMark/>
          </w:tcPr>
          <w:p w14:paraId="4811F7FA"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283</w:t>
            </w:r>
          </w:p>
        </w:tc>
        <w:tc>
          <w:tcPr>
            <w:tcW w:w="960" w:type="dxa"/>
            <w:tcBorders>
              <w:top w:val="nil"/>
              <w:left w:val="nil"/>
              <w:bottom w:val="nil"/>
              <w:right w:val="single" w:sz="4" w:space="0" w:color="auto"/>
            </w:tcBorders>
            <w:shd w:val="clear" w:color="000000" w:fill="FFFFFF"/>
            <w:noWrap/>
            <w:vAlign w:val="bottom"/>
            <w:hideMark/>
          </w:tcPr>
          <w:p w14:paraId="74630594"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nil"/>
            </w:tcBorders>
            <w:shd w:val="clear" w:color="000000" w:fill="FFFFFF"/>
            <w:noWrap/>
            <w:vAlign w:val="bottom"/>
            <w:hideMark/>
          </w:tcPr>
          <w:p w14:paraId="15D9F288"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306</w:t>
            </w:r>
          </w:p>
        </w:tc>
        <w:tc>
          <w:tcPr>
            <w:tcW w:w="960" w:type="dxa"/>
            <w:tcBorders>
              <w:top w:val="nil"/>
              <w:left w:val="nil"/>
              <w:bottom w:val="nil"/>
              <w:right w:val="single" w:sz="4" w:space="0" w:color="auto"/>
            </w:tcBorders>
            <w:shd w:val="clear" w:color="000000" w:fill="FFFFFF"/>
            <w:noWrap/>
            <w:vAlign w:val="bottom"/>
            <w:hideMark/>
          </w:tcPr>
          <w:p w14:paraId="653A174F"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nil"/>
            </w:tcBorders>
            <w:shd w:val="clear" w:color="000000" w:fill="FFFFFF"/>
            <w:noWrap/>
            <w:vAlign w:val="bottom"/>
            <w:hideMark/>
          </w:tcPr>
          <w:p w14:paraId="009D0B9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314</w:t>
            </w:r>
          </w:p>
        </w:tc>
        <w:tc>
          <w:tcPr>
            <w:tcW w:w="960" w:type="dxa"/>
            <w:tcBorders>
              <w:top w:val="nil"/>
              <w:left w:val="nil"/>
              <w:bottom w:val="nil"/>
              <w:right w:val="single" w:sz="4" w:space="0" w:color="auto"/>
            </w:tcBorders>
            <w:shd w:val="clear" w:color="000000" w:fill="FFFFFF"/>
            <w:noWrap/>
            <w:vAlign w:val="bottom"/>
            <w:hideMark/>
          </w:tcPr>
          <w:p w14:paraId="23D35EAD"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5.0%</w:t>
            </w:r>
          </w:p>
        </w:tc>
      </w:tr>
      <w:tr w:rsidR="00F9570C" w:rsidRPr="007E2527" w14:paraId="77D42ABC" w14:textId="77777777" w:rsidTr="00B00C1D">
        <w:trPr>
          <w:trHeight w:val="300"/>
        </w:trPr>
        <w:tc>
          <w:tcPr>
            <w:tcW w:w="2324" w:type="dxa"/>
            <w:tcBorders>
              <w:top w:val="nil"/>
              <w:left w:val="single" w:sz="4" w:space="0" w:color="auto"/>
              <w:bottom w:val="nil"/>
              <w:right w:val="nil"/>
            </w:tcBorders>
            <w:shd w:val="clear" w:color="000000" w:fill="FFFFFF"/>
            <w:noWrap/>
            <w:vAlign w:val="bottom"/>
            <w:hideMark/>
          </w:tcPr>
          <w:p w14:paraId="084CA101"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single" w:sz="4" w:space="0" w:color="auto"/>
            </w:tcBorders>
            <w:shd w:val="clear" w:color="000000" w:fill="FFFFFF"/>
            <w:noWrap/>
            <w:vAlign w:val="bottom"/>
            <w:hideMark/>
          </w:tcPr>
          <w:p w14:paraId="7EC953FD"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93.9%</w:t>
            </w:r>
          </w:p>
        </w:tc>
        <w:tc>
          <w:tcPr>
            <w:tcW w:w="960" w:type="dxa"/>
            <w:tcBorders>
              <w:top w:val="nil"/>
              <w:left w:val="nil"/>
              <w:bottom w:val="nil"/>
              <w:right w:val="nil"/>
            </w:tcBorders>
            <w:shd w:val="clear" w:color="000000" w:fill="FFFFFF"/>
            <w:noWrap/>
            <w:vAlign w:val="bottom"/>
            <w:hideMark/>
          </w:tcPr>
          <w:p w14:paraId="0CA80CB2"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93.4%</w:t>
            </w:r>
          </w:p>
        </w:tc>
        <w:tc>
          <w:tcPr>
            <w:tcW w:w="960" w:type="dxa"/>
            <w:tcBorders>
              <w:top w:val="nil"/>
              <w:left w:val="single" w:sz="4" w:space="0" w:color="auto"/>
              <w:bottom w:val="nil"/>
              <w:right w:val="single" w:sz="4" w:space="0" w:color="auto"/>
            </w:tcBorders>
            <w:shd w:val="clear" w:color="000000" w:fill="FFFFFF"/>
            <w:noWrap/>
            <w:vAlign w:val="bottom"/>
            <w:hideMark/>
          </w:tcPr>
          <w:p w14:paraId="25FBBED7"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92.6%</w:t>
            </w:r>
          </w:p>
        </w:tc>
        <w:tc>
          <w:tcPr>
            <w:tcW w:w="960" w:type="dxa"/>
            <w:tcBorders>
              <w:top w:val="nil"/>
              <w:left w:val="nil"/>
              <w:bottom w:val="nil"/>
              <w:right w:val="nil"/>
            </w:tcBorders>
            <w:shd w:val="clear" w:color="000000" w:fill="FFFFFF"/>
            <w:noWrap/>
            <w:vAlign w:val="bottom"/>
            <w:hideMark/>
          </w:tcPr>
          <w:p w14:paraId="45D4FE18"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5919</w:t>
            </w:r>
          </w:p>
        </w:tc>
        <w:tc>
          <w:tcPr>
            <w:tcW w:w="960" w:type="dxa"/>
            <w:tcBorders>
              <w:top w:val="nil"/>
              <w:left w:val="nil"/>
              <w:bottom w:val="nil"/>
              <w:right w:val="nil"/>
            </w:tcBorders>
            <w:shd w:val="clear" w:color="000000" w:fill="FFFFFF"/>
            <w:noWrap/>
            <w:vAlign w:val="bottom"/>
            <w:hideMark/>
          </w:tcPr>
          <w:p w14:paraId="1724BD35"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92.3%</w:t>
            </w:r>
          </w:p>
        </w:tc>
        <w:tc>
          <w:tcPr>
            <w:tcW w:w="960" w:type="dxa"/>
            <w:tcBorders>
              <w:top w:val="nil"/>
              <w:left w:val="single" w:sz="4" w:space="0" w:color="auto"/>
              <w:bottom w:val="nil"/>
              <w:right w:val="nil"/>
            </w:tcBorders>
            <w:shd w:val="clear" w:color="000000" w:fill="FFFFFF"/>
            <w:noWrap/>
            <w:vAlign w:val="bottom"/>
            <w:hideMark/>
          </w:tcPr>
          <w:p w14:paraId="777B4F9A"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5850</w:t>
            </w:r>
          </w:p>
        </w:tc>
        <w:tc>
          <w:tcPr>
            <w:tcW w:w="960" w:type="dxa"/>
            <w:tcBorders>
              <w:top w:val="nil"/>
              <w:left w:val="nil"/>
              <w:bottom w:val="nil"/>
              <w:right w:val="single" w:sz="4" w:space="0" w:color="auto"/>
            </w:tcBorders>
            <w:shd w:val="clear" w:color="000000" w:fill="FFFFFF"/>
            <w:noWrap/>
            <w:vAlign w:val="bottom"/>
            <w:hideMark/>
          </w:tcPr>
          <w:p w14:paraId="50A9AD5F"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91.5%</w:t>
            </w:r>
          </w:p>
        </w:tc>
        <w:tc>
          <w:tcPr>
            <w:tcW w:w="960" w:type="dxa"/>
            <w:tcBorders>
              <w:top w:val="nil"/>
              <w:left w:val="nil"/>
              <w:bottom w:val="nil"/>
              <w:right w:val="nil"/>
            </w:tcBorders>
            <w:shd w:val="clear" w:color="000000" w:fill="FFFFFF"/>
            <w:noWrap/>
            <w:vAlign w:val="bottom"/>
            <w:hideMark/>
          </w:tcPr>
          <w:p w14:paraId="186CFB0B"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5919</w:t>
            </w:r>
          </w:p>
        </w:tc>
        <w:tc>
          <w:tcPr>
            <w:tcW w:w="960" w:type="dxa"/>
            <w:tcBorders>
              <w:top w:val="nil"/>
              <w:left w:val="nil"/>
              <w:bottom w:val="nil"/>
              <w:right w:val="single" w:sz="4" w:space="0" w:color="auto"/>
            </w:tcBorders>
            <w:shd w:val="clear" w:color="000000" w:fill="FFFFFF"/>
            <w:noWrap/>
            <w:vAlign w:val="bottom"/>
            <w:hideMark/>
          </w:tcPr>
          <w:p w14:paraId="27E78D32"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90.0%</w:t>
            </w:r>
          </w:p>
        </w:tc>
        <w:tc>
          <w:tcPr>
            <w:tcW w:w="960" w:type="dxa"/>
            <w:tcBorders>
              <w:top w:val="nil"/>
              <w:left w:val="nil"/>
              <w:bottom w:val="nil"/>
              <w:right w:val="nil"/>
            </w:tcBorders>
            <w:shd w:val="clear" w:color="000000" w:fill="FFFFFF"/>
            <w:noWrap/>
            <w:vAlign w:val="bottom"/>
            <w:hideMark/>
          </w:tcPr>
          <w:p w14:paraId="7920737A"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5865</w:t>
            </w:r>
          </w:p>
        </w:tc>
        <w:tc>
          <w:tcPr>
            <w:tcW w:w="960" w:type="dxa"/>
            <w:tcBorders>
              <w:top w:val="nil"/>
              <w:left w:val="nil"/>
              <w:bottom w:val="nil"/>
              <w:right w:val="single" w:sz="4" w:space="0" w:color="auto"/>
            </w:tcBorders>
            <w:shd w:val="clear" w:color="000000" w:fill="FFFFFF"/>
            <w:noWrap/>
            <w:vAlign w:val="bottom"/>
            <w:hideMark/>
          </w:tcPr>
          <w:p w14:paraId="6CFB17FD"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94.0%</w:t>
            </w:r>
          </w:p>
        </w:tc>
      </w:tr>
      <w:tr w:rsidR="00F9570C" w:rsidRPr="007E2527" w14:paraId="3EBA25F2" w14:textId="77777777" w:rsidTr="00B00C1D">
        <w:trPr>
          <w:trHeight w:val="300"/>
        </w:trPr>
        <w:tc>
          <w:tcPr>
            <w:tcW w:w="2324" w:type="dxa"/>
            <w:tcBorders>
              <w:top w:val="nil"/>
              <w:left w:val="single" w:sz="4" w:space="0" w:color="auto"/>
              <w:bottom w:val="nil"/>
              <w:right w:val="nil"/>
            </w:tcBorders>
            <w:shd w:val="clear" w:color="000000" w:fill="FFFFFF"/>
            <w:noWrap/>
            <w:vAlign w:val="bottom"/>
            <w:hideMark/>
          </w:tcPr>
          <w:p w14:paraId="217868CF"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single" w:sz="4" w:space="0" w:color="auto"/>
            </w:tcBorders>
            <w:shd w:val="clear" w:color="000000" w:fill="FFFFFF"/>
            <w:noWrap/>
            <w:vAlign w:val="bottom"/>
            <w:hideMark/>
          </w:tcPr>
          <w:p w14:paraId="23598014"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nil"/>
            </w:tcBorders>
            <w:shd w:val="clear" w:color="000000" w:fill="FFFFFF"/>
            <w:noWrap/>
            <w:vAlign w:val="bottom"/>
            <w:hideMark/>
          </w:tcPr>
          <w:p w14:paraId="3B933F8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2.7%</w:t>
            </w:r>
          </w:p>
        </w:tc>
        <w:tc>
          <w:tcPr>
            <w:tcW w:w="960" w:type="dxa"/>
            <w:tcBorders>
              <w:top w:val="nil"/>
              <w:left w:val="single" w:sz="4" w:space="0" w:color="auto"/>
              <w:bottom w:val="nil"/>
              <w:right w:val="single" w:sz="4" w:space="0" w:color="auto"/>
            </w:tcBorders>
            <w:shd w:val="clear" w:color="000000" w:fill="FFFFFF"/>
            <w:noWrap/>
            <w:vAlign w:val="bottom"/>
            <w:hideMark/>
          </w:tcPr>
          <w:p w14:paraId="1AF9FE95"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3.4%</w:t>
            </w:r>
          </w:p>
        </w:tc>
        <w:tc>
          <w:tcPr>
            <w:tcW w:w="960" w:type="dxa"/>
            <w:tcBorders>
              <w:top w:val="nil"/>
              <w:left w:val="nil"/>
              <w:bottom w:val="nil"/>
              <w:right w:val="nil"/>
            </w:tcBorders>
            <w:shd w:val="clear" w:color="000000" w:fill="FFFFFF"/>
            <w:noWrap/>
            <w:vAlign w:val="bottom"/>
            <w:hideMark/>
          </w:tcPr>
          <w:p w14:paraId="03A8655C"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227</w:t>
            </w:r>
          </w:p>
        </w:tc>
        <w:tc>
          <w:tcPr>
            <w:tcW w:w="960" w:type="dxa"/>
            <w:tcBorders>
              <w:top w:val="nil"/>
              <w:left w:val="nil"/>
              <w:bottom w:val="nil"/>
              <w:right w:val="nil"/>
            </w:tcBorders>
            <w:shd w:val="clear" w:color="000000" w:fill="FFFFFF"/>
            <w:noWrap/>
            <w:vAlign w:val="bottom"/>
            <w:hideMark/>
          </w:tcPr>
          <w:p w14:paraId="6E453BFB"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3.5%</w:t>
            </w:r>
          </w:p>
        </w:tc>
        <w:tc>
          <w:tcPr>
            <w:tcW w:w="960" w:type="dxa"/>
            <w:tcBorders>
              <w:top w:val="nil"/>
              <w:left w:val="single" w:sz="4" w:space="0" w:color="auto"/>
              <w:bottom w:val="nil"/>
              <w:right w:val="nil"/>
            </w:tcBorders>
            <w:shd w:val="clear" w:color="000000" w:fill="FFFFFF"/>
            <w:noWrap/>
            <w:vAlign w:val="bottom"/>
            <w:hideMark/>
          </w:tcPr>
          <w:p w14:paraId="711B09E9"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220</w:t>
            </w:r>
          </w:p>
        </w:tc>
        <w:tc>
          <w:tcPr>
            <w:tcW w:w="960" w:type="dxa"/>
            <w:tcBorders>
              <w:top w:val="nil"/>
              <w:left w:val="nil"/>
              <w:bottom w:val="nil"/>
              <w:right w:val="single" w:sz="4" w:space="0" w:color="auto"/>
            </w:tcBorders>
            <w:shd w:val="clear" w:color="000000" w:fill="FFFFFF"/>
            <w:noWrap/>
            <w:vAlign w:val="bottom"/>
            <w:hideMark/>
          </w:tcPr>
          <w:p w14:paraId="3558280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3.4%</w:t>
            </w:r>
          </w:p>
        </w:tc>
        <w:tc>
          <w:tcPr>
            <w:tcW w:w="960" w:type="dxa"/>
            <w:tcBorders>
              <w:top w:val="nil"/>
              <w:left w:val="nil"/>
              <w:bottom w:val="nil"/>
              <w:right w:val="nil"/>
            </w:tcBorders>
            <w:shd w:val="clear" w:color="000000" w:fill="FFFFFF"/>
            <w:noWrap/>
            <w:vAlign w:val="bottom"/>
            <w:hideMark/>
          </w:tcPr>
          <w:p w14:paraId="12057708"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305</w:t>
            </w:r>
          </w:p>
        </w:tc>
        <w:tc>
          <w:tcPr>
            <w:tcW w:w="960" w:type="dxa"/>
            <w:tcBorders>
              <w:top w:val="nil"/>
              <w:left w:val="nil"/>
              <w:bottom w:val="nil"/>
              <w:right w:val="single" w:sz="4" w:space="0" w:color="auto"/>
            </w:tcBorders>
            <w:shd w:val="clear" w:color="000000" w:fill="FFFFFF"/>
            <w:noWrap/>
            <w:vAlign w:val="bottom"/>
            <w:hideMark/>
          </w:tcPr>
          <w:p w14:paraId="76B42E7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4.6%</w:t>
            </w:r>
          </w:p>
        </w:tc>
        <w:tc>
          <w:tcPr>
            <w:tcW w:w="960" w:type="dxa"/>
            <w:tcBorders>
              <w:top w:val="nil"/>
              <w:left w:val="nil"/>
              <w:bottom w:val="nil"/>
              <w:right w:val="nil"/>
            </w:tcBorders>
            <w:shd w:val="clear" w:color="000000" w:fill="FFFFFF"/>
            <w:noWrap/>
            <w:vAlign w:val="bottom"/>
            <w:hideMark/>
          </w:tcPr>
          <w:p w14:paraId="796887A3"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62</w:t>
            </w:r>
          </w:p>
        </w:tc>
        <w:tc>
          <w:tcPr>
            <w:tcW w:w="960" w:type="dxa"/>
            <w:tcBorders>
              <w:top w:val="nil"/>
              <w:left w:val="nil"/>
              <w:bottom w:val="nil"/>
              <w:right w:val="single" w:sz="4" w:space="0" w:color="auto"/>
            </w:tcBorders>
            <w:shd w:val="clear" w:color="000000" w:fill="FFFFFF"/>
            <w:noWrap/>
            <w:vAlign w:val="bottom"/>
            <w:hideMark/>
          </w:tcPr>
          <w:p w14:paraId="3A287FC3"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1.0%</w:t>
            </w:r>
          </w:p>
        </w:tc>
      </w:tr>
      <w:tr w:rsidR="00F9570C" w:rsidRPr="007E2527" w14:paraId="2573AEB4" w14:textId="77777777" w:rsidTr="00B00C1D">
        <w:trPr>
          <w:trHeight w:val="300"/>
        </w:trPr>
        <w:tc>
          <w:tcPr>
            <w:tcW w:w="2324" w:type="dxa"/>
            <w:tcBorders>
              <w:top w:val="nil"/>
              <w:left w:val="single" w:sz="4" w:space="0" w:color="auto"/>
              <w:bottom w:val="nil"/>
              <w:right w:val="nil"/>
            </w:tcBorders>
            <w:shd w:val="clear" w:color="000000" w:fill="FFFFFF"/>
            <w:noWrap/>
            <w:vAlign w:val="bottom"/>
            <w:hideMark/>
          </w:tcPr>
          <w:p w14:paraId="064E810C"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No response provided</w:t>
            </w:r>
          </w:p>
        </w:tc>
        <w:tc>
          <w:tcPr>
            <w:tcW w:w="960" w:type="dxa"/>
            <w:tcBorders>
              <w:top w:val="nil"/>
              <w:left w:val="single" w:sz="4" w:space="0" w:color="auto"/>
              <w:bottom w:val="nil"/>
              <w:right w:val="single" w:sz="4" w:space="0" w:color="auto"/>
            </w:tcBorders>
            <w:shd w:val="clear" w:color="000000" w:fill="FFFFFF"/>
            <w:noWrap/>
            <w:vAlign w:val="bottom"/>
            <w:hideMark/>
          </w:tcPr>
          <w:p w14:paraId="0CB94B75"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B906D6B"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2EC27844" w14:textId="77777777" w:rsidR="00F9570C" w:rsidRPr="00F9570C" w:rsidRDefault="00F9570C" w:rsidP="00F9570C">
            <w:pPr>
              <w:spacing w:after="0" w:line="240" w:lineRule="auto"/>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58C8CBC"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2C0005C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17EB6CE8"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single" w:sz="4" w:space="0" w:color="auto"/>
            </w:tcBorders>
            <w:shd w:val="clear" w:color="000000" w:fill="FFFFFF"/>
            <w:noWrap/>
            <w:vAlign w:val="bottom"/>
            <w:hideMark/>
          </w:tcPr>
          <w:p w14:paraId="3DBDB52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0.7%</w:t>
            </w:r>
          </w:p>
        </w:tc>
        <w:tc>
          <w:tcPr>
            <w:tcW w:w="960" w:type="dxa"/>
            <w:tcBorders>
              <w:top w:val="nil"/>
              <w:left w:val="nil"/>
              <w:bottom w:val="nil"/>
              <w:right w:val="nil"/>
            </w:tcBorders>
            <w:shd w:val="clear" w:color="000000" w:fill="FFFFFF"/>
            <w:noWrap/>
            <w:vAlign w:val="bottom"/>
            <w:hideMark/>
          </w:tcPr>
          <w:p w14:paraId="31DC88B1"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single" w:sz="4" w:space="0" w:color="auto"/>
            </w:tcBorders>
            <w:shd w:val="clear" w:color="000000" w:fill="FFFFFF"/>
            <w:noWrap/>
            <w:vAlign w:val="bottom"/>
            <w:hideMark/>
          </w:tcPr>
          <w:p w14:paraId="7474C61D"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0.7%</w:t>
            </w:r>
          </w:p>
        </w:tc>
        <w:tc>
          <w:tcPr>
            <w:tcW w:w="960" w:type="dxa"/>
            <w:tcBorders>
              <w:top w:val="nil"/>
              <w:left w:val="nil"/>
              <w:bottom w:val="nil"/>
              <w:right w:val="nil"/>
            </w:tcBorders>
            <w:shd w:val="clear" w:color="000000" w:fill="FFFFFF"/>
            <w:noWrap/>
            <w:vAlign w:val="bottom"/>
            <w:hideMark/>
          </w:tcPr>
          <w:p w14:paraId="3EE1423E"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62B71A2A" w14:textId="77777777" w:rsidR="00F9570C" w:rsidRPr="00F9570C" w:rsidRDefault="00F9570C" w:rsidP="00F9570C">
            <w:pPr>
              <w:spacing w:after="0" w:line="240" w:lineRule="auto"/>
              <w:jc w:val="right"/>
              <w:rPr>
                <w:rFonts w:asciiTheme="minorHAnsi" w:eastAsia="Times New Roman" w:hAnsiTheme="minorHAnsi" w:cs="Times New Roman"/>
                <w:color w:val="000000"/>
                <w:kern w:val="0"/>
                <w:szCs w:val="22"/>
                <w:lang w:eastAsia="en-GB"/>
                <w14:ligatures w14:val="none"/>
              </w:rPr>
            </w:pPr>
            <w:r w:rsidRPr="00F9570C">
              <w:rPr>
                <w:rFonts w:asciiTheme="minorHAnsi" w:eastAsia="Times New Roman" w:hAnsiTheme="minorHAnsi" w:cs="Times New Roman"/>
                <w:color w:val="000000"/>
                <w:kern w:val="0"/>
                <w:szCs w:val="22"/>
                <w:lang w:eastAsia="en-GB"/>
                <w14:ligatures w14:val="none"/>
              </w:rPr>
              <w:t> </w:t>
            </w:r>
          </w:p>
        </w:tc>
      </w:tr>
      <w:tr w:rsidR="00F9570C" w:rsidRPr="007E2527" w14:paraId="49E81318" w14:textId="77777777" w:rsidTr="00B00C1D">
        <w:trPr>
          <w:trHeight w:val="315"/>
        </w:trPr>
        <w:tc>
          <w:tcPr>
            <w:tcW w:w="2324" w:type="dxa"/>
            <w:tcBorders>
              <w:top w:val="dotted" w:sz="4" w:space="0" w:color="auto"/>
              <w:left w:val="single" w:sz="4" w:space="0" w:color="auto"/>
              <w:bottom w:val="double" w:sz="6" w:space="0" w:color="auto"/>
              <w:right w:val="nil"/>
            </w:tcBorders>
            <w:shd w:val="clear" w:color="000000" w:fill="FFFFFF"/>
            <w:noWrap/>
            <w:vAlign w:val="bottom"/>
            <w:hideMark/>
          </w:tcPr>
          <w:p w14:paraId="6201E304" w14:textId="77777777" w:rsidR="00F9570C" w:rsidRPr="00F9570C" w:rsidRDefault="00F9570C" w:rsidP="00F9570C">
            <w:pPr>
              <w:spacing w:after="0" w:line="240" w:lineRule="auto"/>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7D6EF00F"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3FC66F6"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2506BA6B"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E2A668D"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6415</w:t>
            </w:r>
          </w:p>
        </w:tc>
        <w:tc>
          <w:tcPr>
            <w:tcW w:w="960" w:type="dxa"/>
            <w:tcBorders>
              <w:top w:val="dotted" w:sz="4" w:space="0" w:color="auto"/>
              <w:left w:val="nil"/>
              <w:bottom w:val="double" w:sz="6" w:space="0" w:color="auto"/>
              <w:right w:val="nil"/>
            </w:tcBorders>
            <w:shd w:val="clear" w:color="000000" w:fill="FFFFFF"/>
            <w:noWrap/>
            <w:vAlign w:val="bottom"/>
            <w:hideMark/>
          </w:tcPr>
          <w:p w14:paraId="0BACF43C"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5226071"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6395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2DA7CD6"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2F3D08B"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6574</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E94442E"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90870D3"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6241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3DD3FDF" w14:textId="77777777" w:rsidR="00F9570C" w:rsidRPr="00F9570C" w:rsidRDefault="00F9570C" w:rsidP="00F9570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9570C">
              <w:rPr>
                <w:rFonts w:asciiTheme="minorHAnsi" w:eastAsia="Times New Roman" w:hAnsiTheme="minorHAnsi" w:cs="Times New Roman"/>
                <w:b/>
                <w:bCs/>
                <w:color w:val="000000"/>
                <w:kern w:val="0"/>
                <w:szCs w:val="22"/>
                <w:lang w:eastAsia="en-GB"/>
                <w14:ligatures w14:val="none"/>
              </w:rPr>
              <w:t>100%</w:t>
            </w:r>
          </w:p>
        </w:tc>
      </w:tr>
    </w:tbl>
    <w:p w14:paraId="0E13E807" w14:textId="77777777" w:rsidR="00F9570C" w:rsidRPr="007E2527" w:rsidRDefault="00F9570C" w:rsidP="00F9570C">
      <w:pPr>
        <w:rPr>
          <w:rFonts w:asciiTheme="minorHAnsi" w:hAnsiTheme="minorHAnsi"/>
          <w:b/>
          <w:bCs/>
          <w:szCs w:val="22"/>
        </w:rPr>
      </w:pPr>
    </w:p>
    <w:p w14:paraId="6DA7314C" w14:textId="1A76A5DA" w:rsidR="0071273B" w:rsidRPr="007E2527" w:rsidRDefault="0071273B" w:rsidP="0071273B">
      <w:pPr>
        <w:rPr>
          <w:rFonts w:asciiTheme="minorHAnsi" w:hAnsiTheme="minorHAnsi"/>
          <w:noProof/>
          <w:szCs w:val="22"/>
        </w:rPr>
      </w:pPr>
    </w:p>
    <w:p w14:paraId="318F3DDB" w14:textId="77777777" w:rsidR="00F15A2F" w:rsidRDefault="00F15A2F" w:rsidP="0071273B">
      <w:pPr>
        <w:rPr>
          <w:rFonts w:asciiTheme="minorHAnsi" w:hAnsiTheme="minorHAnsi"/>
          <w:b/>
          <w:bCs/>
          <w:szCs w:val="22"/>
        </w:rPr>
      </w:pPr>
    </w:p>
    <w:p w14:paraId="632D8A06" w14:textId="77777777" w:rsidR="00B00C1D" w:rsidRPr="007E2527" w:rsidRDefault="00B00C1D" w:rsidP="0071273B">
      <w:pPr>
        <w:rPr>
          <w:rFonts w:asciiTheme="minorHAnsi" w:hAnsiTheme="minorHAnsi"/>
          <w:b/>
          <w:bCs/>
          <w:szCs w:val="22"/>
        </w:rPr>
      </w:pPr>
    </w:p>
    <w:p w14:paraId="5A529187" w14:textId="11983366" w:rsidR="0071273B" w:rsidRPr="007E2527" w:rsidRDefault="0071273B" w:rsidP="00E765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Breakdown of disability, 2025 (n=314)</w:t>
      </w:r>
    </w:p>
    <w:tbl>
      <w:tblPr>
        <w:tblW w:w="8270" w:type="dxa"/>
        <w:tblLook w:val="04A0" w:firstRow="1" w:lastRow="0" w:firstColumn="1" w:lastColumn="0" w:noHBand="0" w:noVBand="1"/>
      </w:tblPr>
      <w:tblGrid>
        <w:gridCol w:w="6350"/>
        <w:gridCol w:w="960"/>
        <w:gridCol w:w="960"/>
      </w:tblGrid>
      <w:tr w:rsidR="00B00C1D" w:rsidRPr="00635AC7" w14:paraId="42F8972F" w14:textId="77777777" w:rsidTr="00B00C1D">
        <w:trPr>
          <w:trHeight w:val="300"/>
        </w:trPr>
        <w:tc>
          <w:tcPr>
            <w:tcW w:w="6350" w:type="dxa"/>
            <w:tcBorders>
              <w:top w:val="single" w:sz="4" w:space="0" w:color="auto"/>
              <w:left w:val="single" w:sz="4" w:space="0" w:color="auto"/>
              <w:bottom w:val="single" w:sz="4" w:space="0" w:color="auto"/>
              <w:right w:val="nil"/>
            </w:tcBorders>
            <w:shd w:val="clear" w:color="000000" w:fill="FFFFFF"/>
            <w:noWrap/>
            <w:vAlign w:val="bottom"/>
            <w:hideMark/>
          </w:tcPr>
          <w:p w14:paraId="576BC862" w14:textId="77777777" w:rsidR="00635AC7" w:rsidRPr="00635AC7" w:rsidRDefault="00635AC7" w:rsidP="00635AC7">
            <w:pPr>
              <w:spacing w:after="0" w:line="240" w:lineRule="auto"/>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F340CD" w14:textId="77777777" w:rsidR="00635AC7" w:rsidRPr="00635AC7" w:rsidRDefault="00635AC7" w:rsidP="00635AC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n</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B09D335" w14:textId="77777777" w:rsidR="00635AC7" w:rsidRPr="00635AC7" w:rsidRDefault="00635AC7" w:rsidP="00635AC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w:t>
            </w:r>
          </w:p>
        </w:tc>
      </w:tr>
      <w:tr w:rsidR="00B00C1D" w:rsidRPr="00635AC7" w14:paraId="29AA2C5A"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55CCB486"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A disability, impairment or medical condition not listed</w:t>
            </w:r>
          </w:p>
        </w:tc>
        <w:tc>
          <w:tcPr>
            <w:tcW w:w="960" w:type="dxa"/>
            <w:tcBorders>
              <w:top w:val="nil"/>
              <w:left w:val="single" w:sz="4" w:space="0" w:color="auto"/>
              <w:bottom w:val="nil"/>
              <w:right w:val="single" w:sz="4" w:space="0" w:color="auto"/>
            </w:tcBorders>
            <w:shd w:val="clear" w:color="000000" w:fill="FFFFFF"/>
            <w:noWrap/>
            <w:vAlign w:val="bottom"/>
            <w:hideMark/>
          </w:tcPr>
          <w:p w14:paraId="29365957"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104</w:t>
            </w:r>
          </w:p>
        </w:tc>
        <w:tc>
          <w:tcPr>
            <w:tcW w:w="960" w:type="dxa"/>
            <w:tcBorders>
              <w:top w:val="nil"/>
              <w:left w:val="nil"/>
              <w:bottom w:val="nil"/>
              <w:right w:val="single" w:sz="4" w:space="0" w:color="auto"/>
            </w:tcBorders>
            <w:shd w:val="clear" w:color="000000" w:fill="FFFFFF"/>
            <w:noWrap/>
            <w:vAlign w:val="bottom"/>
            <w:hideMark/>
          </w:tcPr>
          <w:p w14:paraId="250E1E39"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33.1%</w:t>
            </w:r>
          </w:p>
        </w:tc>
      </w:tr>
      <w:tr w:rsidR="00B00C1D" w:rsidRPr="00635AC7" w14:paraId="70A680CA"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007442A7"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A long standing illness or health condition (e.g. Cancer)</w:t>
            </w:r>
          </w:p>
        </w:tc>
        <w:tc>
          <w:tcPr>
            <w:tcW w:w="960" w:type="dxa"/>
            <w:tcBorders>
              <w:top w:val="nil"/>
              <w:left w:val="single" w:sz="4" w:space="0" w:color="auto"/>
              <w:bottom w:val="nil"/>
              <w:right w:val="single" w:sz="4" w:space="0" w:color="auto"/>
            </w:tcBorders>
            <w:shd w:val="clear" w:color="000000" w:fill="FFFFFF"/>
            <w:noWrap/>
            <w:vAlign w:val="bottom"/>
            <w:hideMark/>
          </w:tcPr>
          <w:p w14:paraId="072DBEDD"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single" w:sz="4" w:space="0" w:color="auto"/>
            </w:tcBorders>
            <w:shd w:val="clear" w:color="000000" w:fill="FFFFFF"/>
            <w:noWrap/>
            <w:vAlign w:val="bottom"/>
            <w:hideMark/>
          </w:tcPr>
          <w:p w14:paraId="00FFCEA0"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19.4%</w:t>
            </w:r>
          </w:p>
        </w:tc>
      </w:tr>
      <w:tr w:rsidR="00B00C1D" w:rsidRPr="00635AC7" w14:paraId="6E21A74D"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3EA7B178"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A mental health condition (e.g. Depression or Schizophrenia)</w:t>
            </w:r>
          </w:p>
        </w:tc>
        <w:tc>
          <w:tcPr>
            <w:tcW w:w="960" w:type="dxa"/>
            <w:tcBorders>
              <w:top w:val="nil"/>
              <w:left w:val="single" w:sz="4" w:space="0" w:color="auto"/>
              <w:bottom w:val="nil"/>
              <w:right w:val="single" w:sz="4" w:space="0" w:color="auto"/>
            </w:tcBorders>
            <w:shd w:val="clear" w:color="000000" w:fill="FFFFFF"/>
            <w:noWrap/>
            <w:vAlign w:val="bottom"/>
            <w:hideMark/>
          </w:tcPr>
          <w:p w14:paraId="42501B64"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46</w:t>
            </w:r>
          </w:p>
        </w:tc>
        <w:tc>
          <w:tcPr>
            <w:tcW w:w="960" w:type="dxa"/>
            <w:tcBorders>
              <w:top w:val="nil"/>
              <w:left w:val="nil"/>
              <w:bottom w:val="nil"/>
              <w:right w:val="single" w:sz="4" w:space="0" w:color="auto"/>
            </w:tcBorders>
            <w:shd w:val="clear" w:color="000000" w:fill="FFFFFF"/>
            <w:noWrap/>
            <w:vAlign w:val="bottom"/>
            <w:hideMark/>
          </w:tcPr>
          <w:p w14:paraId="16379A28"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14.6%</w:t>
            </w:r>
          </w:p>
        </w:tc>
      </w:tr>
      <w:tr w:rsidR="00B00C1D" w:rsidRPr="00635AC7" w14:paraId="4439DA7F"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1C1C2CB6"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A physical impairment or mobility issues (e.g. Wheelchair)</w:t>
            </w:r>
          </w:p>
        </w:tc>
        <w:tc>
          <w:tcPr>
            <w:tcW w:w="960" w:type="dxa"/>
            <w:tcBorders>
              <w:top w:val="nil"/>
              <w:left w:val="single" w:sz="4" w:space="0" w:color="auto"/>
              <w:bottom w:val="nil"/>
              <w:right w:val="single" w:sz="4" w:space="0" w:color="auto"/>
            </w:tcBorders>
            <w:shd w:val="clear" w:color="000000" w:fill="FFFFFF"/>
            <w:noWrap/>
            <w:vAlign w:val="bottom"/>
            <w:hideMark/>
          </w:tcPr>
          <w:p w14:paraId="7FEBFFC8"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single" w:sz="4" w:space="0" w:color="auto"/>
            </w:tcBorders>
            <w:shd w:val="clear" w:color="000000" w:fill="FFFFFF"/>
            <w:noWrap/>
            <w:vAlign w:val="bottom"/>
            <w:hideMark/>
          </w:tcPr>
          <w:p w14:paraId="1BC0884E"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6.7%</w:t>
            </w:r>
          </w:p>
        </w:tc>
      </w:tr>
      <w:tr w:rsidR="00B00C1D" w:rsidRPr="00635AC7" w14:paraId="09AC27B5"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7A8022E2"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A social/communication impairment (e.g. Asperger's syndrome)</w:t>
            </w:r>
          </w:p>
        </w:tc>
        <w:tc>
          <w:tcPr>
            <w:tcW w:w="960" w:type="dxa"/>
            <w:tcBorders>
              <w:top w:val="nil"/>
              <w:left w:val="single" w:sz="4" w:space="0" w:color="auto"/>
              <w:bottom w:val="nil"/>
              <w:right w:val="single" w:sz="4" w:space="0" w:color="auto"/>
            </w:tcBorders>
            <w:shd w:val="clear" w:color="000000" w:fill="FFFFFF"/>
            <w:noWrap/>
            <w:vAlign w:val="bottom"/>
            <w:hideMark/>
          </w:tcPr>
          <w:p w14:paraId="20C735C2"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15661E7C"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6.1%</w:t>
            </w:r>
          </w:p>
        </w:tc>
      </w:tr>
      <w:tr w:rsidR="00B00C1D" w:rsidRPr="00635AC7" w14:paraId="1531A585"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2C7C081F"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A specific learning difficulty (e.g. Dyslexia or Dyspraxia)</w:t>
            </w:r>
          </w:p>
        </w:tc>
        <w:tc>
          <w:tcPr>
            <w:tcW w:w="960" w:type="dxa"/>
            <w:tcBorders>
              <w:top w:val="nil"/>
              <w:left w:val="single" w:sz="4" w:space="0" w:color="auto"/>
              <w:bottom w:val="nil"/>
              <w:right w:val="single" w:sz="4" w:space="0" w:color="auto"/>
            </w:tcBorders>
            <w:shd w:val="clear" w:color="000000" w:fill="FFFFFF"/>
            <w:noWrap/>
            <w:vAlign w:val="bottom"/>
            <w:hideMark/>
          </w:tcPr>
          <w:p w14:paraId="2D505E09"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45</w:t>
            </w:r>
          </w:p>
        </w:tc>
        <w:tc>
          <w:tcPr>
            <w:tcW w:w="960" w:type="dxa"/>
            <w:tcBorders>
              <w:top w:val="nil"/>
              <w:left w:val="nil"/>
              <w:bottom w:val="nil"/>
              <w:right w:val="single" w:sz="4" w:space="0" w:color="auto"/>
            </w:tcBorders>
            <w:shd w:val="clear" w:color="000000" w:fill="FFFFFF"/>
            <w:noWrap/>
            <w:vAlign w:val="bottom"/>
            <w:hideMark/>
          </w:tcPr>
          <w:p w14:paraId="7F3451C3"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14.3%</w:t>
            </w:r>
          </w:p>
        </w:tc>
      </w:tr>
      <w:tr w:rsidR="00B00C1D" w:rsidRPr="00635AC7" w14:paraId="08256719"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2CA7A693"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Blind or a serious visual impairment uncorrected by glasses</w:t>
            </w:r>
          </w:p>
        </w:tc>
        <w:tc>
          <w:tcPr>
            <w:tcW w:w="960" w:type="dxa"/>
            <w:tcBorders>
              <w:top w:val="nil"/>
              <w:left w:val="single" w:sz="4" w:space="0" w:color="auto"/>
              <w:bottom w:val="nil"/>
              <w:right w:val="single" w:sz="4" w:space="0" w:color="auto"/>
            </w:tcBorders>
            <w:shd w:val="clear" w:color="000000" w:fill="FFFFFF"/>
            <w:noWrap/>
            <w:vAlign w:val="bottom"/>
            <w:hideMark/>
          </w:tcPr>
          <w:p w14:paraId="36AE2547"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1D8E065"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w:t>
            </w:r>
          </w:p>
        </w:tc>
      </w:tr>
      <w:tr w:rsidR="00B00C1D" w:rsidRPr="00635AC7" w14:paraId="0AA630C3" w14:textId="77777777" w:rsidTr="00B00C1D">
        <w:trPr>
          <w:trHeight w:val="300"/>
        </w:trPr>
        <w:tc>
          <w:tcPr>
            <w:tcW w:w="6350" w:type="dxa"/>
            <w:tcBorders>
              <w:top w:val="nil"/>
              <w:left w:val="single" w:sz="4" w:space="0" w:color="auto"/>
              <w:bottom w:val="nil"/>
              <w:right w:val="nil"/>
            </w:tcBorders>
            <w:shd w:val="clear" w:color="000000" w:fill="FFFFFF"/>
            <w:noWrap/>
            <w:vAlign w:val="bottom"/>
            <w:hideMark/>
          </w:tcPr>
          <w:p w14:paraId="1DF0ECD8"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Deaf or serious hearing impairment</w:t>
            </w:r>
          </w:p>
        </w:tc>
        <w:tc>
          <w:tcPr>
            <w:tcW w:w="960" w:type="dxa"/>
            <w:tcBorders>
              <w:top w:val="nil"/>
              <w:left w:val="single" w:sz="4" w:space="0" w:color="auto"/>
              <w:bottom w:val="nil"/>
              <w:right w:val="single" w:sz="4" w:space="0" w:color="auto"/>
            </w:tcBorders>
            <w:shd w:val="clear" w:color="000000" w:fill="FFFFFF"/>
            <w:noWrap/>
            <w:vAlign w:val="bottom"/>
            <w:hideMark/>
          </w:tcPr>
          <w:p w14:paraId="3EBAEE3D"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single" w:sz="4" w:space="0" w:color="auto"/>
            </w:tcBorders>
            <w:shd w:val="clear" w:color="000000" w:fill="FFFFFF"/>
            <w:noWrap/>
            <w:vAlign w:val="bottom"/>
            <w:hideMark/>
          </w:tcPr>
          <w:p w14:paraId="245276D9"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3.8%</w:t>
            </w:r>
          </w:p>
        </w:tc>
      </w:tr>
      <w:tr w:rsidR="00B00C1D" w:rsidRPr="00635AC7" w14:paraId="220F4774" w14:textId="77777777" w:rsidTr="00B00C1D">
        <w:trPr>
          <w:trHeight w:val="300"/>
        </w:trPr>
        <w:tc>
          <w:tcPr>
            <w:tcW w:w="6350" w:type="dxa"/>
            <w:tcBorders>
              <w:top w:val="nil"/>
              <w:left w:val="single" w:sz="4" w:space="0" w:color="auto"/>
              <w:bottom w:val="dotted" w:sz="4" w:space="0" w:color="auto"/>
              <w:right w:val="nil"/>
            </w:tcBorders>
            <w:shd w:val="clear" w:color="000000" w:fill="FFFFFF"/>
            <w:noWrap/>
            <w:vAlign w:val="bottom"/>
            <w:hideMark/>
          </w:tcPr>
          <w:p w14:paraId="24A958B9"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Development condition that you have had since childhood</w:t>
            </w:r>
          </w:p>
        </w:tc>
        <w:tc>
          <w:tcPr>
            <w:tcW w:w="960" w:type="dxa"/>
            <w:tcBorders>
              <w:top w:val="nil"/>
              <w:left w:val="single" w:sz="4" w:space="0" w:color="auto"/>
              <w:bottom w:val="dotted" w:sz="4" w:space="0" w:color="auto"/>
              <w:right w:val="single" w:sz="4" w:space="0" w:color="auto"/>
            </w:tcBorders>
            <w:shd w:val="clear" w:color="000000" w:fill="FFFFFF"/>
            <w:noWrap/>
            <w:vAlign w:val="bottom"/>
            <w:hideMark/>
          </w:tcPr>
          <w:p w14:paraId="0FBD674F"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dotted" w:sz="4" w:space="0" w:color="auto"/>
              <w:right w:val="single" w:sz="4" w:space="0" w:color="auto"/>
            </w:tcBorders>
            <w:shd w:val="clear" w:color="000000" w:fill="FFFFFF"/>
            <w:noWrap/>
            <w:vAlign w:val="bottom"/>
            <w:hideMark/>
          </w:tcPr>
          <w:p w14:paraId="7030FAB8"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w:t>
            </w:r>
          </w:p>
        </w:tc>
      </w:tr>
      <w:tr w:rsidR="00B00C1D" w:rsidRPr="00635AC7" w14:paraId="2DE152D1" w14:textId="77777777" w:rsidTr="00B00C1D">
        <w:trPr>
          <w:trHeight w:val="315"/>
        </w:trPr>
        <w:tc>
          <w:tcPr>
            <w:tcW w:w="6350" w:type="dxa"/>
            <w:tcBorders>
              <w:top w:val="nil"/>
              <w:left w:val="single" w:sz="4" w:space="0" w:color="auto"/>
              <w:bottom w:val="double" w:sz="6" w:space="0" w:color="auto"/>
              <w:right w:val="nil"/>
            </w:tcBorders>
            <w:shd w:val="clear" w:color="000000" w:fill="FFFFFF"/>
            <w:noWrap/>
            <w:vAlign w:val="bottom"/>
            <w:hideMark/>
          </w:tcPr>
          <w:p w14:paraId="3F34E21E" w14:textId="77777777" w:rsidR="00635AC7" w:rsidRPr="00635AC7" w:rsidRDefault="00635AC7" w:rsidP="00635AC7">
            <w:pPr>
              <w:spacing w:after="0" w:line="240" w:lineRule="auto"/>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All colleagues who reported a disability</w:t>
            </w:r>
          </w:p>
        </w:tc>
        <w:tc>
          <w:tcPr>
            <w:tcW w:w="960" w:type="dxa"/>
            <w:tcBorders>
              <w:top w:val="nil"/>
              <w:left w:val="single" w:sz="4" w:space="0" w:color="auto"/>
              <w:bottom w:val="double" w:sz="6" w:space="0" w:color="auto"/>
              <w:right w:val="single" w:sz="4" w:space="0" w:color="auto"/>
            </w:tcBorders>
            <w:shd w:val="clear" w:color="000000" w:fill="FFFFFF"/>
            <w:noWrap/>
            <w:vAlign w:val="bottom"/>
            <w:hideMark/>
          </w:tcPr>
          <w:p w14:paraId="6AD35C7B"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314</w:t>
            </w:r>
          </w:p>
        </w:tc>
        <w:tc>
          <w:tcPr>
            <w:tcW w:w="960" w:type="dxa"/>
            <w:tcBorders>
              <w:top w:val="nil"/>
              <w:left w:val="nil"/>
              <w:bottom w:val="double" w:sz="6" w:space="0" w:color="auto"/>
              <w:right w:val="single" w:sz="4" w:space="0" w:color="auto"/>
            </w:tcBorders>
            <w:shd w:val="clear" w:color="000000" w:fill="FFFFFF"/>
            <w:noWrap/>
            <w:vAlign w:val="bottom"/>
            <w:hideMark/>
          </w:tcPr>
          <w:p w14:paraId="498FD4BE"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100%</w:t>
            </w:r>
          </w:p>
        </w:tc>
      </w:tr>
    </w:tbl>
    <w:p w14:paraId="728E0446" w14:textId="77777777" w:rsidR="00FA259D" w:rsidRPr="007E2527" w:rsidRDefault="00FA259D" w:rsidP="0071273B">
      <w:pPr>
        <w:rPr>
          <w:rFonts w:asciiTheme="minorHAnsi" w:hAnsiTheme="minorHAnsi"/>
          <w:b/>
          <w:bCs/>
          <w:szCs w:val="22"/>
        </w:rPr>
      </w:pPr>
    </w:p>
    <w:p w14:paraId="26C4143C" w14:textId="77777777" w:rsidR="00FE6139" w:rsidRPr="007E2527" w:rsidRDefault="00FE6139" w:rsidP="0071273B">
      <w:pPr>
        <w:rPr>
          <w:rFonts w:asciiTheme="minorHAnsi" w:hAnsiTheme="minorHAnsi"/>
          <w:b/>
          <w:bCs/>
          <w:szCs w:val="22"/>
        </w:rPr>
      </w:pPr>
    </w:p>
    <w:p w14:paraId="5D528AFC" w14:textId="16336AFD" w:rsidR="008B7279" w:rsidRPr="007E2527" w:rsidRDefault="008B7279" w:rsidP="008B7279">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disability status and occupation, 2025 (N=6,241)</w:t>
      </w:r>
    </w:p>
    <w:tbl>
      <w:tblPr>
        <w:tblW w:w="7858" w:type="dxa"/>
        <w:tblLayout w:type="fixed"/>
        <w:tblLook w:val="04A0" w:firstRow="1" w:lastRow="0" w:firstColumn="1" w:lastColumn="0" w:noHBand="0" w:noVBand="1"/>
      </w:tblPr>
      <w:tblGrid>
        <w:gridCol w:w="2098"/>
        <w:gridCol w:w="960"/>
        <w:gridCol w:w="960"/>
        <w:gridCol w:w="960"/>
        <w:gridCol w:w="960"/>
        <w:gridCol w:w="960"/>
        <w:gridCol w:w="960"/>
      </w:tblGrid>
      <w:tr w:rsidR="00635AC7" w:rsidRPr="00635AC7" w14:paraId="63EBB456" w14:textId="77777777" w:rsidTr="00B00C1D">
        <w:trPr>
          <w:trHeight w:val="300"/>
        </w:trPr>
        <w:tc>
          <w:tcPr>
            <w:tcW w:w="2098" w:type="dxa"/>
            <w:tcBorders>
              <w:top w:val="single" w:sz="4" w:space="0" w:color="auto"/>
              <w:left w:val="single" w:sz="4" w:space="0" w:color="auto"/>
              <w:bottom w:val="nil"/>
              <w:right w:val="nil"/>
            </w:tcBorders>
            <w:shd w:val="clear" w:color="000000" w:fill="FFFFFF"/>
            <w:noWrap/>
            <w:vAlign w:val="bottom"/>
            <w:hideMark/>
          </w:tcPr>
          <w:p w14:paraId="6C67CC20" w14:textId="77777777" w:rsidR="00635AC7" w:rsidRPr="00635AC7" w:rsidRDefault="00635AC7" w:rsidP="00635AC7">
            <w:pPr>
              <w:spacing w:after="0" w:line="240" w:lineRule="auto"/>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50EEAAC" w14:textId="77777777" w:rsidR="00635AC7" w:rsidRPr="00635AC7" w:rsidRDefault="00635AC7" w:rsidP="00635AC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84DBCDA" w14:textId="77777777" w:rsidR="00635AC7" w:rsidRPr="00635AC7" w:rsidRDefault="00635AC7" w:rsidP="00635AC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952AE0B" w14:textId="77777777" w:rsidR="00635AC7" w:rsidRPr="00635AC7" w:rsidRDefault="00635AC7" w:rsidP="00635AC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PS</w:t>
            </w:r>
          </w:p>
        </w:tc>
      </w:tr>
      <w:tr w:rsidR="00B00C1D" w:rsidRPr="00635AC7" w14:paraId="60D8BC0D" w14:textId="77777777" w:rsidTr="00B00C1D">
        <w:trPr>
          <w:trHeight w:val="300"/>
        </w:trPr>
        <w:tc>
          <w:tcPr>
            <w:tcW w:w="2098" w:type="dxa"/>
            <w:tcBorders>
              <w:top w:val="nil"/>
              <w:left w:val="single" w:sz="4" w:space="0" w:color="auto"/>
              <w:bottom w:val="single" w:sz="4" w:space="0" w:color="auto"/>
              <w:right w:val="nil"/>
            </w:tcBorders>
            <w:shd w:val="clear" w:color="000000" w:fill="FFFFFF"/>
            <w:noWrap/>
            <w:vAlign w:val="bottom"/>
            <w:hideMark/>
          </w:tcPr>
          <w:p w14:paraId="64722700"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0A4F0A16" w14:textId="77777777" w:rsidR="00635AC7" w:rsidRPr="00635AC7" w:rsidRDefault="00635AC7" w:rsidP="00635AC7">
            <w:pPr>
              <w:spacing w:after="0" w:line="240" w:lineRule="auto"/>
              <w:jc w:val="center"/>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542B4BA" w14:textId="77777777" w:rsidR="00635AC7" w:rsidRPr="00635AC7" w:rsidRDefault="00635AC7" w:rsidP="00635AC7">
            <w:pPr>
              <w:spacing w:after="0" w:line="240" w:lineRule="auto"/>
              <w:jc w:val="center"/>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B1C0908" w14:textId="77777777" w:rsidR="00635AC7" w:rsidRPr="00635AC7" w:rsidRDefault="00635AC7" w:rsidP="00635AC7">
            <w:pPr>
              <w:spacing w:after="0" w:line="240" w:lineRule="auto"/>
              <w:jc w:val="center"/>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D9339FE" w14:textId="77777777" w:rsidR="00635AC7" w:rsidRPr="00635AC7" w:rsidRDefault="00635AC7" w:rsidP="00635AC7">
            <w:pPr>
              <w:spacing w:after="0" w:line="240" w:lineRule="auto"/>
              <w:jc w:val="center"/>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424A70E" w14:textId="77777777" w:rsidR="00635AC7" w:rsidRPr="00635AC7" w:rsidRDefault="00635AC7" w:rsidP="00635AC7">
            <w:pPr>
              <w:spacing w:after="0" w:line="240" w:lineRule="auto"/>
              <w:jc w:val="center"/>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D299F80" w14:textId="77777777" w:rsidR="00635AC7" w:rsidRPr="00635AC7" w:rsidRDefault="00635AC7" w:rsidP="00635AC7">
            <w:pPr>
              <w:spacing w:after="0" w:line="240" w:lineRule="auto"/>
              <w:jc w:val="center"/>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w:t>
            </w:r>
          </w:p>
        </w:tc>
      </w:tr>
      <w:tr w:rsidR="00B00C1D" w:rsidRPr="00635AC7" w14:paraId="613309A8"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75B334A8"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76F80D7C"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86</w:t>
            </w:r>
          </w:p>
        </w:tc>
        <w:tc>
          <w:tcPr>
            <w:tcW w:w="960" w:type="dxa"/>
            <w:tcBorders>
              <w:top w:val="nil"/>
              <w:left w:val="nil"/>
              <w:bottom w:val="nil"/>
              <w:right w:val="single" w:sz="4" w:space="0" w:color="auto"/>
            </w:tcBorders>
            <w:shd w:val="clear" w:color="000000" w:fill="FFFFFF"/>
            <w:noWrap/>
            <w:vAlign w:val="bottom"/>
            <w:hideMark/>
          </w:tcPr>
          <w:p w14:paraId="252A4303"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4.6%</w:t>
            </w:r>
          </w:p>
        </w:tc>
        <w:tc>
          <w:tcPr>
            <w:tcW w:w="960" w:type="dxa"/>
            <w:tcBorders>
              <w:top w:val="nil"/>
              <w:left w:val="nil"/>
              <w:bottom w:val="nil"/>
              <w:right w:val="nil"/>
            </w:tcBorders>
            <w:shd w:val="clear" w:color="000000" w:fill="FFFFFF"/>
            <w:noWrap/>
            <w:vAlign w:val="bottom"/>
            <w:hideMark/>
          </w:tcPr>
          <w:p w14:paraId="61599265"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single" w:sz="4" w:space="0" w:color="auto"/>
            </w:tcBorders>
            <w:shd w:val="clear" w:color="000000" w:fill="FFFFFF"/>
            <w:noWrap/>
            <w:vAlign w:val="bottom"/>
            <w:hideMark/>
          </w:tcPr>
          <w:p w14:paraId="44521165"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nil"/>
            </w:tcBorders>
            <w:shd w:val="clear" w:color="000000" w:fill="FFFFFF"/>
            <w:noWrap/>
            <w:vAlign w:val="bottom"/>
            <w:hideMark/>
          </w:tcPr>
          <w:p w14:paraId="1B722E54"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184</w:t>
            </w:r>
          </w:p>
        </w:tc>
        <w:tc>
          <w:tcPr>
            <w:tcW w:w="960" w:type="dxa"/>
            <w:tcBorders>
              <w:top w:val="nil"/>
              <w:left w:val="nil"/>
              <w:bottom w:val="nil"/>
              <w:right w:val="single" w:sz="4" w:space="0" w:color="auto"/>
            </w:tcBorders>
            <w:shd w:val="clear" w:color="000000" w:fill="FFFFFF"/>
            <w:noWrap/>
            <w:vAlign w:val="bottom"/>
            <w:hideMark/>
          </w:tcPr>
          <w:p w14:paraId="06680FCE"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5.4%</w:t>
            </w:r>
          </w:p>
        </w:tc>
      </w:tr>
      <w:tr w:rsidR="00B00C1D" w:rsidRPr="00635AC7" w14:paraId="78778F52"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7E06583B"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5473C658"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1765</w:t>
            </w:r>
          </w:p>
        </w:tc>
        <w:tc>
          <w:tcPr>
            <w:tcW w:w="960" w:type="dxa"/>
            <w:tcBorders>
              <w:top w:val="nil"/>
              <w:left w:val="nil"/>
              <w:bottom w:val="nil"/>
              <w:right w:val="single" w:sz="4" w:space="0" w:color="auto"/>
            </w:tcBorders>
            <w:shd w:val="clear" w:color="000000" w:fill="FFFFFF"/>
            <w:noWrap/>
            <w:vAlign w:val="bottom"/>
            <w:hideMark/>
          </w:tcPr>
          <w:p w14:paraId="788D01FF"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94.9%</w:t>
            </w:r>
          </w:p>
        </w:tc>
        <w:tc>
          <w:tcPr>
            <w:tcW w:w="960" w:type="dxa"/>
            <w:tcBorders>
              <w:top w:val="nil"/>
              <w:left w:val="nil"/>
              <w:bottom w:val="nil"/>
              <w:right w:val="nil"/>
            </w:tcBorders>
            <w:shd w:val="clear" w:color="000000" w:fill="FFFFFF"/>
            <w:noWrap/>
            <w:vAlign w:val="bottom"/>
            <w:hideMark/>
          </w:tcPr>
          <w:p w14:paraId="54928048"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937</w:t>
            </w:r>
          </w:p>
        </w:tc>
        <w:tc>
          <w:tcPr>
            <w:tcW w:w="960" w:type="dxa"/>
            <w:tcBorders>
              <w:top w:val="nil"/>
              <w:left w:val="nil"/>
              <w:bottom w:val="nil"/>
              <w:right w:val="single" w:sz="4" w:space="0" w:color="auto"/>
            </w:tcBorders>
            <w:shd w:val="clear" w:color="000000" w:fill="FFFFFF"/>
            <w:noWrap/>
            <w:vAlign w:val="bottom"/>
            <w:hideMark/>
          </w:tcPr>
          <w:p w14:paraId="135032AF"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93.7%</w:t>
            </w:r>
          </w:p>
        </w:tc>
        <w:tc>
          <w:tcPr>
            <w:tcW w:w="960" w:type="dxa"/>
            <w:tcBorders>
              <w:top w:val="nil"/>
              <w:left w:val="nil"/>
              <w:bottom w:val="nil"/>
              <w:right w:val="nil"/>
            </w:tcBorders>
            <w:shd w:val="clear" w:color="000000" w:fill="FFFFFF"/>
            <w:noWrap/>
            <w:vAlign w:val="bottom"/>
            <w:hideMark/>
          </w:tcPr>
          <w:p w14:paraId="06B525F7"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3163</w:t>
            </w:r>
          </w:p>
        </w:tc>
        <w:tc>
          <w:tcPr>
            <w:tcW w:w="960" w:type="dxa"/>
            <w:tcBorders>
              <w:top w:val="nil"/>
              <w:left w:val="nil"/>
              <w:bottom w:val="nil"/>
              <w:right w:val="single" w:sz="4" w:space="0" w:color="auto"/>
            </w:tcBorders>
            <w:shd w:val="clear" w:color="000000" w:fill="FFFFFF"/>
            <w:noWrap/>
            <w:vAlign w:val="bottom"/>
            <w:hideMark/>
          </w:tcPr>
          <w:p w14:paraId="6E7E25A8"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93.6%</w:t>
            </w:r>
          </w:p>
        </w:tc>
      </w:tr>
      <w:tr w:rsidR="00B00C1D" w:rsidRPr="00635AC7" w14:paraId="708206B1"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1DC22F35" w14:textId="77777777" w:rsidR="00635AC7" w:rsidRPr="00635AC7" w:rsidRDefault="00635AC7" w:rsidP="00635AC7">
            <w:pPr>
              <w:spacing w:after="0" w:line="240" w:lineRule="auto"/>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3D99C5D1"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single" w:sz="4" w:space="0" w:color="auto"/>
            </w:tcBorders>
            <w:shd w:val="clear" w:color="000000" w:fill="FFFFFF"/>
            <w:noWrap/>
            <w:vAlign w:val="bottom"/>
            <w:hideMark/>
          </w:tcPr>
          <w:p w14:paraId="4F46BA4B"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0.5%</w:t>
            </w:r>
          </w:p>
        </w:tc>
        <w:tc>
          <w:tcPr>
            <w:tcW w:w="960" w:type="dxa"/>
            <w:tcBorders>
              <w:top w:val="nil"/>
              <w:left w:val="nil"/>
              <w:bottom w:val="nil"/>
              <w:right w:val="nil"/>
            </w:tcBorders>
            <w:shd w:val="clear" w:color="000000" w:fill="FFFFFF"/>
            <w:noWrap/>
            <w:vAlign w:val="bottom"/>
            <w:hideMark/>
          </w:tcPr>
          <w:p w14:paraId="6765A124"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40E3D05F"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nil"/>
            </w:tcBorders>
            <w:shd w:val="clear" w:color="000000" w:fill="FFFFFF"/>
            <w:noWrap/>
            <w:vAlign w:val="bottom"/>
            <w:hideMark/>
          </w:tcPr>
          <w:p w14:paraId="7EBDB4BC"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34</w:t>
            </w:r>
          </w:p>
        </w:tc>
        <w:tc>
          <w:tcPr>
            <w:tcW w:w="960" w:type="dxa"/>
            <w:tcBorders>
              <w:top w:val="nil"/>
              <w:left w:val="nil"/>
              <w:bottom w:val="nil"/>
              <w:right w:val="single" w:sz="4" w:space="0" w:color="auto"/>
            </w:tcBorders>
            <w:shd w:val="clear" w:color="000000" w:fill="FFFFFF"/>
            <w:noWrap/>
            <w:vAlign w:val="bottom"/>
            <w:hideMark/>
          </w:tcPr>
          <w:p w14:paraId="4ECB8389" w14:textId="77777777" w:rsidR="00635AC7" w:rsidRPr="00635AC7" w:rsidRDefault="00635AC7" w:rsidP="00635AC7">
            <w:pPr>
              <w:spacing w:after="0" w:line="240" w:lineRule="auto"/>
              <w:jc w:val="right"/>
              <w:rPr>
                <w:rFonts w:asciiTheme="minorHAnsi" w:eastAsia="Times New Roman" w:hAnsiTheme="minorHAnsi" w:cs="Times New Roman"/>
                <w:color w:val="000000"/>
                <w:kern w:val="0"/>
                <w:szCs w:val="22"/>
                <w:lang w:eastAsia="en-GB"/>
                <w14:ligatures w14:val="none"/>
              </w:rPr>
            </w:pPr>
            <w:r w:rsidRPr="00635AC7">
              <w:rPr>
                <w:rFonts w:asciiTheme="minorHAnsi" w:eastAsia="Times New Roman" w:hAnsiTheme="minorHAnsi" w:cs="Times New Roman"/>
                <w:color w:val="000000"/>
                <w:kern w:val="0"/>
                <w:szCs w:val="22"/>
                <w:lang w:eastAsia="en-GB"/>
                <w14:ligatures w14:val="none"/>
              </w:rPr>
              <w:t>1.0%</w:t>
            </w:r>
          </w:p>
        </w:tc>
      </w:tr>
      <w:tr w:rsidR="00B00C1D" w:rsidRPr="00635AC7" w14:paraId="07E1CD0D" w14:textId="77777777" w:rsidTr="00B00C1D">
        <w:trPr>
          <w:trHeight w:val="315"/>
        </w:trPr>
        <w:tc>
          <w:tcPr>
            <w:tcW w:w="2098" w:type="dxa"/>
            <w:tcBorders>
              <w:top w:val="dotted" w:sz="4" w:space="0" w:color="auto"/>
              <w:left w:val="single" w:sz="4" w:space="0" w:color="auto"/>
              <w:bottom w:val="double" w:sz="6" w:space="0" w:color="auto"/>
              <w:right w:val="nil"/>
            </w:tcBorders>
            <w:shd w:val="clear" w:color="000000" w:fill="FFFFFF"/>
            <w:noWrap/>
            <w:vAlign w:val="bottom"/>
            <w:hideMark/>
          </w:tcPr>
          <w:p w14:paraId="4747B208" w14:textId="77777777" w:rsidR="00635AC7" w:rsidRPr="00635AC7" w:rsidRDefault="00635AC7" w:rsidP="00635AC7">
            <w:pPr>
              <w:spacing w:after="0" w:line="240" w:lineRule="auto"/>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2485AEF4"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1860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7959C82"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1A20737"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1000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FFB703E"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C0DDB42"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3381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AA14506" w14:textId="77777777" w:rsidR="00635AC7" w:rsidRPr="00635AC7" w:rsidRDefault="00635AC7" w:rsidP="00635AC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35AC7">
              <w:rPr>
                <w:rFonts w:asciiTheme="minorHAnsi" w:eastAsia="Times New Roman" w:hAnsiTheme="minorHAnsi" w:cs="Times New Roman"/>
                <w:b/>
                <w:bCs/>
                <w:color w:val="000000"/>
                <w:kern w:val="0"/>
                <w:szCs w:val="22"/>
                <w:lang w:eastAsia="en-GB"/>
                <w14:ligatures w14:val="none"/>
              </w:rPr>
              <w:t>100%</w:t>
            </w:r>
          </w:p>
        </w:tc>
      </w:tr>
    </w:tbl>
    <w:p w14:paraId="7F013234" w14:textId="77777777" w:rsidR="00635AC7" w:rsidRPr="007E2527" w:rsidRDefault="00635AC7" w:rsidP="00635AC7">
      <w:pPr>
        <w:rPr>
          <w:rFonts w:asciiTheme="minorHAnsi" w:hAnsiTheme="minorHAnsi"/>
          <w:b/>
          <w:bCs/>
          <w:szCs w:val="22"/>
        </w:rPr>
      </w:pPr>
    </w:p>
    <w:p w14:paraId="72652E62" w14:textId="7235F275" w:rsidR="007973F2" w:rsidRPr="007E2527" w:rsidRDefault="007973F2" w:rsidP="007973F2">
      <w:pPr>
        <w:rPr>
          <w:rFonts w:asciiTheme="minorHAnsi" w:hAnsiTheme="minorHAnsi"/>
          <w:b/>
          <w:bCs/>
          <w:szCs w:val="22"/>
        </w:rPr>
      </w:pPr>
    </w:p>
    <w:p w14:paraId="4068B341" w14:textId="77777777" w:rsidR="007973F2" w:rsidRDefault="007973F2" w:rsidP="007973F2">
      <w:pPr>
        <w:rPr>
          <w:rFonts w:asciiTheme="minorHAnsi" w:hAnsiTheme="minorHAnsi"/>
          <w:b/>
          <w:bCs/>
          <w:szCs w:val="22"/>
        </w:rPr>
      </w:pPr>
    </w:p>
    <w:p w14:paraId="72B30BFD" w14:textId="77777777" w:rsidR="00B00C1D" w:rsidRPr="007E2527" w:rsidRDefault="00B00C1D" w:rsidP="007973F2">
      <w:pPr>
        <w:rPr>
          <w:rFonts w:asciiTheme="minorHAnsi" w:hAnsiTheme="minorHAnsi"/>
          <w:b/>
          <w:bCs/>
          <w:szCs w:val="22"/>
        </w:rPr>
      </w:pPr>
    </w:p>
    <w:p w14:paraId="34D9DF30" w14:textId="328061B4" w:rsidR="007973F2" w:rsidRPr="007E2527" w:rsidRDefault="007973F2" w:rsidP="007973F2">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disability status and job family, 2025 (n=3,381)</w:t>
      </w:r>
    </w:p>
    <w:tbl>
      <w:tblPr>
        <w:tblW w:w="9778" w:type="dxa"/>
        <w:tblLayout w:type="fixed"/>
        <w:tblLook w:val="04A0" w:firstRow="1" w:lastRow="0" w:firstColumn="1" w:lastColumn="0" w:noHBand="0" w:noVBand="1"/>
      </w:tblPr>
      <w:tblGrid>
        <w:gridCol w:w="2098"/>
        <w:gridCol w:w="960"/>
        <w:gridCol w:w="960"/>
        <w:gridCol w:w="960"/>
        <w:gridCol w:w="960"/>
        <w:gridCol w:w="960"/>
        <w:gridCol w:w="960"/>
        <w:gridCol w:w="960"/>
        <w:gridCol w:w="960"/>
      </w:tblGrid>
      <w:tr w:rsidR="009B3CFB" w:rsidRPr="009B3CFB" w14:paraId="37CF4A68" w14:textId="77777777" w:rsidTr="00B00C1D">
        <w:trPr>
          <w:trHeight w:val="300"/>
        </w:trPr>
        <w:tc>
          <w:tcPr>
            <w:tcW w:w="2098" w:type="dxa"/>
            <w:tcBorders>
              <w:top w:val="single" w:sz="4" w:space="0" w:color="auto"/>
              <w:left w:val="single" w:sz="4" w:space="0" w:color="auto"/>
              <w:bottom w:val="nil"/>
              <w:right w:val="nil"/>
            </w:tcBorders>
            <w:shd w:val="clear" w:color="000000" w:fill="FFFFFF"/>
            <w:noWrap/>
            <w:vAlign w:val="bottom"/>
            <w:hideMark/>
          </w:tcPr>
          <w:p w14:paraId="55AB90A0"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1D83918"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Administrative</w:t>
            </w:r>
          </w:p>
        </w:tc>
        <w:tc>
          <w:tcPr>
            <w:tcW w:w="1920" w:type="dxa"/>
            <w:gridSpan w:val="2"/>
            <w:tcBorders>
              <w:top w:val="single" w:sz="4" w:space="0" w:color="auto"/>
              <w:left w:val="nil"/>
              <w:bottom w:val="nil"/>
              <w:right w:val="nil"/>
            </w:tcBorders>
            <w:shd w:val="clear" w:color="000000" w:fill="FFFFFF"/>
            <w:noWrap/>
            <w:vAlign w:val="bottom"/>
            <w:hideMark/>
          </w:tcPr>
          <w:p w14:paraId="4F1327EF"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Maintenance</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CEFC9FA"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Operational</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624409C"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Specialist</w:t>
            </w:r>
          </w:p>
        </w:tc>
      </w:tr>
      <w:tr w:rsidR="009B3CFB" w:rsidRPr="007E2527" w14:paraId="460C8D92" w14:textId="77777777" w:rsidTr="00B00C1D">
        <w:trPr>
          <w:trHeight w:val="300"/>
        </w:trPr>
        <w:tc>
          <w:tcPr>
            <w:tcW w:w="2098" w:type="dxa"/>
            <w:tcBorders>
              <w:top w:val="nil"/>
              <w:left w:val="single" w:sz="4" w:space="0" w:color="auto"/>
              <w:bottom w:val="single" w:sz="4" w:space="0" w:color="auto"/>
              <w:right w:val="nil"/>
            </w:tcBorders>
            <w:shd w:val="clear" w:color="000000" w:fill="FFFFFF"/>
            <w:noWrap/>
            <w:vAlign w:val="bottom"/>
            <w:hideMark/>
          </w:tcPr>
          <w:p w14:paraId="2666584A"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3F55E6ED"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D88D5FB"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585EDC0"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DFECA58"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2A58BE1"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3F3FE84"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2780E9A"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2D52582"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9B3CFB" w:rsidRPr="007E2527" w14:paraId="3B26181D"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6A9FED5C"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1461D2A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141</w:t>
            </w:r>
          </w:p>
        </w:tc>
        <w:tc>
          <w:tcPr>
            <w:tcW w:w="960" w:type="dxa"/>
            <w:tcBorders>
              <w:top w:val="nil"/>
              <w:left w:val="nil"/>
              <w:bottom w:val="nil"/>
              <w:right w:val="single" w:sz="4" w:space="0" w:color="auto"/>
            </w:tcBorders>
            <w:shd w:val="clear" w:color="000000" w:fill="FFFFFF"/>
            <w:noWrap/>
            <w:vAlign w:val="bottom"/>
            <w:hideMark/>
          </w:tcPr>
          <w:p w14:paraId="07DBA15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6.2%</w:t>
            </w:r>
          </w:p>
        </w:tc>
        <w:tc>
          <w:tcPr>
            <w:tcW w:w="960" w:type="dxa"/>
            <w:tcBorders>
              <w:top w:val="nil"/>
              <w:left w:val="nil"/>
              <w:bottom w:val="nil"/>
              <w:right w:val="nil"/>
            </w:tcBorders>
            <w:shd w:val="clear" w:color="000000" w:fill="FFFFFF"/>
            <w:noWrap/>
            <w:vAlign w:val="bottom"/>
            <w:hideMark/>
          </w:tcPr>
          <w:p w14:paraId="0FC981C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4084ED8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69981B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single" w:sz="4" w:space="0" w:color="auto"/>
            </w:tcBorders>
            <w:shd w:val="clear" w:color="000000" w:fill="FFFFFF"/>
            <w:noWrap/>
            <w:vAlign w:val="bottom"/>
            <w:hideMark/>
          </w:tcPr>
          <w:p w14:paraId="0A12981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4.8%</w:t>
            </w:r>
          </w:p>
        </w:tc>
        <w:tc>
          <w:tcPr>
            <w:tcW w:w="960" w:type="dxa"/>
            <w:tcBorders>
              <w:top w:val="nil"/>
              <w:left w:val="nil"/>
              <w:bottom w:val="nil"/>
              <w:right w:val="nil"/>
            </w:tcBorders>
            <w:shd w:val="clear" w:color="000000" w:fill="FFFFFF"/>
            <w:noWrap/>
            <w:vAlign w:val="bottom"/>
            <w:hideMark/>
          </w:tcPr>
          <w:p w14:paraId="066048F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18</w:t>
            </w:r>
          </w:p>
        </w:tc>
        <w:tc>
          <w:tcPr>
            <w:tcW w:w="960" w:type="dxa"/>
            <w:tcBorders>
              <w:top w:val="nil"/>
              <w:left w:val="nil"/>
              <w:bottom w:val="nil"/>
              <w:right w:val="single" w:sz="4" w:space="0" w:color="auto"/>
            </w:tcBorders>
            <w:shd w:val="clear" w:color="000000" w:fill="FFFFFF"/>
            <w:noWrap/>
            <w:vAlign w:val="bottom"/>
            <w:hideMark/>
          </w:tcPr>
          <w:p w14:paraId="36DC43E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3.2%</w:t>
            </w:r>
          </w:p>
        </w:tc>
      </w:tr>
      <w:tr w:rsidR="009B3CFB" w:rsidRPr="007E2527" w14:paraId="58095F93"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3F77DB8A"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742E102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2093</w:t>
            </w:r>
          </w:p>
        </w:tc>
        <w:tc>
          <w:tcPr>
            <w:tcW w:w="960" w:type="dxa"/>
            <w:tcBorders>
              <w:top w:val="nil"/>
              <w:left w:val="nil"/>
              <w:bottom w:val="nil"/>
              <w:right w:val="single" w:sz="4" w:space="0" w:color="auto"/>
            </w:tcBorders>
            <w:shd w:val="clear" w:color="000000" w:fill="FFFFFF"/>
            <w:noWrap/>
            <w:vAlign w:val="bottom"/>
            <w:hideMark/>
          </w:tcPr>
          <w:p w14:paraId="262E8BE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92.5%</w:t>
            </w:r>
          </w:p>
        </w:tc>
        <w:tc>
          <w:tcPr>
            <w:tcW w:w="960" w:type="dxa"/>
            <w:tcBorders>
              <w:top w:val="nil"/>
              <w:left w:val="nil"/>
              <w:bottom w:val="nil"/>
              <w:right w:val="nil"/>
            </w:tcBorders>
            <w:shd w:val="clear" w:color="000000" w:fill="FFFFFF"/>
            <w:noWrap/>
            <w:vAlign w:val="bottom"/>
            <w:hideMark/>
          </w:tcPr>
          <w:p w14:paraId="62B9C76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58</w:t>
            </w:r>
          </w:p>
        </w:tc>
        <w:tc>
          <w:tcPr>
            <w:tcW w:w="960" w:type="dxa"/>
            <w:tcBorders>
              <w:top w:val="nil"/>
              <w:left w:val="nil"/>
              <w:bottom w:val="nil"/>
              <w:right w:val="single" w:sz="4" w:space="0" w:color="auto"/>
            </w:tcBorders>
            <w:shd w:val="clear" w:color="000000" w:fill="FFFFFF"/>
            <w:noWrap/>
            <w:vAlign w:val="bottom"/>
            <w:hideMark/>
          </w:tcPr>
          <w:p w14:paraId="0C2393E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95.1%</w:t>
            </w:r>
          </w:p>
        </w:tc>
        <w:tc>
          <w:tcPr>
            <w:tcW w:w="960" w:type="dxa"/>
            <w:tcBorders>
              <w:top w:val="nil"/>
              <w:left w:val="nil"/>
              <w:bottom w:val="nil"/>
              <w:right w:val="nil"/>
            </w:tcBorders>
            <w:shd w:val="clear" w:color="000000" w:fill="FFFFFF"/>
            <w:noWrap/>
            <w:vAlign w:val="bottom"/>
            <w:hideMark/>
          </w:tcPr>
          <w:p w14:paraId="4BED1A4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471</w:t>
            </w:r>
          </w:p>
        </w:tc>
        <w:tc>
          <w:tcPr>
            <w:tcW w:w="960" w:type="dxa"/>
            <w:tcBorders>
              <w:top w:val="nil"/>
              <w:left w:val="nil"/>
              <w:bottom w:val="nil"/>
              <w:right w:val="single" w:sz="4" w:space="0" w:color="auto"/>
            </w:tcBorders>
            <w:shd w:val="clear" w:color="000000" w:fill="FFFFFF"/>
            <w:noWrap/>
            <w:vAlign w:val="bottom"/>
            <w:hideMark/>
          </w:tcPr>
          <w:p w14:paraId="62169D3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95.2%</w:t>
            </w:r>
          </w:p>
        </w:tc>
        <w:tc>
          <w:tcPr>
            <w:tcW w:w="960" w:type="dxa"/>
            <w:tcBorders>
              <w:top w:val="nil"/>
              <w:left w:val="nil"/>
              <w:bottom w:val="nil"/>
              <w:right w:val="nil"/>
            </w:tcBorders>
            <w:shd w:val="clear" w:color="000000" w:fill="FFFFFF"/>
            <w:noWrap/>
            <w:vAlign w:val="bottom"/>
            <w:hideMark/>
          </w:tcPr>
          <w:p w14:paraId="189B1FE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541</w:t>
            </w:r>
          </w:p>
        </w:tc>
        <w:tc>
          <w:tcPr>
            <w:tcW w:w="960" w:type="dxa"/>
            <w:tcBorders>
              <w:top w:val="nil"/>
              <w:left w:val="nil"/>
              <w:bottom w:val="nil"/>
              <w:right w:val="single" w:sz="4" w:space="0" w:color="auto"/>
            </w:tcBorders>
            <w:shd w:val="clear" w:color="000000" w:fill="FFFFFF"/>
            <w:noWrap/>
            <w:vAlign w:val="bottom"/>
            <w:hideMark/>
          </w:tcPr>
          <w:p w14:paraId="1222B1B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96.3%</w:t>
            </w:r>
          </w:p>
        </w:tc>
      </w:tr>
      <w:tr w:rsidR="009B3CFB" w:rsidRPr="007E2527" w14:paraId="6A840122"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7AA461EA"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F4D543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29</w:t>
            </w:r>
          </w:p>
        </w:tc>
        <w:tc>
          <w:tcPr>
            <w:tcW w:w="960" w:type="dxa"/>
            <w:tcBorders>
              <w:top w:val="nil"/>
              <w:left w:val="nil"/>
              <w:bottom w:val="nil"/>
              <w:right w:val="single" w:sz="4" w:space="0" w:color="auto"/>
            </w:tcBorders>
            <w:shd w:val="clear" w:color="000000" w:fill="FFFFFF"/>
            <w:noWrap/>
            <w:vAlign w:val="bottom"/>
            <w:hideMark/>
          </w:tcPr>
          <w:p w14:paraId="24A4350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nil"/>
            </w:tcBorders>
            <w:shd w:val="clear" w:color="000000" w:fill="FFFFFF"/>
            <w:noWrap/>
            <w:vAlign w:val="bottom"/>
            <w:hideMark/>
          </w:tcPr>
          <w:p w14:paraId="4A92CA6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C6B6CC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0388082"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2A6C4E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2DBDAC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7650BD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9B3CFB" w:rsidRPr="007E2527" w14:paraId="25C8D054" w14:textId="77777777" w:rsidTr="00B00C1D">
        <w:trPr>
          <w:trHeight w:val="315"/>
        </w:trPr>
        <w:tc>
          <w:tcPr>
            <w:tcW w:w="2098" w:type="dxa"/>
            <w:tcBorders>
              <w:top w:val="dotted" w:sz="4" w:space="0" w:color="auto"/>
              <w:left w:val="single" w:sz="4" w:space="0" w:color="auto"/>
              <w:bottom w:val="double" w:sz="6" w:space="0" w:color="auto"/>
              <w:right w:val="nil"/>
            </w:tcBorders>
            <w:shd w:val="clear" w:color="000000" w:fill="FFFFFF"/>
            <w:noWrap/>
            <w:vAlign w:val="bottom"/>
            <w:hideMark/>
          </w:tcPr>
          <w:p w14:paraId="652C60DF"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28D3DF3"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2263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F8E858B"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9A5FF7D"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61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04717A8"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263592F"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495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86108B0"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D970CA5"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562</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6CD1C71"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bl>
    <w:p w14:paraId="7246FA45" w14:textId="77777777" w:rsidR="00A01418" w:rsidRPr="007E2527" w:rsidRDefault="00A01418" w:rsidP="00E07335">
      <w:pPr>
        <w:rPr>
          <w:rFonts w:asciiTheme="minorHAnsi" w:hAnsiTheme="minorHAnsi"/>
          <w:b/>
          <w:bCs/>
          <w:szCs w:val="22"/>
        </w:rPr>
      </w:pPr>
    </w:p>
    <w:p w14:paraId="70636902" w14:textId="77777777" w:rsidR="00FE6139" w:rsidRPr="007E2527" w:rsidRDefault="00FE6139" w:rsidP="00E07335">
      <w:pPr>
        <w:rPr>
          <w:rFonts w:asciiTheme="minorHAnsi" w:hAnsiTheme="minorHAnsi"/>
          <w:b/>
          <w:bCs/>
          <w:szCs w:val="22"/>
        </w:rPr>
      </w:pPr>
    </w:p>
    <w:p w14:paraId="3BFED21D" w14:textId="02BB9020" w:rsidR="007973F2" w:rsidRPr="007E2527" w:rsidRDefault="007973F2" w:rsidP="007973F2">
      <w:pPr>
        <w:pStyle w:val="ListParagraph"/>
        <w:numPr>
          <w:ilvl w:val="2"/>
          <w:numId w:val="11"/>
        </w:numPr>
        <w:rPr>
          <w:rFonts w:asciiTheme="minorHAnsi" w:hAnsiTheme="minorHAnsi"/>
          <w:b/>
          <w:bCs/>
          <w:szCs w:val="22"/>
        </w:rPr>
      </w:pPr>
      <w:r w:rsidRPr="007E2527">
        <w:rPr>
          <w:rFonts w:asciiTheme="minorHAnsi" w:hAnsiTheme="minorHAnsi"/>
          <w:b/>
          <w:bCs/>
          <w:szCs w:val="22"/>
        </w:rPr>
        <w:t>Colleagues on academic contracts (R&amp;I, T&amp;R or T&amp;S) by disability status and contract type, 2025 (n=2,865)</w:t>
      </w:r>
    </w:p>
    <w:tbl>
      <w:tblPr>
        <w:tblW w:w="7858" w:type="dxa"/>
        <w:tblLayout w:type="fixed"/>
        <w:tblLook w:val="04A0" w:firstRow="1" w:lastRow="0" w:firstColumn="1" w:lastColumn="0" w:noHBand="0" w:noVBand="1"/>
      </w:tblPr>
      <w:tblGrid>
        <w:gridCol w:w="2098"/>
        <w:gridCol w:w="960"/>
        <w:gridCol w:w="960"/>
        <w:gridCol w:w="960"/>
        <w:gridCol w:w="960"/>
        <w:gridCol w:w="960"/>
        <w:gridCol w:w="960"/>
      </w:tblGrid>
      <w:tr w:rsidR="009B3CFB" w:rsidRPr="009B3CFB" w14:paraId="21BCD114" w14:textId="77777777" w:rsidTr="00B00C1D">
        <w:trPr>
          <w:trHeight w:val="300"/>
        </w:trPr>
        <w:tc>
          <w:tcPr>
            <w:tcW w:w="2098" w:type="dxa"/>
            <w:tcBorders>
              <w:top w:val="single" w:sz="4" w:space="0" w:color="auto"/>
              <w:left w:val="single" w:sz="4" w:space="0" w:color="auto"/>
              <w:bottom w:val="nil"/>
              <w:right w:val="nil"/>
            </w:tcBorders>
            <w:shd w:val="clear" w:color="000000" w:fill="FFFFFF"/>
            <w:noWrap/>
            <w:vAlign w:val="bottom"/>
            <w:hideMark/>
          </w:tcPr>
          <w:p w14:paraId="0721EE42"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BBE085C"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R&amp;I</w:t>
            </w:r>
          </w:p>
        </w:tc>
        <w:tc>
          <w:tcPr>
            <w:tcW w:w="1920" w:type="dxa"/>
            <w:gridSpan w:val="2"/>
            <w:tcBorders>
              <w:top w:val="single" w:sz="4" w:space="0" w:color="auto"/>
              <w:left w:val="nil"/>
              <w:bottom w:val="nil"/>
              <w:right w:val="nil"/>
            </w:tcBorders>
            <w:shd w:val="clear" w:color="000000" w:fill="FFFFFF"/>
            <w:noWrap/>
            <w:vAlign w:val="bottom"/>
            <w:hideMark/>
          </w:tcPr>
          <w:p w14:paraId="0453759C"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T&amp;R</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0D3A064"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T&amp;S</w:t>
            </w:r>
          </w:p>
        </w:tc>
      </w:tr>
      <w:tr w:rsidR="00B00C1D" w:rsidRPr="009B3CFB" w14:paraId="43E8878B" w14:textId="77777777" w:rsidTr="00B00C1D">
        <w:trPr>
          <w:trHeight w:val="300"/>
        </w:trPr>
        <w:tc>
          <w:tcPr>
            <w:tcW w:w="2098" w:type="dxa"/>
            <w:tcBorders>
              <w:top w:val="nil"/>
              <w:left w:val="single" w:sz="4" w:space="0" w:color="auto"/>
              <w:bottom w:val="single" w:sz="4" w:space="0" w:color="auto"/>
              <w:right w:val="nil"/>
            </w:tcBorders>
            <w:shd w:val="clear" w:color="000000" w:fill="FFFFFF"/>
            <w:noWrap/>
            <w:vAlign w:val="bottom"/>
            <w:hideMark/>
          </w:tcPr>
          <w:p w14:paraId="63ADC14F"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1BDDD3C3"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8118E13"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4842527"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C921021"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A8175FD"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39846FF"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B00C1D" w:rsidRPr="009B3CFB" w14:paraId="104BDCB1"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4AA4B058"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2B0DF96F"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single" w:sz="4" w:space="0" w:color="auto"/>
            </w:tcBorders>
            <w:shd w:val="clear" w:color="000000" w:fill="FFFFFF"/>
            <w:noWrap/>
            <w:vAlign w:val="bottom"/>
            <w:hideMark/>
          </w:tcPr>
          <w:p w14:paraId="5226EC84"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nil"/>
            </w:tcBorders>
            <w:shd w:val="clear" w:color="000000" w:fill="FFFFFF"/>
            <w:noWrap/>
            <w:vAlign w:val="bottom"/>
            <w:hideMark/>
          </w:tcPr>
          <w:p w14:paraId="3A4C71F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60</w:t>
            </w:r>
          </w:p>
        </w:tc>
        <w:tc>
          <w:tcPr>
            <w:tcW w:w="960" w:type="dxa"/>
            <w:tcBorders>
              <w:top w:val="nil"/>
              <w:left w:val="nil"/>
              <w:bottom w:val="nil"/>
              <w:right w:val="single" w:sz="4" w:space="0" w:color="auto"/>
            </w:tcBorders>
            <w:shd w:val="clear" w:color="000000" w:fill="FFFFFF"/>
            <w:noWrap/>
            <w:vAlign w:val="bottom"/>
            <w:hideMark/>
          </w:tcPr>
          <w:p w14:paraId="21BC43A2"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4.3%</w:t>
            </w:r>
          </w:p>
        </w:tc>
        <w:tc>
          <w:tcPr>
            <w:tcW w:w="960" w:type="dxa"/>
            <w:tcBorders>
              <w:top w:val="nil"/>
              <w:left w:val="nil"/>
              <w:bottom w:val="nil"/>
              <w:right w:val="nil"/>
            </w:tcBorders>
            <w:shd w:val="clear" w:color="000000" w:fill="FFFFFF"/>
            <w:noWrap/>
            <w:vAlign w:val="bottom"/>
            <w:hideMark/>
          </w:tcPr>
          <w:p w14:paraId="4E7B54D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single" w:sz="4" w:space="0" w:color="auto"/>
            </w:tcBorders>
            <w:shd w:val="clear" w:color="000000" w:fill="FFFFFF"/>
            <w:noWrap/>
            <w:vAlign w:val="bottom"/>
            <w:hideMark/>
          </w:tcPr>
          <w:p w14:paraId="6C72EF1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5.8%</w:t>
            </w:r>
          </w:p>
        </w:tc>
      </w:tr>
      <w:tr w:rsidR="00B00C1D" w:rsidRPr="009B3CFB" w14:paraId="23B7B995"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495E2BC5"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3CC20A9F"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944</w:t>
            </w:r>
          </w:p>
        </w:tc>
        <w:tc>
          <w:tcPr>
            <w:tcW w:w="960" w:type="dxa"/>
            <w:tcBorders>
              <w:top w:val="nil"/>
              <w:left w:val="nil"/>
              <w:bottom w:val="nil"/>
              <w:right w:val="single" w:sz="4" w:space="0" w:color="auto"/>
            </w:tcBorders>
            <w:shd w:val="clear" w:color="000000" w:fill="FFFFFF"/>
            <w:noWrap/>
            <w:vAlign w:val="bottom"/>
            <w:hideMark/>
          </w:tcPr>
          <w:p w14:paraId="7B1E385F"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93.7%</w:t>
            </w:r>
          </w:p>
        </w:tc>
        <w:tc>
          <w:tcPr>
            <w:tcW w:w="960" w:type="dxa"/>
            <w:tcBorders>
              <w:top w:val="nil"/>
              <w:left w:val="nil"/>
              <w:bottom w:val="nil"/>
              <w:right w:val="nil"/>
            </w:tcBorders>
            <w:shd w:val="clear" w:color="000000" w:fill="FFFFFF"/>
            <w:noWrap/>
            <w:vAlign w:val="bottom"/>
            <w:hideMark/>
          </w:tcPr>
          <w:p w14:paraId="516580B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1341</w:t>
            </w:r>
          </w:p>
        </w:tc>
        <w:tc>
          <w:tcPr>
            <w:tcW w:w="960" w:type="dxa"/>
            <w:tcBorders>
              <w:top w:val="nil"/>
              <w:left w:val="nil"/>
              <w:bottom w:val="nil"/>
              <w:right w:val="single" w:sz="4" w:space="0" w:color="auto"/>
            </w:tcBorders>
            <w:shd w:val="clear" w:color="000000" w:fill="FFFFFF"/>
            <w:noWrap/>
            <w:vAlign w:val="bottom"/>
            <w:hideMark/>
          </w:tcPr>
          <w:p w14:paraId="3E0784AF"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95.3%</w:t>
            </w:r>
          </w:p>
        </w:tc>
        <w:tc>
          <w:tcPr>
            <w:tcW w:w="960" w:type="dxa"/>
            <w:tcBorders>
              <w:top w:val="nil"/>
              <w:left w:val="nil"/>
              <w:bottom w:val="nil"/>
              <w:right w:val="nil"/>
            </w:tcBorders>
            <w:shd w:val="clear" w:color="000000" w:fill="FFFFFF"/>
            <w:noWrap/>
            <w:vAlign w:val="bottom"/>
            <w:hideMark/>
          </w:tcPr>
          <w:p w14:paraId="4179FAC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422</w:t>
            </w:r>
          </w:p>
        </w:tc>
        <w:tc>
          <w:tcPr>
            <w:tcW w:w="960" w:type="dxa"/>
            <w:tcBorders>
              <w:top w:val="nil"/>
              <w:left w:val="nil"/>
              <w:bottom w:val="nil"/>
              <w:right w:val="single" w:sz="4" w:space="0" w:color="auto"/>
            </w:tcBorders>
            <w:shd w:val="clear" w:color="000000" w:fill="FFFFFF"/>
            <w:noWrap/>
            <w:vAlign w:val="bottom"/>
            <w:hideMark/>
          </w:tcPr>
          <w:p w14:paraId="7F95750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93.6%</w:t>
            </w:r>
          </w:p>
        </w:tc>
      </w:tr>
      <w:tr w:rsidR="00B00C1D" w:rsidRPr="009B3CFB" w14:paraId="58C44847" w14:textId="77777777" w:rsidTr="00B00C1D">
        <w:trPr>
          <w:trHeight w:val="300"/>
        </w:trPr>
        <w:tc>
          <w:tcPr>
            <w:tcW w:w="2098" w:type="dxa"/>
            <w:tcBorders>
              <w:top w:val="nil"/>
              <w:left w:val="single" w:sz="4" w:space="0" w:color="auto"/>
              <w:bottom w:val="nil"/>
              <w:right w:val="nil"/>
            </w:tcBorders>
            <w:shd w:val="clear" w:color="000000" w:fill="FFFFFF"/>
            <w:noWrap/>
            <w:vAlign w:val="bottom"/>
            <w:hideMark/>
          </w:tcPr>
          <w:p w14:paraId="5A573E67"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001D4E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41507EF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nil"/>
            </w:tcBorders>
            <w:shd w:val="clear" w:color="000000" w:fill="FFFFFF"/>
            <w:noWrap/>
            <w:vAlign w:val="bottom"/>
            <w:hideMark/>
          </w:tcPr>
          <w:p w14:paraId="4823077E"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2E3571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6912A4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A0EE71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B00C1D" w:rsidRPr="009B3CFB" w14:paraId="098897AF" w14:textId="77777777" w:rsidTr="00B00C1D">
        <w:trPr>
          <w:trHeight w:val="315"/>
        </w:trPr>
        <w:tc>
          <w:tcPr>
            <w:tcW w:w="2098" w:type="dxa"/>
            <w:tcBorders>
              <w:top w:val="dotted" w:sz="4" w:space="0" w:color="auto"/>
              <w:left w:val="single" w:sz="4" w:space="0" w:color="auto"/>
              <w:bottom w:val="double" w:sz="6" w:space="0" w:color="auto"/>
              <w:right w:val="nil"/>
            </w:tcBorders>
            <w:shd w:val="clear" w:color="000000" w:fill="FFFFFF"/>
            <w:noWrap/>
            <w:vAlign w:val="bottom"/>
            <w:hideMark/>
          </w:tcPr>
          <w:p w14:paraId="7D15AD59"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43A81C34"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34ECDE2"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13D2C86"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1407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2E1C6DA"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A967F8C"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451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AA7FC58"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bl>
    <w:p w14:paraId="1E70F9C6" w14:textId="77777777" w:rsidR="009B3CFB" w:rsidRPr="007E2527" w:rsidRDefault="009B3CFB" w:rsidP="007973F2">
      <w:pPr>
        <w:rPr>
          <w:rFonts w:asciiTheme="minorHAnsi" w:hAnsiTheme="minorHAnsi"/>
          <w:szCs w:val="22"/>
        </w:rPr>
      </w:pPr>
    </w:p>
    <w:p w14:paraId="5036B72A" w14:textId="1ABB4C76" w:rsidR="00C479B9" w:rsidRPr="007E2527" w:rsidRDefault="000C68C1" w:rsidP="007973F2">
      <w:pPr>
        <w:rPr>
          <w:rFonts w:asciiTheme="minorHAnsi" w:hAnsiTheme="minorHAnsi"/>
          <w:szCs w:val="22"/>
        </w:rPr>
      </w:pPr>
      <w:r w:rsidRPr="007E2527">
        <w:rPr>
          <w:rFonts w:asciiTheme="minorHAnsi" w:hAnsiTheme="minorHAnsi"/>
          <w:szCs w:val="22"/>
        </w:rPr>
        <w:t>Note. There are 9 PS colleagues on T&amp;R contracts included in these numbers.</w:t>
      </w:r>
    </w:p>
    <w:p w14:paraId="0AB97510" w14:textId="77777777" w:rsidR="000C68C1" w:rsidRPr="007E2527" w:rsidRDefault="000C68C1" w:rsidP="007973F2">
      <w:pPr>
        <w:rPr>
          <w:rFonts w:asciiTheme="minorHAnsi" w:hAnsiTheme="minorHAnsi"/>
          <w:szCs w:val="22"/>
        </w:rPr>
      </w:pPr>
    </w:p>
    <w:p w14:paraId="5C9C27B6" w14:textId="77777777" w:rsidR="00FA259D" w:rsidRPr="007E2527" w:rsidRDefault="00FA259D" w:rsidP="007973F2">
      <w:pPr>
        <w:rPr>
          <w:rFonts w:asciiTheme="minorHAnsi" w:hAnsiTheme="minorHAnsi"/>
          <w:szCs w:val="22"/>
        </w:rPr>
      </w:pPr>
    </w:p>
    <w:p w14:paraId="06234669" w14:textId="77777777" w:rsidR="00FA259D" w:rsidRPr="007E2527" w:rsidRDefault="00FA259D" w:rsidP="007973F2">
      <w:pPr>
        <w:rPr>
          <w:rFonts w:asciiTheme="minorHAnsi" w:hAnsiTheme="minorHAnsi"/>
          <w:szCs w:val="22"/>
        </w:rPr>
      </w:pPr>
    </w:p>
    <w:p w14:paraId="6E08C7FF" w14:textId="77777777" w:rsidR="00F15A2F" w:rsidRPr="007E2527" w:rsidRDefault="00F15A2F" w:rsidP="007973F2">
      <w:pPr>
        <w:rPr>
          <w:rFonts w:asciiTheme="minorHAnsi" w:hAnsiTheme="minorHAnsi"/>
          <w:szCs w:val="22"/>
        </w:rPr>
      </w:pPr>
    </w:p>
    <w:p w14:paraId="6BC0F322" w14:textId="77777777" w:rsidR="00F15A2F" w:rsidRPr="007E2527" w:rsidRDefault="00F15A2F" w:rsidP="007973F2">
      <w:pPr>
        <w:rPr>
          <w:rFonts w:asciiTheme="minorHAnsi" w:hAnsiTheme="minorHAnsi"/>
          <w:szCs w:val="22"/>
        </w:rPr>
      </w:pPr>
    </w:p>
    <w:p w14:paraId="4F7E7819" w14:textId="59F9648F" w:rsidR="000C68C1" w:rsidRPr="007E2527" w:rsidRDefault="000C68C1" w:rsidP="000C68C1">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and disability status, and occupation, 2025 (N=6,241)</w:t>
      </w:r>
    </w:p>
    <w:tbl>
      <w:tblPr>
        <w:tblW w:w="8154" w:type="dxa"/>
        <w:tblLayout w:type="fixed"/>
        <w:tblLook w:val="04A0" w:firstRow="1" w:lastRow="0" w:firstColumn="1" w:lastColumn="0" w:noHBand="0" w:noVBand="1"/>
      </w:tblPr>
      <w:tblGrid>
        <w:gridCol w:w="2394"/>
        <w:gridCol w:w="960"/>
        <w:gridCol w:w="960"/>
        <w:gridCol w:w="960"/>
        <w:gridCol w:w="960"/>
        <w:gridCol w:w="960"/>
        <w:gridCol w:w="960"/>
      </w:tblGrid>
      <w:tr w:rsidR="009B3CFB" w:rsidRPr="009B3CFB" w14:paraId="413BB07A" w14:textId="77777777" w:rsidTr="00FB0CE8">
        <w:trPr>
          <w:trHeight w:val="300"/>
        </w:trPr>
        <w:tc>
          <w:tcPr>
            <w:tcW w:w="2394" w:type="dxa"/>
            <w:tcBorders>
              <w:top w:val="single" w:sz="4" w:space="0" w:color="auto"/>
              <w:left w:val="single" w:sz="4" w:space="0" w:color="auto"/>
              <w:bottom w:val="nil"/>
              <w:right w:val="nil"/>
            </w:tcBorders>
            <w:shd w:val="clear" w:color="000000" w:fill="FFFFFF"/>
            <w:noWrap/>
            <w:vAlign w:val="bottom"/>
            <w:hideMark/>
          </w:tcPr>
          <w:p w14:paraId="0C85243D"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ACBE6C3"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nil"/>
            </w:tcBorders>
            <w:shd w:val="clear" w:color="000000" w:fill="FFFFFF"/>
            <w:noWrap/>
            <w:vAlign w:val="bottom"/>
            <w:hideMark/>
          </w:tcPr>
          <w:p w14:paraId="2B60C64B"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AA40409" w14:textId="77777777" w:rsidR="009B3CFB" w:rsidRPr="009B3CFB" w:rsidRDefault="009B3CFB" w:rsidP="009B3CF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PS</w:t>
            </w:r>
          </w:p>
        </w:tc>
      </w:tr>
      <w:tr w:rsidR="009B3CFB" w:rsidRPr="009B3CFB" w14:paraId="2BA6B1C4" w14:textId="77777777" w:rsidTr="00FB0CE8">
        <w:trPr>
          <w:trHeight w:val="300"/>
        </w:trPr>
        <w:tc>
          <w:tcPr>
            <w:tcW w:w="2394" w:type="dxa"/>
            <w:tcBorders>
              <w:top w:val="nil"/>
              <w:left w:val="single" w:sz="4" w:space="0" w:color="auto"/>
              <w:bottom w:val="single" w:sz="4" w:space="0" w:color="auto"/>
              <w:right w:val="nil"/>
            </w:tcBorders>
            <w:shd w:val="clear" w:color="000000" w:fill="FFFFFF"/>
            <w:noWrap/>
            <w:vAlign w:val="bottom"/>
            <w:hideMark/>
          </w:tcPr>
          <w:p w14:paraId="29EDFEAE" w14:textId="77777777" w:rsidR="009B3CFB" w:rsidRPr="009B3CFB" w:rsidRDefault="009B3CFB" w:rsidP="009B3CFB">
            <w:pPr>
              <w:spacing w:after="0" w:line="240" w:lineRule="auto"/>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2A502231"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F3C887E"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04D29AF"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1B44E53C"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3D1AED4A"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D0DF617" w14:textId="77777777" w:rsidR="009B3CFB" w:rsidRPr="009B3CFB" w:rsidRDefault="009B3CFB" w:rsidP="009B3CFB">
            <w:pPr>
              <w:spacing w:after="0" w:line="240" w:lineRule="auto"/>
              <w:jc w:val="center"/>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9B3CFB" w:rsidRPr="009B3CFB" w14:paraId="45C51157"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34FE64C6"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9B3CFB">
              <w:rPr>
                <w:rFonts w:asciiTheme="minorHAnsi" w:eastAsia="Times New Roman" w:hAnsiTheme="minorHAnsi" w:cs="Times New Roman"/>
                <w:b/>
                <w:bCs/>
                <w:color w:val="000000"/>
                <w:kern w:val="0"/>
                <w:szCs w:val="22"/>
                <w:lang w:eastAsia="en-GB"/>
                <w14:ligatures w14:val="none"/>
              </w:rPr>
              <w:t>HaSS</w:t>
            </w:r>
            <w:proofErr w:type="spellEnd"/>
          </w:p>
        </w:tc>
        <w:tc>
          <w:tcPr>
            <w:tcW w:w="960" w:type="dxa"/>
            <w:tcBorders>
              <w:top w:val="nil"/>
              <w:left w:val="single" w:sz="4" w:space="0" w:color="auto"/>
              <w:bottom w:val="nil"/>
              <w:right w:val="nil"/>
            </w:tcBorders>
            <w:shd w:val="clear" w:color="000000" w:fill="FFFFFF"/>
            <w:noWrap/>
            <w:vAlign w:val="bottom"/>
            <w:hideMark/>
          </w:tcPr>
          <w:p w14:paraId="1E6CDF17"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809</w:t>
            </w:r>
          </w:p>
        </w:tc>
        <w:tc>
          <w:tcPr>
            <w:tcW w:w="960" w:type="dxa"/>
            <w:tcBorders>
              <w:top w:val="nil"/>
              <w:left w:val="nil"/>
              <w:bottom w:val="nil"/>
              <w:right w:val="single" w:sz="4" w:space="0" w:color="auto"/>
            </w:tcBorders>
            <w:shd w:val="clear" w:color="000000" w:fill="FFFFFF"/>
            <w:noWrap/>
            <w:vAlign w:val="bottom"/>
            <w:hideMark/>
          </w:tcPr>
          <w:p w14:paraId="51B7430E"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nil"/>
              <w:bottom w:val="nil"/>
              <w:right w:val="nil"/>
            </w:tcBorders>
            <w:shd w:val="clear" w:color="000000" w:fill="FFFFFF"/>
            <w:noWrap/>
            <w:vAlign w:val="bottom"/>
            <w:hideMark/>
          </w:tcPr>
          <w:p w14:paraId="7E9457C8"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89</w:t>
            </w:r>
          </w:p>
        </w:tc>
        <w:tc>
          <w:tcPr>
            <w:tcW w:w="960" w:type="dxa"/>
            <w:tcBorders>
              <w:top w:val="nil"/>
              <w:left w:val="nil"/>
              <w:bottom w:val="nil"/>
              <w:right w:val="nil"/>
            </w:tcBorders>
            <w:shd w:val="clear" w:color="000000" w:fill="FFFFFF"/>
            <w:noWrap/>
            <w:vAlign w:val="bottom"/>
            <w:hideMark/>
          </w:tcPr>
          <w:p w14:paraId="1BF8A2D9"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single" w:sz="4" w:space="0" w:color="auto"/>
              <w:bottom w:val="nil"/>
              <w:right w:val="nil"/>
            </w:tcBorders>
            <w:shd w:val="clear" w:color="000000" w:fill="FFFFFF"/>
            <w:noWrap/>
            <w:vAlign w:val="bottom"/>
            <w:hideMark/>
          </w:tcPr>
          <w:p w14:paraId="2C8C16CE"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297</w:t>
            </w:r>
          </w:p>
        </w:tc>
        <w:tc>
          <w:tcPr>
            <w:tcW w:w="960" w:type="dxa"/>
            <w:tcBorders>
              <w:top w:val="nil"/>
              <w:left w:val="nil"/>
              <w:bottom w:val="nil"/>
              <w:right w:val="single" w:sz="4" w:space="0" w:color="auto"/>
            </w:tcBorders>
            <w:shd w:val="clear" w:color="000000" w:fill="FFFFFF"/>
            <w:noWrap/>
            <w:vAlign w:val="bottom"/>
            <w:hideMark/>
          </w:tcPr>
          <w:p w14:paraId="1553AA9D"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r w:rsidR="009B3CFB" w:rsidRPr="009B3CFB" w14:paraId="22B4F6D0"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34371B4F"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411F845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50</w:t>
            </w:r>
          </w:p>
        </w:tc>
        <w:tc>
          <w:tcPr>
            <w:tcW w:w="960" w:type="dxa"/>
            <w:tcBorders>
              <w:top w:val="nil"/>
              <w:left w:val="nil"/>
              <w:bottom w:val="nil"/>
              <w:right w:val="single" w:sz="4" w:space="0" w:color="auto"/>
            </w:tcBorders>
            <w:shd w:val="clear" w:color="000000" w:fill="FFFFFF"/>
            <w:noWrap/>
            <w:vAlign w:val="bottom"/>
            <w:hideMark/>
          </w:tcPr>
          <w:p w14:paraId="71249A8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6.2%</w:t>
            </w:r>
          </w:p>
        </w:tc>
        <w:tc>
          <w:tcPr>
            <w:tcW w:w="960" w:type="dxa"/>
            <w:tcBorders>
              <w:top w:val="nil"/>
              <w:left w:val="nil"/>
              <w:bottom w:val="nil"/>
              <w:right w:val="nil"/>
            </w:tcBorders>
            <w:shd w:val="clear" w:color="000000" w:fill="FFFFFF"/>
            <w:noWrap/>
            <w:vAlign w:val="bottom"/>
            <w:hideMark/>
          </w:tcPr>
          <w:p w14:paraId="24490B3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2140965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45D4ABD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single" w:sz="4" w:space="0" w:color="auto"/>
            </w:tcBorders>
            <w:shd w:val="clear" w:color="000000" w:fill="FFFFFF"/>
            <w:noWrap/>
            <w:vAlign w:val="bottom"/>
            <w:hideMark/>
          </w:tcPr>
          <w:p w14:paraId="0AD183A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7.1%</w:t>
            </w:r>
          </w:p>
        </w:tc>
      </w:tr>
      <w:tr w:rsidR="009B3CFB" w:rsidRPr="009B3CFB" w14:paraId="75F9C1FC"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136D4C2D"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6310202E"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757</w:t>
            </w:r>
          </w:p>
        </w:tc>
        <w:tc>
          <w:tcPr>
            <w:tcW w:w="960" w:type="dxa"/>
            <w:tcBorders>
              <w:top w:val="nil"/>
              <w:left w:val="nil"/>
              <w:bottom w:val="nil"/>
              <w:right w:val="single" w:sz="4" w:space="0" w:color="auto"/>
            </w:tcBorders>
            <w:shd w:val="clear" w:color="000000" w:fill="FFFFFF"/>
            <w:noWrap/>
            <w:vAlign w:val="bottom"/>
            <w:hideMark/>
          </w:tcPr>
          <w:p w14:paraId="7CAF69A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93.6%</w:t>
            </w:r>
          </w:p>
        </w:tc>
        <w:tc>
          <w:tcPr>
            <w:tcW w:w="960" w:type="dxa"/>
            <w:tcBorders>
              <w:top w:val="nil"/>
              <w:left w:val="nil"/>
              <w:bottom w:val="nil"/>
              <w:right w:val="nil"/>
            </w:tcBorders>
            <w:shd w:val="clear" w:color="000000" w:fill="FFFFFF"/>
            <w:noWrap/>
            <w:vAlign w:val="bottom"/>
            <w:hideMark/>
          </w:tcPr>
          <w:p w14:paraId="707485C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81</w:t>
            </w:r>
          </w:p>
        </w:tc>
        <w:tc>
          <w:tcPr>
            <w:tcW w:w="960" w:type="dxa"/>
            <w:tcBorders>
              <w:top w:val="nil"/>
              <w:left w:val="nil"/>
              <w:bottom w:val="nil"/>
              <w:right w:val="nil"/>
            </w:tcBorders>
            <w:shd w:val="clear" w:color="000000" w:fill="FFFFFF"/>
            <w:noWrap/>
            <w:vAlign w:val="bottom"/>
            <w:hideMark/>
          </w:tcPr>
          <w:p w14:paraId="413C1A8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91.0%</w:t>
            </w:r>
          </w:p>
        </w:tc>
        <w:tc>
          <w:tcPr>
            <w:tcW w:w="960" w:type="dxa"/>
            <w:tcBorders>
              <w:top w:val="nil"/>
              <w:left w:val="single" w:sz="4" w:space="0" w:color="auto"/>
              <w:bottom w:val="nil"/>
              <w:right w:val="nil"/>
            </w:tcBorders>
            <w:shd w:val="clear" w:color="000000" w:fill="FFFFFF"/>
            <w:noWrap/>
            <w:vAlign w:val="bottom"/>
            <w:hideMark/>
          </w:tcPr>
          <w:p w14:paraId="39D35A2E"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272</w:t>
            </w:r>
          </w:p>
        </w:tc>
        <w:tc>
          <w:tcPr>
            <w:tcW w:w="960" w:type="dxa"/>
            <w:tcBorders>
              <w:top w:val="nil"/>
              <w:left w:val="nil"/>
              <w:bottom w:val="nil"/>
              <w:right w:val="single" w:sz="4" w:space="0" w:color="auto"/>
            </w:tcBorders>
            <w:shd w:val="clear" w:color="000000" w:fill="FFFFFF"/>
            <w:noWrap/>
            <w:vAlign w:val="bottom"/>
            <w:hideMark/>
          </w:tcPr>
          <w:p w14:paraId="7C377112"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91.6%</w:t>
            </w:r>
          </w:p>
        </w:tc>
      </w:tr>
      <w:tr w:rsidR="009B3CFB" w:rsidRPr="009B3CFB" w14:paraId="25FA05EE"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0993E9E5"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A80A7B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4AF1A2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C8B41F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156EFEAC"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5E2CC0B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5E9D0BE"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9B3CFB" w:rsidRPr="009B3CFB" w14:paraId="1E55AFB9" w14:textId="77777777" w:rsidTr="00FB0CE8">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03C24D83"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FMS</w:t>
            </w:r>
          </w:p>
        </w:tc>
        <w:tc>
          <w:tcPr>
            <w:tcW w:w="960" w:type="dxa"/>
            <w:tcBorders>
              <w:top w:val="dotted" w:sz="4" w:space="0" w:color="auto"/>
              <w:left w:val="single" w:sz="4" w:space="0" w:color="auto"/>
              <w:bottom w:val="nil"/>
              <w:right w:val="nil"/>
            </w:tcBorders>
            <w:shd w:val="clear" w:color="000000" w:fill="FFFFFF"/>
            <w:noWrap/>
            <w:vAlign w:val="bottom"/>
            <w:hideMark/>
          </w:tcPr>
          <w:p w14:paraId="50244A18"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572</w:t>
            </w:r>
          </w:p>
        </w:tc>
        <w:tc>
          <w:tcPr>
            <w:tcW w:w="960" w:type="dxa"/>
            <w:tcBorders>
              <w:top w:val="dotted" w:sz="4" w:space="0" w:color="auto"/>
              <w:left w:val="nil"/>
              <w:bottom w:val="nil"/>
              <w:right w:val="single" w:sz="4" w:space="0" w:color="auto"/>
            </w:tcBorders>
            <w:shd w:val="clear" w:color="000000" w:fill="FFFFFF"/>
            <w:noWrap/>
            <w:vAlign w:val="bottom"/>
            <w:hideMark/>
          </w:tcPr>
          <w:p w14:paraId="1B3B5AB4"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4F137904"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620</w:t>
            </w:r>
          </w:p>
        </w:tc>
        <w:tc>
          <w:tcPr>
            <w:tcW w:w="960" w:type="dxa"/>
            <w:tcBorders>
              <w:top w:val="dotted" w:sz="4" w:space="0" w:color="auto"/>
              <w:left w:val="nil"/>
              <w:bottom w:val="nil"/>
              <w:right w:val="nil"/>
            </w:tcBorders>
            <w:shd w:val="clear" w:color="000000" w:fill="FFFFFF"/>
            <w:noWrap/>
            <w:vAlign w:val="bottom"/>
            <w:hideMark/>
          </w:tcPr>
          <w:p w14:paraId="39166F30"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2CB44B05"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683</w:t>
            </w:r>
          </w:p>
        </w:tc>
        <w:tc>
          <w:tcPr>
            <w:tcW w:w="960" w:type="dxa"/>
            <w:tcBorders>
              <w:top w:val="dotted" w:sz="4" w:space="0" w:color="auto"/>
              <w:left w:val="nil"/>
              <w:bottom w:val="nil"/>
              <w:right w:val="single" w:sz="4" w:space="0" w:color="auto"/>
            </w:tcBorders>
            <w:shd w:val="clear" w:color="000000" w:fill="FFFFFF"/>
            <w:noWrap/>
            <w:vAlign w:val="bottom"/>
            <w:hideMark/>
          </w:tcPr>
          <w:p w14:paraId="1BAEDCB4"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r w:rsidR="009B3CFB" w:rsidRPr="009B3CFB" w14:paraId="48B70061"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584306E0"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1E6BA1D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20</w:t>
            </w:r>
          </w:p>
        </w:tc>
        <w:tc>
          <w:tcPr>
            <w:tcW w:w="960" w:type="dxa"/>
            <w:tcBorders>
              <w:top w:val="nil"/>
              <w:left w:val="nil"/>
              <w:bottom w:val="nil"/>
              <w:right w:val="single" w:sz="4" w:space="0" w:color="auto"/>
            </w:tcBorders>
            <w:shd w:val="clear" w:color="000000" w:fill="FFFFFF"/>
            <w:noWrap/>
            <w:vAlign w:val="bottom"/>
            <w:hideMark/>
          </w:tcPr>
          <w:p w14:paraId="222C35C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3.5%</w:t>
            </w:r>
          </w:p>
        </w:tc>
        <w:tc>
          <w:tcPr>
            <w:tcW w:w="960" w:type="dxa"/>
            <w:tcBorders>
              <w:top w:val="nil"/>
              <w:left w:val="nil"/>
              <w:bottom w:val="nil"/>
              <w:right w:val="nil"/>
            </w:tcBorders>
            <w:shd w:val="clear" w:color="000000" w:fill="FFFFFF"/>
            <w:noWrap/>
            <w:vAlign w:val="bottom"/>
            <w:hideMark/>
          </w:tcPr>
          <w:p w14:paraId="1518057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29</w:t>
            </w:r>
          </w:p>
        </w:tc>
        <w:tc>
          <w:tcPr>
            <w:tcW w:w="960" w:type="dxa"/>
            <w:tcBorders>
              <w:top w:val="nil"/>
              <w:left w:val="nil"/>
              <w:bottom w:val="nil"/>
              <w:right w:val="nil"/>
            </w:tcBorders>
            <w:shd w:val="clear" w:color="000000" w:fill="FFFFFF"/>
            <w:noWrap/>
            <w:vAlign w:val="bottom"/>
            <w:hideMark/>
          </w:tcPr>
          <w:p w14:paraId="559738FE"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4.7%</w:t>
            </w:r>
          </w:p>
        </w:tc>
        <w:tc>
          <w:tcPr>
            <w:tcW w:w="960" w:type="dxa"/>
            <w:tcBorders>
              <w:top w:val="nil"/>
              <w:left w:val="single" w:sz="4" w:space="0" w:color="auto"/>
              <w:bottom w:val="nil"/>
              <w:right w:val="nil"/>
            </w:tcBorders>
            <w:shd w:val="clear" w:color="000000" w:fill="FFFFFF"/>
            <w:noWrap/>
            <w:vAlign w:val="bottom"/>
            <w:hideMark/>
          </w:tcPr>
          <w:p w14:paraId="2572450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31</w:t>
            </w:r>
          </w:p>
        </w:tc>
        <w:tc>
          <w:tcPr>
            <w:tcW w:w="960" w:type="dxa"/>
            <w:tcBorders>
              <w:top w:val="nil"/>
              <w:left w:val="nil"/>
              <w:bottom w:val="nil"/>
              <w:right w:val="single" w:sz="4" w:space="0" w:color="auto"/>
            </w:tcBorders>
            <w:shd w:val="clear" w:color="000000" w:fill="FFFFFF"/>
            <w:noWrap/>
            <w:vAlign w:val="bottom"/>
            <w:hideMark/>
          </w:tcPr>
          <w:p w14:paraId="2BCF3F2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4.5%</w:t>
            </w:r>
          </w:p>
        </w:tc>
      </w:tr>
      <w:tr w:rsidR="009B3CFB" w:rsidRPr="009B3CFB" w14:paraId="224C7EF9"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2F966613"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37D6C2C4"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548</w:t>
            </w:r>
          </w:p>
        </w:tc>
        <w:tc>
          <w:tcPr>
            <w:tcW w:w="960" w:type="dxa"/>
            <w:tcBorders>
              <w:top w:val="nil"/>
              <w:left w:val="nil"/>
              <w:bottom w:val="nil"/>
              <w:right w:val="single" w:sz="4" w:space="0" w:color="auto"/>
            </w:tcBorders>
            <w:shd w:val="clear" w:color="000000" w:fill="FFFFFF"/>
            <w:noWrap/>
            <w:vAlign w:val="bottom"/>
            <w:hideMark/>
          </w:tcPr>
          <w:p w14:paraId="44FAA734"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95.8%</w:t>
            </w:r>
          </w:p>
        </w:tc>
        <w:tc>
          <w:tcPr>
            <w:tcW w:w="960" w:type="dxa"/>
            <w:tcBorders>
              <w:top w:val="nil"/>
              <w:left w:val="nil"/>
              <w:bottom w:val="nil"/>
              <w:right w:val="nil"/>
            </w:tcBorders>
            <w:shd w:val="clear" w:color="000000" w:fill="FFFFFF"/>
            <w:noWrap/>
            <w:vAlign w:val="bottom"/>
            <w:hideMark/>
          </w:tcPr>
          <w:p w14:paraId="5EED531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579</w:t>
            </w:r>
          </w:p>
        </w:tc>
        <w:tc>
          <w:tcPr>
            <w:tcW w:w="960" w:type="dxa"/>
            <w:tcBorders>
              <w:top w:val="nil"/>
              <w:left w:val="nil"/>
              <w:bottom w:val="nil"/>
              <w:right w:val="nil"/>
            </w:tcBorders>
            <w:shd w:val="clear" w:color="000000" w:fill="FFFFFF"/>
            <w:noWrap/>
            <w:vAlign w:val="bottom"/>
            <w:hideMark/>
          </w:tcPr>
          <w:p w14:paraId="5199E4C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93.4%</w:t>
            </w:r>
          </w:p>
        </w:tc>
        <w:tc>
          <w:tcPr>
            <w:tcW w:w="960" w:type="dxa"/>
            <w:tcBorders>
              <w:top w:val="nil"/>
              <w:left w:val="single" w:sz="4" w:space="0" w:color="auto"/>
              <w:bottom w:val="nil"/>
              <w:right w:val="nil"/>
            </w:tcBorders>
            <w:shd w:val="clear" w:color="000000" w:fill="FFFFFF"/>
            <w:noWrap/>
            <w:vAlign w:val="bottom"/>
            <w:hideMark/>
          </w:tcPr>
          <w:p w14:paraId="17EAD2C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647</w:t>
            </w:r>
          </w:p>
        </w:tc>
        <w:tc>
          <w:tcPr>
            <w:tcW w:w="960" w:type="dxa"/>
            <w:tcBorders>
              <w:top w:val="nil"/>
              <w:left w:val="nil"/>
              <w:bottom w:val="nil"/>
              <w:right w:val="single" w:sz="4" w:space="0" w:color="auto"/>
            </w:tcBorders>
            <w:shd w:val="clear" w:color="000000" w:fill="FFFFFF"/>
            <w:noWrap/>
            <w:vAlign w:val="bottom"/>
            <w:hideMark/>
          </w:tcPr>
          <w:p w14:paraId="26A4FB6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94.7%</w:t>
            </w:r>
          </w:p>
        </w:tc>
      </w:tr>
      <w:tr w:rsidR="009B3CFB" w:rsidRPr="009B3CFB" w14:paraId="20207A9D"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6BAFDBEA"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494887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143D26F"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1ECD5A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nil"/>
            </w:tcBorders>
            <w:shd w:val="clear" w:color="000000" w:fill="FFFFFF"/>
            <w:noWrap/>
            <w:vAlign w:val="bottom"/>
            <w:hideMark/>
          </w:tcPr>
          <w:p w14:paraId="75CE102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1.9%</w:t>
            </w:r>
          </w:p>
        </w:tc>
        <w:tc>
          <w:tcPr>
            <w:tcW w:w="960" w:type="dxa"/>
            <w:tcBorders>
              <w:top w:val="nil"/>
              <w:left w:val="single" w:sz="4" w:space="0" w:color="auto"/>
              <w:bottom w:val="nil"/>
              <w:right w:val="nil"/>
            </w:tcBorders>
            <w:shd w:val="clear" w:color="000000" w:fill="FFFFFF"/>
            <w:noWrap/>
            <w:vAlign w:val="bottom"/>
            <w:hideMark/>
          </w:tcPr>
          <w:p w14:paraId="7D4EC53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1F0DB7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9B3CFB" w:rsidRPr="009B3CFB" w14:paraId="7E284A63" w14:textId="77777777" w:rsidTr="00FB0CE8">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190CA1B8"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9B3CFB">
              <w:rPr>
                <w:rFonts w:asciiTheme="minorHAnsi" w:eastAsia="Times New Roman" w:hAnsiTheme="minorHAnsi" w:cs="Times New Roman"/>
                <w:b/>
                <w:bCs/>
                <w:color w:val="000000"/>
                <w:kern w:val="0"/>
                <w:szCs w:val="22"/>
                <w:lang w:eastAsia="en-GB"/>
                <w14:ligatures w14:val="none"/>
              </w:rPr>
              <w:t>SAgE</w:t>
            </w:r>
            <w:proofErr w:type="spellEnd"/>
          </w:p>
        </w:tc>
        <w:tc>
          <w:tcPr>
            <w:tcW w:w="960" w:type="dxa"/>
            <w:tcBorders>
              <w:top w:val="dotted" w:sz="4" w:space="0" w:color="auto"/>
              <w:left w:val="single" w:sz="4" w:space="0" w:color="auto"/>
              <w:bottom w:val="nil"/>
              <w:right w:val="nil"/>
            </w:tcBorders>
            <w:shd w:val="clear" w:color="000000" w:fill="FFFFFF"/>
            <w:noWrap/>
            <w:vAlign w:val="bottom"/>
            <w:hideMark/>
          </w:tcPr>
          <w:p w14:paraId="14A4CAAA"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477</w:t>
            </w:r>
          </w:p>
        </w:tc>
        <w:tc>
          <w:tcPr>
            <w:tcW w:w="960" w:type="dxa"/>
            <w:tcBorders>
              <w:top w:val="dotted" w:sz="4" w:space="0" w:color="auto"/>
              <w:left w:val="nil"/>
              <w:bottom w:val="nil"/>
              <w:right w:val="single" w:sz="4" w:space="0" w:color="auto"/>
            </w:tcBorders>
            <w:shd w:val="clear" w:color="000000" w:fill="FFFFFF"/>
            <w:noWrap/>
            <w:vAlign w:val="bottom"/>
            <w:hideMark/>
          </w:tcPr>
          <w:p w14:paraId="10FFA5CA"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3A87FB8B"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289</w:t>
            </w:r>
          </w:p>
        </w:tc>
        <w:tc>
          <w:tcPr>
            <w:tcW w:w="960" w:type="dxa"/>
            <w:tcBorders>
              <w:top w:val="dotted" w:sz="4" w:space="0" w:color="auto"/>
              <w:left w:val="nil"/>
              <w:bottom w:val="nil"/>
              <w:right w:val="nil"/>
            </w:tcBorders>
            <w:shd w:val="clear" w:color="000000" w:fill="FFFFFF"/>
            <w:noWrap/>
            <w:vAlign w:val="bottom"/>
            <w:hideMark/>
          </w:tcPr>
          <w:p w14:paraId="0DC9D014"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124034CF"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368</w:t>
            </w:r>
          </w:p>
        </w:tc>
        <w:tc>
          <w:tcPr>
            <w:tcW w:w="960" w:type="dxa"/>
            <w:tcBorders>
              <w:top w:val="dotted" w:sz="4" w:space="0" w:color="auto"/>
              <w:left w:val="nil"/>
              <w:bottom w:val="nil"/>
              <w:right w:val="single" w:sz="4" w:space="0" w:color="auto"/>
            </w:tcBorders>
            <w:shd w:val="clear" w:color="000000" w:fill="FFFFFF"/>
            <w:noWrap/>
            <w:vAlign w:val="bottom"/>
            <w:hideMark/>
          </w:tcPr>
          <w:p w14:paraId="44369CC0"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r w:rsidR="009B3CFB" w:rsidRPr="009B3CFB" w14:paraId="49502A23"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6ABAB398"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1788C35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single" w:sz="4" w:space="0" w:color="auto"/>
            </w:tcBorders>
            <w:shd w:val="clear" w:color="000000" w:fill="FFFFFF"/>
            <w:noWrap/>
            <w:vAlign w:val="bottom"/>
            <w:hideMark/>
          </w:tcPr>
          <w:p w14:paraId="74BA6A0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3.4%</w:t>
            </w:r>
          </w:p>
        </w:tc>
        <w:tc>
          <w:tcPr>
            <w:tcW w:w="960" w:type="dxa"/>
            <w:tcBorders>
              <w:top w:val="nil"/>
              <w:left w:val="nil"/>
              <w:bottom w:val="nil"/>
              <w:right w:val="nil"/>
            </w:tcBorders>
            <w:shd w:val="clear" w:color="000000" w:fill="FFFFFF"/>
            <w:noWrap/>
            <w:vAlign w:val="bottom"/>
            <w:hideMark/>
          </w:tcPr>
          <w:p w14:paraId="2E8323D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nil"/>
            </w:tcBorders>
            <w:shd w:val="clear" w:color="000000" w:fill="FFFFFF"/>
            <w:noWrap/>
            <w:vAlign w:val="bottom"/>
            <w:hideMark/>
          </w:tcPr>
          <w:p w14:paraId="780345C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3.1%</w:t>
            </w:r>
          </w:p>
        </w:tc>
        <w:tc>
          <w:tcPr>
            <w:tcW w:w="960" w:type="dxa"/>
            <w:tcBorders>
              <w:top w:val="nil"/>
              <w:left w:val="single" w:sz="4" w:space="0" w:color="auto"/>
              <w:bottom w:val="nil"/>
              <w:right w:val="nil"/>
            </w:tcBorders>
            <w:shd w:val="clear" w:color="000000" w:fill="FFFFFF"/>
            <w:noWrap/>
            <w:vAlign w:val="bottom"/>
            <w:hideMark/>
          </w:tcPr>
          <w:p w14:paraId="3098A62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15</w:t>
            </w:r>
          </w:p>
        </w:tc>
        <w:tc>
          <w:tcPr>
            <w:tcW w:w="960" w:type="dxa"/>
            <w:tcBorders>
              <w:top w:val="nil"/>
              <w:left w:val="nil"/>
              <w:bottom w:val="nil"/>
              <w:right w:val="single" w:sz="4" w:space="0" w:color="auto"/>
            </w:tcBorders>
            <w:shd w:val="clear" w:color="000000" w:fill="FFFFFF"/>
            <w:noWrap/>
            <w:vAlign w:val="bottom"/>
            <w:hideMark/>
          </w:tcPr>
          <w:p w14:paraId="6B2A1AB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4.1%</w:t>
            </w:r>
          </w:p>
        </w:tc>
      </w:tr>
      <w:tr w:rsidR="009B3CFB" w:rsidRPr="009B3CFB" w14:paraId="748BC0BD"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236D4F2B"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3382DEE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458</w:t>
            </w:r>
          </w:p>
        </w:tc>
        <w:tc>
          <w:tcPr>
            <w:tcW w:w="960" w:type="dxa"/>
            <w:tcBorders>
              <w:top w:val="nil"/>
              <w:left w:val="nil"/>
              <w:bottom w:val="nil"/>
              <w:right w:val="single" w:sz="4" w:space="0" w:color="auto"/>
            </w:tcBorders>
            <w:shd w:val="clear" w:color="000000" w:fill="FFFFFF"/>
            <w:noWrap/>
            <w:vAlign w:val="bottom"/>
            <w:hideMark/>
          </w:tcPr>
          <w:p w14:paraId="3EAE9CFC"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96.0%</w:t>
            </w:r>
          </w:p>
        </w:tc>
        <w:tc>
          <w:tcPr>
            <w:tcW w:w="960" w:type="dxa"/>
            <w:tcBorders>
              <w:top w:val="nil"/>
              <w:left w:val="nil"/>
              <w:bottom w:val="nil"/>
              <w:right w:val="nil"/>
            </w:tcBorders>
            <w:shd w:val="clear" w:color="000000" w:fill="FFFFFF"/>
            <w:noWrap/>
            <w:vAlign w:val="bottom"/>
            <w:hideMark/>
          </w:tcPr>
          <w:p w14:paraId="4BC9518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276</w:t>
            </w:r>
          </w:p>
        </w:tc>
        <w:tc>
          <w:tcPr>
            <w:tcW w:w="960" w:type="dxa"/>
            <w:tcBorders>
              <w:top w:val="nil"/>
              <w:left w:val="nil"/>
              <w:bottom w:val="nil"/>
              <w:right w:val="nil"/>
            </w:tcBorders>
            <w:shd w:val="clear" w:color="000000" w:fill="FFFFFF"/>
            <w:noWrap/>
            <w:vAlign w:val="bottom"/>
            <w:hideMark/>
          </w:tcPr>
          <w:p w14:paraId="054A7E8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95.5%</w:t>
            </w:r>
          </w:p>
        </w:tc>
        <w:tc>
          <w:tcPr>
            <w:tcW w:w="960" w:type="dxa"/>
            <w:tcBorders>
              <w:top w:val="nil"/>
              <w:left w:val="single" w:sz="4" w:space="0" w:color="auto"/>
              <w:bottom w:val="nil"/>
              <w:right w:val="nil"/>
            </w:tcBorders>
            <w:shd w:val="clear" w:color="000000" w:fill="FFFFFF"/>
            <w:noWrap/>
            <w:vAlign w:val="bottom"/>
            <w:hideMark/>
          </w:tcPr>
          <w:p w14:paraId="15E558B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349</w:t>
            </w:r>
          </w:p>
        </w:tc>
        <w:tc>
          <w:tcPr>
            <w:tcW w:w="960" w:type="dxa"/>
            <w:tcBorders>
              <w:top w:val="nil"/>
              <w:left w:val="nil"/>
              <w:bottom w:val="nil"/>
              <w:right w:val="single" w:sz="4" w:space="0" w:color="auto"/>
            </w:tcBorders>
            <w:shd w:val="clear" w:color="000000" w:fill="FFFFFF"/>
            <w:noWrap/>
            <w:vAlign w:val="bottom"/>
            <w:hideMark/>
          </w:tcPr>
          <w:p w14:paraId="1A8828A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94.8%</w:t>
            </w:r>
          </w:p>
        </w:tc>
      </w:tr>
      <w:tr w:rsidR="009B3CFB" w:rsidRPr="009B3CFB" w14:paraId="2C4F1900"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306E1676"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A6073D4"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1484004"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BCCB58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375D520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12211A7C"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B01BA2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r w:rsidR="009B3CFB" w:rsidRPr="009B3CFB" w14:paraId="38133CA3" w14:textId="77777777" w:rsidTr="00FB0CE8">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717EDCA1"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Academic Hub</w:t>
            </w:r>
          </w:p>
        </w:tc>
        <w:tc>
          <w:tcPr>
            <w:tcW w:w="960" w:type="dxa"/>
            <w:tcBorders>
              <w:top w:val="dotted" w:sz="4" w:space="0" w:color="auto"/>
              <w:left w:val="single" w:sz="4" w:space="0" w:color="auto"/>
              <w:bottom w:val="nil"/>
              <w:right w:val="nil"/>
            </w:tcBorders>
            <w:shd w:val="clear" w:color="000000" w:fill="FFFFFF"/>
            <w:noWrap/>
            <w:vAlign w:val="bottom"/>
            <w:hideMark/>
          </w:tcPr>
          <w:p w14:paraId="2AE2FF35"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single" w:sz="4" w:space="0" w:color="auto"/>
            </w:tcBorders>
            <w:shd w:val="clear" w:color="000000" w:fill="FFFFFF"/>
            <w:noWrap/>
            <w:vAlign w:val="bottom"/>
            <w:hideMark/>
          </w:tcPr>
          <w:p w14:paraId="61654B53"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nil"/>
              <w:bottom w:val="nil"/>
              <w:right w:val="nil"/>
            </w:tcBorders>
            <w:shd w:val="clear" w:color="000000" w:fill="FFFFFF"/>
            <w:noWrap/>
            <w:vAlign w:val="bottom"/>
            <w:hideMark/>
          </w:tcPr>
          <w:p w14:paraId="06079C67"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nil"/>
            </w:tcBorders>
            <w:shd w:val="clear" w:color="000000" w:fill="FFFFFF"/>
            <w:noWrap/>
            <w:vAlign w:val="bottom"/>
            <w:hideMark/>
          </w:tcPr>
          <w:p w14:paraId="6D07C873"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single" w:sz="4" w:space="0" w:color="auto"/>
              <w:bottom w:val="nil"/>
              <w:right w:val="nil"/>
            </w:tcBorders>
            <w:shd w:val="clear" w:color="000000" w:fill="FFFFFF"/>
            <w:noWrap/>
            <w:vAlign w:val="bottom"/>
            <w:hideMark/>
          </w:tcPr>
          <w:p w14:paraId="5EA1C3FC"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871</w:t>
            </w:r>
          </w:p>
        </w:tc>
        <w:tc>
          <w:tcPr>
            <w:tcW w:w="960" w:type="dxa"/>
            <w:tcBorders>
              <w:top w:val="dotted" w:sz="4" w:space="0" w:color="auto"/>
              <w:left w:val="nil"/>
              <w:bottom w:val="nil"/>
              <w:right w:val="single" w:sz="4" w:space="0" w:color="auto"/>
            </w:tcBorders>
            <w:shd w:val="clear" w:color="000000" w:fill="FFFFFF"/>
            <w:noWrap/>
            <w:vAlign w:val="bottom"/>
            <w:hideMark/>
          </w:tcPr>
          <w:p w14:paraId="7EE87D13"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r w:rsidR="009B3CFB" w:rsidRPr="009B3CFB" w14:paraId="5C93C961"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550A0112"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7BD7F0C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63D931C"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3415A4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D31767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D99915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single" w:sz="4" w:space="0" w:color="auto"/>
            </w:tcBorders>
            <w:shd w:val="clear" w:color="000000" w:fill="FFFFFF"/>
            <w:noWrap/>
            <w:vAlign w:val="bottom"/>
            <w:hideMark/>
          </w:tcPr>
          <w:p w14:paraId="57686FBF"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7.0%</w:t>
            </w:r>
          </w:p>
        </w:tc>
      </w:tr>
      <w:tr w:rsidR="009B3CFB" w:rsidRPr="009B3CFB" w14:paraId="43AF0895"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2CA163A8"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4679009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B17A10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489680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6668B041"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593E940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800</w:t>
            </w:r>
          </w:p>
        </w:tc>
        <w:tc>
          <w:tcPr>
            <w:tcW w:w="960" w:type="dxa"/>
            <w:tcBorders>
              <w:top w:val="nil"/>
              <w:left w:val="nil"/>
              <w:bottom w:val="nil"/>
              <w:right w:val="single" w:sz="4" w:space="0" w:color="auto"/>
            </w:tcBorders>
            <w:shd w:val="clear" w:color="000000" w:fill="FFFFFF"/>
            <w:noWrap/>
            <w:vAlign w:val="bottom"/>
            <w:hideMark/>
          </w:tcPr>
          <w:p w14:paraId="50C2291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91.8%</w:t>
            </w:r>
          </w:p>
        </w:tc>
      </w:tr>
      <w:tr w:rsidR="009B3CFB" w:rsidRPr="009B3CFB" w14:paraId="67BAAEB9"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2CE922EF"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6EDE66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6FAC73A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5DE9C8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827911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70F5824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single" w:sz="4" w:space="0" w:color="auto"/>
            </w:tcBorders>
            <w:shd w:val="clear" w:color="000000" w:fill="FFFFFF"/>
            <w:noWrap/>
            <w:vAlign w:val="bottom"/>
            <w:hideMark/>
          </w:tcPr>
          <w:p w14:paraId="1593F214"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1.1%</w:t>
            </w:r>
          </w:p>
        </w:tc>
      </w:tr>
      <w:tr w:rsidR="009B3CFB" w:rsidRPr="009B3CFB" w14:paraId="3E335A4D" w14:textId="77777777" w:rsidTr="00FB0CE8">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7FCDD7A7" w14:textId="512E49C1"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xml:space="preserve">Finance &amp; Operations </w:t>
            </w:r>
          </w:p>
        </w:tc>
        <w:tc>
          <w:tcPr>
            <w:tcW w:w="960" w:type="dxa"/>
            <w:tcBorders>
              <w:top w:val="dotted" w:sz="4" w:space="0" w:color="auto"/>
              <w:left w:val="single" w:sz="4" w:space="0" w:color="auto"/>
              <w:bottom w:val="nil"/>
              <w:right w:val="nil"/>
            </w:tcBorders>
            <w:shd w:val="clear" w:color="000000" w:fill="FFFFFF"/>
            <w:noWrap/>
            <w:vAlign w:val="bottom"/>
            <w:hideMark/>
          </w:tcPr>
          <w:p w14:paraId="16D729D1"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576BEC0D"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624B803E"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0583BC58"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29DD2C13"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1051</w:t>
            </w:r>
          </w:p>
        </w:tc>
        <w:tc>
          <w:tcPr>
            <w:tcW w:w="960" w:type="dxa"/>
            <w:tcBorders>
              <w:top w:val="dotted" w:sz="4" w:space="0" w:color="auto"/>
              <w:left w:val="nil"/>
              <w:bottom w:val="nil"/>
              <w:right w:val="single" w:sz="4" w:space="0" w:color="auto"/>
            </w:tcBorders>
            <w:shd w:val="clear" w:color="000000" w:fill="FFFFFF"/>
            <w:noWrap/>
            <w:vAlign w:val="bottom"/>
            <w:hideMark/>
          </w:tcPr>
          <w:p w14:paraId="24F09FE8"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r w:rsidR="009B3CFB" w:rsidRPr="009B3CFB" w14:paraId="48AF28B0"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531C1FB4"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78F90D29"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57AD6C2"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48D838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3FABA1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4C1D01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single" w:sz="4" w:space="0" w:color="auto"/>
            </w:tcBorders>
            <w:shd w:val="clear" w:color="000000" w:fill="FFFFFF"/>
            <w:noWrap/>
            <w:vAlign w:val="bottom"/>
            <w:hideMark/>
          </w:tcPr>
          <w:p w14:paraId="2A598E2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4.5%</w:t>
            </w:r>
          </w:p>
        </w:tc>
      </w:tr>
      <w:tr w:rsidR="009B3CFB" w:rsidRPr="009B3CFB" w14:paraId="28DD137A"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02B8BC76"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0422AA2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0E63EE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C07551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057F44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69420B1F"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994</w:t>
            </w:r>
          </w:p>
        </w:tc>
        <w:tc>
          <w:tcPr>
            <w:tcW w:w="960" w:type="dxa"/>
            <w:tcBorders>
              <w:top w:val="nil"/>
              <w:left w:val="nil"/>
              <w:bottom w:val="nil"/>
              <w:right w:val="single" w:sz="4" w:space="0" w:color="auto"/>
            </w:tcBorders>
            <w:shd w:val="clear" w:color="000000" w:fill="FFFFFF"/>
            <w:noWrap/>
            <w:vAlign w:val="bottom"/>
            <w:hideMark/>
          </w:tcPr>
          <w:p w14:paraId="25B1963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94.6%</w:t>
            </w:r>
          </w:p>
        </w:tc>
      </w:tr>
      <w:tr w:rsidR="009B3CFB" w:rsidRPr="009B3CFB" w14:paraId="4A03F258"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4440F215"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A93E36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66879CB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B94F2F2"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1C392A8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8210CD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single" w:sz="4" w:space="0" w:color="auto"/>
            </w:tcBorders>
            <w:shd w:val="clear" w:color="000000" w:fill="FFFFFF"/>
            <w:noWrap/>
            <w:vAlign w:val="bottom"/>
            <w:hideMark/>
          </w:tcPr>
          <w:p w14:paraId="06F6ED8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1.0%</w:t>
            </w:r>
          </w:p>
        </w:tc>
      </w:tr>
      <w:tr w:rsidR="009B3CFB" w:rsidRPr="009B3CFB" w14:paraId="051941AC" w14:textId="77777777" w:rsidTr="00FB0CE8">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1474F5AF" w14:textId="77777777" w:rsidR="009B3CFB" w:rsidRPr="009B3CFB" w:rsidRDefault="009B3CFB" w:rsidP="009B3CFB">
            <w:pPr>
              <w:spacing w:after="0" w:line="240" w:lineRule="auto"/>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People Services</w:t>
            </w:r>
          </w:p>
        </w:tc>
        <w:tc>
          <w:tcPr>
            <w:tcW w:w="960" w:type="dxa"/>
            <w:tcBorders>
              <w:top w:val="dotted" w:sz="4" w:space="0" w:color="auto"/>
              <w:left w:val="single" w:sz="4" w:space="0" w:color="auto"/>
              <w:bottom w:val="nil"/>
              <w:right w:val="nil"/>
            </w:tcBorders>
            <w:shd w:val="clear" w:color="000000" w:fill="FFFFFF"/>
            <w:noWrap/>
            <w:vAlign w:val="bottom"/>
            <w:hideMark/>
          </w:tcPr>
          <w:p w14:paraId="6601FAA3"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74F924AA"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15008BB7"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50FCABFE"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085F182D"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111</w:t>
            </w:r>
          </w:p>
        </w:tc>
        <w:tc>
          <w:tcPr>
            <w:tcW w:w="960" w:type="dxa"/>
            <w:tcBorders>
              <w:top w:val="dotted" w:sz="4" w:space="0" w:color="auto"/>
              <w:left w:val="nil"/>
              <w:bottom w:val="nil"/>
              <w:right w:val="single" w:sz="4" w:space="0" w:color="auto"/>
            </w:tcBorders>
            <w:shd w:val="clear" w:color="000000" w:fill="FFFFFF"/>
            <w:noWrap/>
            <w:vAlign w:val="bottom"/>
            <w:hideMark/>
          </w:tcPr>
          <w:p w14:paraId="432F3536" w14:textId="77777777" w:rsidR="009B3CFB" w:rsidRPr="009B3CFB" w:rsidRDefault="009B3CFB" w:rsidP="009B3CF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B3CFB">
              <w:rPr>
                <w:rFonts w:asciiTheme="minorHAnsi" w:eastAsia="Times New Roman" w:hAnsiTheme="minorHAnsi" w:cs="Times New Roman"/>
                <w:b/>
                <w:bCs/>
                <w:color w:val="000000"/>
                <w:kern w:val="0"/>
                <w:szCs w:val="22"/>
                <w:lang w:eastAsia="en-GB"/>
                <w14:ligatures w14:val="none"/>
              </w:rPr>
              <w:t>100%</w:t>
            </w:r>
          </w:p>
        </w:tc>
      </w:tr>
      <w:tr w:rsidR="009B3CFB" w:rsidRPr="009B3CFB" w14:paraId="6CCD7F59"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34F909EC"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50FE838B"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F09390C"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FDE5B2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05AA555"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3085650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single" w:sz="4" w:space="0" w:color="auto"/>
            </w:tcBorders>
            <w:shd w:val="clear" w:color="000000" w:fill="FFFFFF"/>
            <w:noWrap/>
            <w:vAlign w:val="bottom"/>
            <w:hideMark/>
          </w:tcPr>
          <w:p w14:paraId="08818B6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8.1%</w:t>
            </w:r>
          </w:p>
        </w:tc>
      </w:tr>
      <w:tr w:rsidR="009B3CFB" w:rsidRPr="009B3CFB" w14:paraId="7B619CAB" w14:textId="77777777" w:rsidTr="00FB0CE8">
        <w:trPr>
          <w:trHeight w:val="300"/>
        </w:trPr>
        <w:tc>
          <w:tcPr>
            <w:tcW w:w="2394" w:type="dxa"/>
            <w:tcBorders>
              <w:top w:val="nil"/>
              <w:left w:val="single" w:sz="4" w:space="0" w:color="auto"/>
              <w:bottom w:val="nil"/>
              <w:right w:val="nil"/>
            </w:tcBorders>
            <w:shd w:val="clear" w:color="000000" w:fill="FFFFFF"/>
            <w:noWrap/>
            <w:vAlign w:val="bottom"/>
            <w:hideMark/>
          </w:tcPr>
          <w:p w14:paraId="229B7B7C"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41DD0B2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801BF7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61B3270"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C6AD65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9ADB7C6"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single" w:sz="4" w:space="0" w:color="auto"/>
            </w:tcBorders>
            <w:shd w:val="clear" w:color="000000" w:fill="FFFFFF"/>
            <w:noWrap/>
            <w:vAlign w:val="bottom"/>
            <w:hideMark/>
          </w:tcPr>
          <w:p w14:paraId="786FFD9E"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91.0%</w:t>
            </w:r>
          </w:p>
        </w:tc>
      </w:tr>
      <w:tr w:rsidR="009B3CFB" w:rsidRPr="009B3CFB" w14:paraId="57E62409" w14:textId="77777777" w:rsidTr="00FB0CE8">
        <w:trPr>
          <w:trHeight w:val="300"/>
        </w:trPr>
        <w:tc>
          <w:tcPr>
            <w:tcW w:w="2394" w:type="dxa"/>
            <w:tcBorders>
              <w:top w:val="nil"/>
              <w:left w:val="single" w:sz="4" w:space="0" w:color="auto"/>
              <w:bottom w:val="double" w:sz="6" w:space="0" w:color="auto"/>
              <w:right w:val="nil"/>
            </w:tcBorders>
            <w:shd w:val="clear" w:color="000000" w:fill="FFFFFF"/>
            <w:noWrap/>
            <w:vAlign w:val="bottom"/>
            <w:hideMark/>
          </w:tcPr>
          <w:p w14:paraId="6AC43924" w14:textId="77777777" w:rsidR="009B3CFB" w:rsidRPr="009B3CFB" w:rsidRDefault="009B3CFB" w:rsidP="009B3CFB">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04D0FF0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single" w:sz="4" w:space="0" w:color="auto"/>
            </w:tcBorders>
            <w:shd w:val="clear" w:color="000000" w:fill="FFFFFF"/>
            <w:noWrap/>
            <w:vAlign w:val="bottom"/>
            <w:hideMark/>
          </w:tcPr>
          <w:p w14:paraId="60D3BCFA"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3605A713"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11E75F18"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double" w:sz="6" w:space="0" w:color="auto"/>
              <w:right w:val="nil"/>
            </w:tcBorders>
            <w:shd w:val="clear" w:color="000000" w:fill="FFFFFF"/>
            <w:noWrap/>
            <w:vAlign w:val="bottom"/>
            <w:hideMark/>
          </w:tcPr>
          <w:p w14:paraId="7437D15D"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double" w:sz="6" w:space="0" w:color="auto"/>
              <w:right w:val="single" w:sz="4" w:space="0" w:color="auto"/>
            </w:tcBorders>
            <w:shd w:val="clear" w:color="000000" w:fill="FFFFFF"/>
            <w:noWrap/>
            <w:vAlign w:val="bottom"/>
            <w:hideMark/>
          </w:tcPr>
          <w:p w14:paraId="1C67DF17" w14:textId="77777777" w:rsidR="009B3CFB" w:rsidRPr="009B3CFB" w:rsidRDefault="009B3CFB" w:rsidP="009B3CFB">
            <w:pPr>
              <w:spacing w:after="0" w:line="240" w:lineRule="auto"/>
              <w:jc w:val="right"/>
              <w:rPr>
                <w:rFonts w:asciiTheme="minorHAnsi" w:eastAsia="Times New Roman" w:hAnsiTheme="minorHAnsi" w:cs="Times New Roman"/>
                <w:color w:val="000000"/>
                <w:kern w:val="0"/>
                <w:szCs w:val="22"/>
                <w:lang w:eastAsia="en-GB"/>
                <w14:ligatures w14:val="none"/>
              </w:rPr>
            </w:pPr>
            <w:r w:rsidRPr="009B3CFB">
              <w:rPr>
                <w:rFonts w:asciiTheme="minorHAnsi" w:eastAsia="Times New Roman" w:hAnsiTheme="minorHAnsi" w:cs="Times New Roman"/>
                <w:color w:val="000000"/>
                <w:kern w:val="0"/>
                <w:szCs w:val="22"/>
                <w:lang w:eastAsia="en-GB"/>
                <w14:ligatures w14:val="none"/>
              </w:rPr>
              <w:t>-</w:t>
            </w:r>
          </w:p>
        </w:tc>
      </w:tr>
    </w:tbl>
    <w:p w14:paraId="33B8B80E" w14:textId="77777777" w:rsidR="00C479B9" w:rsidRPr="007E2527" w:rsidRDefault="00C479B9" w:rsidP="000C68C1">
      <w:pPr>
        <w:rPr>
          <w:rFonts w:asciiTheme="minorHAnsi" w:hAnsiTheme="minorHAnsi"/>
          <w:b/>
          <w:bCs/>
          <w:szCs w:val="22"/>
        </w:rPr>
      </w:pPr>
    </w:p>
    <w:p w14:paraId="781B6475" w14:textId="0F644392" w:rsidR="00D369E1" w:rsidRPr="007E2527" w:rsidRDefault="00D369E1" w:rsidP="00D369E1">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disability status and mode of employment, 2025 (Full-time n=4,856; Part-time n=1,385)</w:t>
      </w:r>
    </w:p>
    <w:tbl>
      <w:tblPr>
        <w:tblW w:w="5938" w:type="dxa"/>
        <w:tblLayout w:type="fixed"/>
        <w:tblLook w:val="04A0" w:firstRow="1" w:lastRow="0" w:firstColumn="1" w:lastColumn="0" w:noHBand="0" w:noVBand="1"/>
      </w:tblPr>
      <w:tblGrid>
        <w:gridCol w:w="2098"/>
        <w:gridCol w:w="960"/>
        <w:gridCol w:w="960"/>
        <w:gridCol w:w="960"/>
        <w:gridCol w:w="960"/>
      </w:tblGrid>
      <w:tr w:rsidR="00E848F5" w:rsidRPr="00E848F5" w14:paraId="493DF02C" w14:textId="77777777" w:rsidTr="00F20572">
        <w:trPr>
          <w:trHeight w:val="300"/>
        </w:trPr>
        <w:tc>
          <w:tcPr>
            <w:tcW w:w="2098" w:type="dxa"/>
            <w:tcBorders>
              <w:top w:val="single" w:sz="4" w:space="0" w:color="auto"/>
              <w:left w:val="single" w:sz="4" w:space="0" w:color="auto"/>
              <w:bottom w:val="nil"/>
              <w:right w:val="nil"/>
            </w:tcBorders>
            <w:shd w:val="clear" w:color="000000" w:fill="FFFFFF"/>
            <w:noWrap/>
            <w:vAlign w:val="bottom"/>
            <w:hideMark/>
          </w:tcPr>
          <w:p w14:paraId="1DEC5CBA" w14:textId="77777777" w:rsidR="00E848F5" w:rsidRPr="00E848F5" w:rsidRDefault="00E848F5" w:rsidP="00E848F5">
            <w:pPr>
              <w:spacing w:after="0" w:line="240" w:lineRule="auto"/>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FAE1F58" w14:textId="77777777" w:rsidR="00E848F5" w:rsidRPr="00E848F5" w:rsidRDefault="00E848F5" w:rsidP="00E848F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Full-time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5F5294B" w14:textId="77777777" w:rsidR="00E848F5" w:rsidRPr="00E848F5" w:rsidRDefault="00E848F5" w:rsidP="00E848F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Part-time</w:t>
            </w:r>
          </w:p>
        </w:tc>
      </w:tr>
      <w:tr w:rsidR="00E848F5" w:rsidRPr="00E848F5" w14:paraId="3D3D2DD6" w14:textId="77777777" w:rsidTr="00F20572">
        <w:trPr>
          <w:trHeight w:val="300"/>
        </w:trPr>
        <w:tc>
          <w:tcPr>
            <w:tcW w:w="2098" w:type="dxa"/>
            <w:tcBorders>
              <w:top w:val="nil"/>
              <w:left w:val="single" w:sz="4" w:space="0" w:color="auto"/>
              <w:bottom w:val="single" w:sz="4" w:space="0" w:color="auto"/>
              <w:right w:val="nil"/>
            </w:tcBorders>
            <w:shd w:val="clear" w:color="000000" w:fill="FFFFFF"/>
            <w:noWrap/>
            <w:vAlign w:val="bottom"/>
            <w:hideMark/>
          </w:tcPr>
          <w:p w14:paraId="68339E3A"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1F49F389"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31087CA"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C3632FD"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64EEF40"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r>
      <w:tr w:rsidR="00E848F5" w:rsidRPr="00E848F5" w14:paraId="4547DA82"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6F143E6F"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76AC2467"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222</w:t>
            </w:r>
          </w:p>
        </w:tc>
        <w:tc>
          <w:tcPr>
            <w:tcW w:w="960" w:type="dxa"/>
            <w:tcBorders>
              <w:top w:val="nil"/>
              <w:left w:val="nil"/>
              <w:bottom w:val="nil"/>
              <w:right w:val="single" w:sz="4" w:space="0" w:color="auto"/>
            </w:tcBorders>
            <w:shd w:val="clear" w:color="000000" w:fill="FFFFFF"/>
            <w:noWrap/>
            <w:vAlign w:val="bottom"/>
            <w:hideMark/>
          </w:tcPr>
          <w:p w14:paraId="44FD7BD4"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4.6%</w:t>
            </w:r>
          </w:p>
        </w:tc>
        <w:tc>
          <w:tcPr>
            <w:tcW w:w="960" w:type="dxa"/>
            <w:tcBorders>
              <w:top w:val="nil"/>
              <w:left w:val="nil"/>
              <w:bottom w:val="nil"/>
              <w:right w:val="nil"/>
            </w:tcBorders>
            <w:shd w:val="clear" w:color="000000" w:fill="FFFFFF"/>
            <w:noWrap/>
            <w:vAlign w:val="bottom"/>
            <w:hideMark/>
          </w:tcPr>
          <w:p w14:paraId="4B8449F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92</w:t>
            </w:r>
          </w:p>
        </w:tc>
        <w:tc>
          <w:tcPr>
            <w:tcW w:w="960" w:type="dxa"/>
            <w:tcBorders>
              <w:top w:val="nil"/>
              <w:left w:val="nil"/>
              <w:bottom w:val="nil"/>
              <w:right w:val="single" w:sz="4" w:space="0" w:color="auto"/>
            </w:tcBorders>
            <w:shd w:val="clear" w:color="000000" w:fill="FFFFFF"/>
            <w:noWrap/>
            <w:vAlign w:val="bottom"/>
            <w:hideMark/>
          </w:tcPr>
          <w:p w14:paraId="2D1622F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6.6%</w:t>
            </w:r>
          </w:p>
        </w:tc>
      </w:tr>
      <w:tr w:rsidR="00E848F5" w:rsidRPr="00E848F5" w14:paraId="348125DF"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70968E55"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5ADF3C4D"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4580</w:t>
            </w:r>
          </w:p>
        </w:tc>
        <w:tc>
          <w:tcPr>
            <w:tcW w:w="960" w:type="dxa"/>
            <w:tcBorders>
              <w:top w:val="nil"/>
              <w:left w:val="nil"/>
              <w:bottom w:val="nil"/>
              <w:right w:val="single" w:sz="4" w:space="0" w:color="auto"/>
            </w:tcBorders>
            <w:shd w:val="clear" w:color="000000" w:fill="FFFFFF"/>
            <w:noWrap/>
            <w:vAlign w:val="bottom"/>
            <w:hideMark/>
          </w:tcPr>
          <w:p w14:paraId="411945B1"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94.3%</w:t>
            </w:r>
          </w:p>
        </w:tc>
        <w:tc>
          <w:tcPr>
            <w:tcW w:w="960" w:type="dxa"/>
            <w:tcBorders>
              <w:top w:val="nil"/>
              <w:left w:val="nil"/>
              <w:bottom w:val="nil"/>
              <w:right w:val="nil"/>
            </w:tcBorders>
            <w:shd w:val="clear" w:color="000000" w:fill="FFFFFF"/>
            <w:noWrap/>
            <w:vAlign w:val="bottom"/>
            <w:hideMark/>
          </w:tcPr>
          <w:p w14:paraId="01936A7A"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1285</w:t>
            </w:r>
          </w:p>
        </w:tc>
        <w:tc>
          <w:tcPr>
            <w:tcW w:w="960" w:type="dxa"/>
            <w:tcBorders>
              <w:top w:val="nil"/>
              <w:left w:val="nil"/>
              <w:bottom w:val="nil"/>
              <w:right w:val="single" w:sz="4" w:space="0" w:color="auto"/>
            </w:tcBorders>
            <w:shd w:val="clear" w:color="000000" w:fill="FFFFFF"/>
            <w:noWrap/>
            <w:vAlign w:val="bottom"/>
            <w:hideMark/>
          </w:tcPr>
          <w:p w14:paraId="0F686F43"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92.8%</w:t>
            </w:r>
          </w:p>
        </w:tc>
      </w:tr>
      <w:tr w:rsidR="00E848F5" w:rsidRPr="00E848F5" w14:paraId="341E5E19"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5996BAC2"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6878566"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54</w:t>
            </w:r>
          </w:p>
        </w:tc>
        <w:tc>
          <w:tcPr>
            <w:tcW w:w="960" w:type="dxa"/>
            <w:tcBorders>
              <w:top w:val="nil"/>
              <w:left w:val="nil"/>
              <w:bottom w:val="nil"/>
              <w:right w:val="single" w:sz="4" w:space="0" w:color="auto"/>
            </w:tcBorders>
            <w:shd w:val="clear" w:color="000000" w:fill="FFFFFF"/>
            <w:noWrap/>
            <w:vAlign w:val="bottom"/>
            <w:hideMark/>
          </w:tcPr>
          <w:p w14:paraId="18155ED7"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nil"/>
            </w:tcBorders>
            <w:shd w:val="clear" w:color="000000" w:fill="FFFFFF"/>
            <w:noWrap/>
            <w:vAlign w:val="bottom"/>
            <w:hideMark/>
          </w:tcPr>
          <w:p w14:paraId="06E42E3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8</w:t>
            </w:r>
          </w:p>
        </w:tc>
        <w:tc>
          <w:tcPr>
            <w:tcW w:w="960" w:type="dxa"/>
            <w:tcBorders>
              <w:top w:val="nil"/>
              <w:left w:val="nil"/>
              <w:bottom w:val="nil"/>
              <w:right w:val="single" w:sz="4" w:space="0" w:color="auto"/>
            </w:tcBorders>
            <w:shd w:val="clear" w:color="000000" w:fill="FFFFFF"/>
            <w:noWrap/>
            <w:vAlign w:val="bottom"/>
            <w:hideMark/>
          </w:tcPr>
          <w:p w14:paraId="7ACD616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0.6%</w:t>
            </w:r>
          </w:p>
        </w:tc>
      </w:tr>
      <w:tr w:rsidR="00E848F5" w:rsidRPr="00E848F5" w14:paraId="7D21B4CE" w14:textId="77777777" w:rsidTr="00F20572">
        <w:trPr>
          <w:trHeight w:val="315"/>
        </w:trPr>
        <w:tc>
          <w:tcPr>
            <w:tcW w:w="2098" w:type="dxa"/>
            <w:tcBorders>
              <w:top w:val="dotted" w:sz="4" w:space="0" w:color="auto"/>
              <w:left w:val="single" w:sz="4" w:space="0" w:color="auto"/>
              <w:bottom w:val="double" w:sz="6" w:space="0" w:color="auto"/>
              <w:right w:val="nil"/>
            </w:tcBorders>
            <w:shd w:val="clear" w:color="000000" w:fill="FFFFFF"/>
            <w:noWrap/>
            <w:vAlign w:val="bottom"/>
            <w:hideMark/>
          </w:tcPr>
          <w:p w14:paraId="0C0CA90C" w14:textId="77777777" w:rsidR="00E848F5" w:rsidRPr="00E848F5" w:rsidRDefault="00E848F5" w:rsidP="00E848F5">
            <w:pPr>
              <w:spacing w:after="0" w:line="240" w:lineRule="auto"/>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CBDDB2B"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4856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A8DE818"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10DDB01"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B97799F"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100%</w:t>
            </w:r>
          </w:p>
        </w:tc>
      </w:tr>
    </w:tbl>
    <w:p w14:paraId="0DEF517F" w14:textId="77777777" w:rsidR="00D9746B" w:rsidRPr="007E2527" w:rsidRDefault="00D9746B" w:rsidP="00D9746B">
      <w:pPr>
        <w:rPr>
          <w:rFonts w:asciiTheme="minorHAnsi" w:hAnsiTheme="minorHAnsi"/>
          <w:b/>
          <w:bCs/>
          <w:szCs w:val="22"/>
        </w:rPr>
      </w:pPr>
    </w:p>
    <w:p w14:paraId="4106F1B6" w14:textId="77777777" w:rsidR="007E2527" w:rsidRPr="007E2527" w:rsidRDefault="007E2527" w:rsidP="00D9746B">
      <w:pPr>
        <w:rPr>
          <w:rFonts w:asciiTheme="minorHAnsi" w:hAnsiTheme="minorHAnsi"/>
          <w:b/>
          <w:bCs/>
          <w:szCs w:val="22"/>
        </w:rPr>
      </w:pPr>
    </w:p>
    <w:p w14:paraId="50A0AE4D" w14:textId="003C6422" w:rsidR="00D9746B" w:rsidRPr="007E2527" w:rsidRDefault="00D9746B" w:rsidP="00D369E1">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disability status and grade, 2025 (n=2,860)</w:t>
      </w:r>
    </w:p>
    <w:tbl>
      <w:tblPr>
        <w:tblW w:w="11698" w:type="dxa"/>
        <w:tblLayout w:type="fixed"/>
        <w:tblLook w:val="04A0" w:firstRow="1" w:lastRow="0" w:firstColumn="1" w:lastColumn="0" w:noHBand="0" w:noVBand="1"/>
      </w:tblPr>
      <w:tblGrid>
        <w:gridCol w:w="2098"/>
        <w:gridCol w:w="960"/>
        <w:gridCol w:w="960"/>
        <w:gridCol w:w="960"/>
        <w:gridCol w:w="960"/>
        <w:gridCol w:w="960"/>
        <w:gridCol w:w="960"/>
        <w:gridCol w:w="960"/>
        <w:gridCol w:w="960"/>
        <w:gridCol w:w="960"/>
        <w:gridCol w:w="960"/>
      </w:tblGrid>
      <w:tr w:rsidR="00E848F5" w:rsidRPr="00E848F5" w14:paraId="597A365E" w14:textId="77777777" w:rsidTr="00F20572">
        <w:trPr>
          <w:trHeight w:val="300"/>
        </w:trPr>
        <w:tc>
          <w:tcPr>
            <w:tcW w:w="2098" w:type="dxa"/>
            <w:tcBorders>
              <w:top w:val="single" w:sz="4" w:space="0" w:color="auto"/>
              <w:left w:val="single" w:sz="4" w:space="0" w:color="auto"/>
              <w:bottom w:val="nil"/>
              <w:right w:val="nil"/>
            </w:tcBorders>
            <w:shd w:val="clear" w:color="000000" w:fill="FFFFFF"/>
            <w:noWrap/>
            <w:vAlign w:val="bottom"/>
            <w:hideMark/>
          </w:tcPr>
          <w:p w14:paraId="46FFEC1C" w14:textId="77777777" w:rsidR="00E848F5" w:rsidRPr="00E848F5" w:rsidRDefault="00E848F5" w:rsidP="00E848F5">
            <w:pPr>
              <w:spacing w:after="0" w:line="240" w:lineRule="auto"/>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311D126" w14:textId="77777777" w:rsidR="00E848F5" w:rsidRPr="00E848F5" w:rsidRDefault="00E848F5" w:rsidP="00E848F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Grade E</w:t>
            </w:r>
          </w:p>
        </w:tc>
        <w:tc>
          <w:tcPr>
            <w:tcW w:w="1920" w:type="dxa"/>
            <w:gridSpan w:val="2"/>
            <w:tcBorders>
              <w:top w:val="single" w:sz="4" w:space="0" w:color="auto"/>
              <w:left w:val="nil"/>
              <w:bottom w:val="nil"/>
              <w:right w:val="nil"/>
            </w:tcBorders>
            <w:shd w:val="clear" w:color="000000" w:fill="FFFFFF"/>
            <w:noWrap/>
            <w:vAlign w:val="bottom"/>
            <w:hideMark/>
          </w:tcPr>
          <w:p w14:paraId="3D919CFC" w14:textId="77777777" w:rsidR="00E848F5" w:rsidRPr="00E848F5" w:rsidRDefault="00E848F5" w:rsidP="00E848F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64044E5" w14:textId="77777777" w:rsidR="00E848F5" w:rsidRPr="00E848F5" w:rsidRDefault="00E848F5" w:rsidP="00E848F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3A9FB466" w14:textId="77777777" w:rsidR="00E848F5" w:rsidRPr="00E848F5" w:rsidRDefault="00E848F5" w:rsidP="00E848F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BD8712B" w14:textId="77777777" w:rsidR="00E848F5" w:rsidRPr="00E848F5" w:rsidRDefault="00E848F5" w:rsidP="00E848F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Grade I</w:t>
            </w:r>
          </w:p>
        </w:tc>
      </w:tr>
      <w:tr w:rsidR="00E848F5" w:rsidRPr="007E2527" w14:paraId="4A0331E5" w14:textId="77777777" w:rsidTr="00F20572">
        <w:trPr>
          <w:trHeight w:val="300"/>
        </w:trPr>
        <w:tc>
          <w:tcPr>
            <w:tcW w:w="2098" w:type="dxa"/>
            <w:tcBorders>
              <w:top w:val="nil"/>
              <w:left w:val="single" w:sz="4" w:space="0" w:color="auto"/>
              <w:bottom w:val="single" w:sz="4" w:space="0" w:color="auto"/>
              <w:right w:val="nil"/>
            </w:tcBorders>
            <w:shd w:val="clear" w:color="000000" w:fill="FFFFFF"/>
            <w:noWrap/>
            <w:vAlign w:val="bottom"/>
            <w:hideMark/>
          </w:tcPr>
          <w:p w14:paraId="40849362"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3916EB45"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F4C99A5"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8AF3823"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50997D0"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C120592"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A6C6105"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1AD2D263"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4DDE414"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F838B02"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478D153" w14:textId="77777777" w:rsidR="00E848F5" w:rsidRPr="00E848F5" w:rsidRDefault="00E848F5" w:rsidP="00E848F5">
            <w:pPr>
              <w:spacing w:after="0" w:line="240" w:lineRule="auto"/>
              <w:jc w:val="center"/>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r>
      <w:tr w:rsidR="00E848F5" w:rsidRPr="007E2527" w14:paraId="51A526BC"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779E08BD"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Disabled</w:t>
            </w:r>
          </w:p>
        </w:tc>
        <w:tc>
          <w:tcPr>
            <w:tcW w:w="960" w:type="dxa"/>
            <w:tcBorders>
              <w:top w:val="single" w:sz="4" w:space="0" w:color="auto"/>
              <w:left w:val="single" w:sz="4" w:space="0" w:color="auto"/>
              <w:bottom w:val="nil"/>
              <w:right w:val="nil"/>
            </w:tcBorders>
            <w:shd w:val="clear" w:color="000000" w:fill="FFFFFF"/>
            <w:noWrap/>
            <w:vAlign w:val="bottom"/>
            <w:hideMark/>
          </w:tcPr>
          <w:p w14:paraId="04C21FBE"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264870DA"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c>
          <w:tcPr>
            <w:tcW w:w="960" w:type="dxa"/>
            <w:tcBorders>
              <w:top w:val="single" w:sz="4" w:space="0" w:color="auto"/>
              <w:left w:val="single" w:sz="4" w:space="0" w:color="auto"/>
              <w:bottom w:val="nil"/>
              <w:right w:val="nil"/>
            </w:tcBorders>
            <w:shd w:val="clear" w:color="000000" w:fill="FFFFFF"/>
            <w:noWrap/>
            <w:vAlign w:val="bottom"/>
            <w:hideMark/>
          </w:tcPr>
          <w:p w14:paraId="441E10D8"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single" w:sz="4" w:space="0" w:color="auto"/>
            </w:tcBorders>
            <w:shd w:val="clear" w:color="000000" w:fill="FFFFFF"/>
            <w:noWrap/>
            <w:vAlign w:val="bottom"/>
            <w:hideMark/>
          </w:tcPr>
          <w:p w14:paraId="50790A68"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4.4%</w:t>
            </w:r>
          </w:p>
        </w:tc>
        <w:tc>
          <w:tcPr>
            <w:tcW w:w="960" w:type="dxa"/>
            <w:tcBorders>
              <w:top w:val="single" w:sz="4" w:space="0" w:color="auto"/>
              <w:left w:val="nil"/>
              <w:bottom w:val="nil"/>
              <w:right w:val="nil"/>
            </w:tcBorders>
            <w:shd w:val="clear" w:color="000000" w:fill="FFFFFF"/>
            <w:noWrap/>
            <w:vAlign w:val="bottom"/>
            <w:hideMark/>
          </w:tcPr>
          <w:p w14:paraId="4E910CC0"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34</w:t>
            </w:r>
          </w:p>
        </w:tc>
        <w:tc>
          <w:tcPr>
            <w:tcW w:w="960" w:type="dxa"/>
            <w:tcBorders>
              <w:top w:val="nil"/>
              <w:left w:val="nil"/>
              <w:bottom w:val="nil"/>
              <w:right w:val="nil"/>
            </w:tcBorders>
            <w:shd w:val="clear" w:color="000000" w:fill="FFFFFF"/>
            <w:noWrap/>
            <w:vAlign w:val="bottom"/>
            <w:hideMark/>
          </w:tcPr>
          <w:p w14:paraId="2DA2FAD7"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5.3%</w:t>
            </w:r>
          </w:p>
        </w:tc>
        <w:tc>
          <w:tcPr>
            <w:tcW w:w="960" w:type="dxa"/>
            <w:tcBorders>
              <w:top w:val="single" w:sz="4" w:space="0" w:color="auto"/>
              <w:left w:val="single" w:sz="4" w:space="0" w:color="auto"/>
              <w:bottom w:val="nil"/>
              <w:right w:val="nil"/>
            </w:tcBorders>
            <w:shd w:val="clear" w:color="000000" w:fill="FFFFFF"/>
            <w:noWrap/>
            <w:vAlign w:val="bottom"/>
            <w:hideMark/>
          </w:tcPr>
          <w:p w14:paraId="607DE2D2"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single" w:sz="4" w:space="0" w:color="auto"/>
            </w:tcBorders>
            <w:shd w:val="clear" w:color="000000" w:fill="FFFFFF"/>
            <w:noWrap/>
            <w:vAlign w:val="bottom"/>
            <w:hideMark/>
          </w:tcPr>
          <w:p w14:paraId="58736E86"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4.1%</w:t>
            </w:r>
          </w:p>
        </w:tc>
        <w:tc>
          <w:tcPr>
            <w:tcW w:w="960" w:type="dxa"/>
            <w:tcBorders>
              <w:top w:val="single" w:sz="4" w:space="0" w:color="auto"/>
              <w:left w:val="nil"/>
              <w:bottom w:val="nil"/>
              <w:right w:val="nil"/>
            </w:tcBorders>
            <w:shd w:val="clear" w:color="000000" w:fill="FFFFFF"/>
            <w:noWrap/>
            <w:vAlign w:val="bottom"/>
            <w:hideMark/>
          </w:tcPr>
          <w:p w14:paraId="5F63FB8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32</w:t>
            </w:r>
          </w:p>
        </w:tc>
        <w:tc>
          <w:tcPr>
            <w:tcW w:w="960" w:type="dxa"/>
            <w:tcBorders>
              <w:top w:val="nil"/>
              <w:left w:val="nil"/>
              <w:bottom w:val="nil"/>
              <w:right w:val="single" w:sz="4" w:space="0" w:color="auto"/>
            </w:tcBorders>
            <w:shd w:val="clear" w:color="000000" w:fill="FFFFFF"/>
            <w:noWrap/>
            <w:vAlign w:val="bottom"/>
            <w:hideMark/>
          </w:tcPr>
          <w:p w14:paraId="19B50C4A"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4.3%</w:t>
            </w:r>
          </w:p>
        </w:tc>
      </w:tr>
      <w:tr w:rsidR="00E848F5" w:rsidRPr="007E2527" w14:paraId="7D3FAACA"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47CBC872"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6FD5A88F"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nil"/>
            </w:tcBorders>
            <w:shd w:val="clear" w:color="000000" w:fill="FFFFFF"/>
            <w:noWrap/>
            <w:vAlign w:val="bottom"/>
            <w:hideMark/>
          </w:tcPr>
          <w:p w14:paraId="72B06C68"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96.2%</w:t>
            </w:r>
          </w:p>
        </w:tc>
        <w:tc>
          <w:tcPr>
            <w:tcW w:w="960" w:type="dxa"/>
            <w:tcBorders>
              <w:top w:val="nil"/>
              <w:left w:val="single" w:sz="4" w:space="0" w:color="auto"/>
              <w:bottom w:val="nil"/>
              <w:right w:val="nil"/>
            </w:tcBorders>
            <w:shd w:val="clear" w:color="000000" w:fill="FFFFFF"/>
            <w:noWrap/>
            <w:vAlign w:val="bottom"/>
            <w:hideMark/>
          </w:tcPr>
          <w:p w14:paraId="753BD8B9"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891</w:t>
            </w:r>
          </w:p>
        </w:tc>
        <w:tc>
          <w:tcPr>
            <w:tcW w:w="960" w:type="dxa"/>
            <w:tcBorders>
              <w:top w:val="nil"/>
              <w:left w:val="nil"/>
              <w:bottom w:val="nil"/>
              <w:right w:val="single" w:sz="4" w:space="0" w:color="auto"/>
            </w:tcBorders>
            <w:shd w:val="clear" w:color="000000" w:fill="FFFFFF"/>
            <w:noWrap/>
            <w:vAlign w:val="bottom"/>
            <w:hideMark/>
          </w:tcPr>
          <w:p w14:paraId="13F636A8"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94.1%</w:t>
            </w:r>
          </w:p>
        </w:tc>
        <w:tc>
          <w:tcPr>
            <w:tcW w:w="960" w:type="dxa"/>
            <w:tcBorders>
              <w:top w:val="nil"/>
              <w:left w:val="nil"/>
              <w:bottom w:val="nil"/>
              <w:right w:val="nil"/>
            </w:tcBorders>
            <w:shd w:val="clear" w:color="000000" w:fill="FFFFFF"/>
            <w:noWrap/>
            <w:vAlign w:val="bottom"/>
            <w:hideMark/>
          </w:tcPr>
          <w:p w14:paraId="679B91D6"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593</w:t>
            </w:r>
          </w:p>
        </w:tc>
        <w:tc>
          <w:tcPr>
            <w:tcW w:w="960" w:type="dxa"/>
            <w:tcBorders>
              <w:top w:val="nil"/>
              <w:left w:val="nil"/>
              <w:bottom w:val="nil"/>
              <w:right w:val="nil"/>
            </w:tcBorders>
            <w:shd w:val="clear" w:color="000000" w:fill="FFFFFF"/>
            <w:noWrap/>
            <w:vAlign w:val="bottom"/>
            <w:hideMark/>
          </w:tcPr>
          <w:p w14:paraId="5636B188"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93.2%</w:t>
            </w:r>
          </w:p>
        </w:tc>
        <w:tc>
          <w:tcPr>
            <w:tcW w:w="960" w:type="dxa"/>
            <w:tcBorders>
              <w:top w:val="nil"/>
              <w:left w:val="single" w:sz="4" w:space="0" w:color="auto"/>
              <w:bottom w:val="nil"/>
              <w:right w:val="nil"/>
            </w:tcBorders>
            <w:shd w:val="clear" w:color="000000" w:fill="FFFFFF"/>
            <w:noWrap/>
            <w:vAlign w:val="bottom"/>
            <w:hideMark/>
          </w:tcPr>
          <w:p w14:paraId="0B4592BD"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489</w:t>
            </w:r>
          </w:p>
        </w:tc>
        <w:tc>
          <w:tcPr>
            <w:tcW w:w="960" w:type="dxa"/>
            <w:tcBorders>
              <w:top w:val="nil"/>
              <w:left w:val="nil"/>
              <w:bottom w:val="nil"/>
              <w:right w:val="single" w:sz="4" w:space="0" w:color="auto"/>
            </w:tcBorders>
            <w:shd w:val="clear" w:color="000000" w:fill="FFFFFF"/>
            <w:noWrap/>
            <w:vAlign w:val="bottom"/>
            <w:hideMark/>
          </w:tcPr>
          <w:p w14:paraId="071B187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95.7%</w:t>
            </w:r>
          </w:p>
        </w:tc>
        <w:tc>
          <w:tcPr>
            <w:tcW w:w="960" w:type="dxa"/>
            <w:tcBorders>
              <w:top w:val="nil"/>
              <w:left w:val="nil"/>
              <w:bottom w:val="nil"/>
              <w:right w:val="nil"/>
            </w:tcBorders>
            <w:shd w:val="clear" w:color="000000" w:fill="FFFFFF"/>
            <w:noWrap/>
            <w:vAlign w:val="bottom"/>
            <w:hideMark/>
          </w:tcPr>
          <w:p w14:paraId="3585F208"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704</w:t>
            </w:r>
          </w:p>
        </w:tc>
        <w:tc>
          <w:tcPr>
            <w:tcW w:w="960" w:type="dxa"/>
            <w:tcBorders>
              <w:top w:val="nil"/>
              <w:left w:val="nil"/>
              <w:bottom w:val="nil"/>
              <w:right w:val="single" w:sz="4" w:space="0" w:color="auto"/>
            </w:tcBorders>
            <w:shd w:val="clear" w:color="000000" w:fill="FFFFFF"/>
            <w:noWrap/>
            <w:vAlign w:val="bottom"/>
            <w:hideMark/>
          </w:tcPr>
          <w:p w14:paraId="6EA2F937"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95.1%</w:t>
            </w:r>
          </w:p>
        </w:tc>
      </w:tr>
      <w:tr w:rsidR="00E848F5" w:rsidRPr="007E2527" w14:paraId="7FA0F1A9"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0E87F24F"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0677BF9"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D0BA691" w14:textId="77777777" w:rsidR="00E848F5" w:rsidRPr="00E848F5" w:rsidRDefault="00E848F5" w:rsidP="00E848F5">
            <w:pPr>
              <w:spacing w:after="0" w:line="240" w:lineRule="auto"/>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730201D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14</w:t>
            </w:r>
          </w:p>
        </w:tc>
        <w:tc>
          <w:tcPr>
            <w:tcW w:w="960" w:type="dxa"/>
            <w:tcBorders>
              <w:top w:val="nil"/>
              <w:left w:val="nil"/>
              <w:bottom w:val="nil"/>
              <w:right w:val="single" w:sz="4" w:space="0" w:color="auto"/>
            </w:tcBorders>
            <w:shd w:val="clear" w:color="000000" w:fill="FFFFFF"/>
            <w:noWrap/>
            <w:vAlign w:val="bottom"/>
            <w:hideMark/>
          </w:tcPr>
          <w:p w14:paraId="2F0D3DA5"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1.5%</w:t>
            </w:r>
          </w:p>
        </w:tc>
        <w:tc>
          <w:tcPr>
            <w:tcW w:w="960" w:type="dxa"/>
            <w:tcBorders>
              <w:top w:val="nil"/>
              <w:left w:val="nil"/>
              <w:bottom w:val="nil"/>
              <w:right w:val="nil"/>
            </w:tcBorders>
            <w:shd w:val="clear" w:color="000000" w:fill="FFFFFF"/>
            <w:noWrap/>
            <w:vAlign w:val="bottom"/>
            <w:hideMark/>
          </w:tcPr>
          <w:p w14:paraId="2A02A0C2"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nil"/>
            </w:tcBorders>
            <w:shd w:val="clear" w:color="000000" w:fill="FFFFFF"/>
            <w:noWrap/>
            <w:vAlign w:val="bottom"/>
            <w:hideMark/>
          </w:tcPr>
          <w:p w14:paraId="41DE06B2"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1.4%</w:t>
            </w:r>
          </w:p>
        </w:tc>
        <w:tc>
          <w:tcPr>
            <w:tcW w:w="960" w:type="dxa"/>
            <w:tcBorders>
              <w:top w:val="nil"/>
              <w:left w:val="single" w:sz="4" w:space="0" w:color="auto"/>
              <w:bottom w:val="nil"/>
              <w:right w:val="nil"/>
            </w:tcBorders>
            <w:shd w:val="clear" w:color="000000" w:fill="FFFFFF"/>
            <w:noWrap/>
            <w:vAlign w:val="bottom"/>
            <w:hideMark/>
          </w:tcPr>
          <w:p w14:paraId="7DB3BACB"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311FFAB"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148A4221"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7179AF9" w14:textId="77777777" w:rsidR="00E848F5" w:rsidRPr="00E848F5" w:rsidRDefault="00E848F5" w:rsidP="00E848F5">
            <w:pPr>
              <w:spacing w:after="0" w:line="240" w:lineRule="auto"/>
              <w:jc w:val="right"/>
              <w:rPr>
                <w:rFonts w:asciiTheme="minorHAnsi" w:eastAsia="Times New Roman" w:hAnsiTheme="minorHAnsi" w:cs="Times New Roman"/>
                <w:color w:val="000000"/>
                <w:kern w:val="0"/>
                <w:szCs w:val="22"/>
                <w:lang w:eastAsia="en-GB"/>
                <w14:ligatures w14:val="none"/>
              </w:rPr>
            </w:pPr>
            <w:r w:rsidRPr="00E848F5">
              <w:rPr>
                <w:rFonts w:asciiTheme="minorHAnsi" w:eastAsia="Times New Roman" w:hAnsiTheme="minorHAnsi" w:cs="Times New Roman"/>
                <w:color w:val="000000"/>
                <w:kern w:val="0"/>
                <w:szCs w:val="22"/>
                <w:lang w:eastAsia="en-GB"/>
                <w14:ligatures w14:val="none"/>
              </w:rPr>
              <w:t>-</w:t>
            </w:r>
          </w:p>
        </w:tc>
      </w:tr>
      <w:tr w:rsidR="00E848F5" w:rsidRPr="007E2527" w14:paraId="64424E8E" w14:textId="77777777" w:rsidTr="00F20572">
        <w:trPr>
          <w:trHeight w:val="315"/>
        </w:trPr>
        <w:tc>
          <w:tcPr>
            <w:tcW w:w="2098" w:type="dxa"/>
            <w:tcBorders>
              <w:top w:val="dotted" w:sz="4" w:space="0" w:color="auto"/>
              <w:left w:val="single" w:sz="4" w:space="0" w:color="auto"/>
              <w:bottom w:val="double" w:sz="6" w:space="0" w:color="auto"/>
              <w:right w:val="nil"/>
            </w:tcBorders>
            <w:shd w:val="clear" w:color="000000" w:fill="FFFFFF"/>
            <w:noWrap/>
            <w:vAlign w:val="bottom"/>
            <w:hideMark/>
          </w:tcPr>
          <w:p w14:paraId="5C63CADE" w14:textId="77777777" w:rsidR="00E848F5" w:rsidRPr="00E848F5" w:rsidRDefault="00E848F5" w:rsidP="00E848F5">
            <w:pPr>
              <w:spacing w:after="0" w:line="240" w:lineRule="auto"/>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B6A84D4"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26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076C595"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786B5AE"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947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5F491CD"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28A4B27"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636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E71DD60"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1468D49"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511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AA6E218"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F3C6B84"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740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BF58029" w14:textId="77777777" w:rsidR="00E848F5" w:rsidRPr="00E848F5" w:rsidRDefault="00E848F5" w:rsidP="00E848F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848F5">
              <w:rPr>
                <w:rFonts w:asciiTheme="minorHAnsi" w:eastAsia="Times New Roman" w:hAnsiTheme="minorHAnsi" w:cs="Times New Roman"/>
                <w:b/>
                <w:bCs/>
                <w:color w:val="000000"/>
                <w:kern w:val="0"/>
                <w:szCs w:val="22"/>
                <w:lang w:eastAsia="en-GB"/>
                <w14:ligatures w14:val="none"/>
              </w:rPr>
              <w:t>100%</w:t>
            </w:r>
          </w:p>
        </w:tc>
      </w:tr>
    </w:tbl>
    <w:p w14:paraId="3749E2BF" w14:textId="77777777" w:rsidR="00E848F5" w:rsidRPr="007E2527" w:rsidRDefault="00E848F5" w:rsidP="00E848F5">
      <w:pPr>
        <w:rPr>
          <w:rFonts w:asciiTheme="minorHAnsi" w:hAnsiTheme="minorHAnsi"/>
          <w:b/>
          <w:bCs/>
          <w:szCs w:val="22"/>
        </w:rPr>
      </w:pPr>
    </w:p>
    <w:p w14:paraId="55A6DAE3" w14:textId="19E99DC3" w:rsidR="00D9746B" w:rsidRPr="007E2527" w:rsidRDefault="00D9746B" w:rsidP="00D9746B">
      <w:pPr>
        <w:rPr>
          <w:rFonts w:asciiTheme="minorHAnsi" w:hAnsiTheme="minorHAnsi"/>
          <w:b/>
          <w:bCs/>
          <w:szCs w:val="22"/>
        </w:rPr>
      </w:pPr>
    </w:p>
    <w:p w14:paraId="5B9CC7C2" w14:textId="77777777" w:rsidR="00D9746B" w:rsidRPr="007E2527" w:rsidRDefault="00D9746B" w:rsidP="00D9746B">
      <w:pPr>
        <w:rPr>
          <w:rFonts w:asciiTheme="minorHAnsi" w:hAnsiTheme="minorHAnsi"/>
          <w:b/>
          <w:bCs/>
          <w:szCs w:val="22"/>
        </w:rPr>
      </w:pPr>
    </w:p>
    <w:p w14:paraId="1063887D" w14:textId="77777777" w:rsidR="00A01418" w:rsidRPr="007E2527" w:rsidRDefault="00A01418" w:rsidP="00D9746B">
      <w:pPr>
        <w:rPr>
          <w:rFonts w:asciiTheme="minorHAnsi" w:hAnsiTheme="minorHAnsi"/>
          <w:b/>
          <w:bCs/>
          <w:szCs w:val="22"/>
        </w:rPr>
      </w:pPr>
    </w:p>
    <w:p w14:paraId="6FC987AA" w14:textId="77777777" w:rsidR="00A01418" w:rsidRPr="007E2527" w:rsidRDefault="00A01418" w:rsidP="00D9746B">
      <w:pPr>
        <w:rPr>
          <w:rFonts w:asciiTheme="minorHAnsi" w:hAnsiTheme="minorHAnsi"/>
          <w:b/>
          <w:bCs/>
          <w:szCs w:val="22"/>
        </w:rPr>
      </w:pPr>
    </w:p>
    <w:p w14:paraId="707B7790" w14:textId="77777777" w:rsidR="00A01418" w:rsidRPr="007E2527" w:rsidRDefault="00A01418" w:rsidP="00D9746B">
      <w:pPr>
        <w:rPr>
          <w:rFonts w:asciiTheme="minorHAnsi" w:hAnsiTheme="minorHAnsi"/>
          <w:b/>
          <w:bCs/>
          <w:szCs w:val="22"/>
        </w:rPr>
      </w:pPr>
    </w:p>
    <w:p w14:paraId="58A1F637" w14:textId="77777777" w:rsidR="00A01418" w:rsidRPr="007E2527" w:rsidRDefault="00A01418" w:rsidP="00D9746B">
      <w:pPr>
        <w:rPr>
          <w:rFonts w:asciiTheme="minorHAnsi" w:hAnsiTheme="minorHAnsi"/>
          <w:b/>
          <w:bCs/>
          <w:szCs w:val="22"/>
        </w:rPr>
      </w:pPr>
    </w:p>
    <w:p w14:paraId="57C2855F" w14:textId="719524A9" w:rsidR="00D9746B" w:rsidRPr="007E2527" w:rsidRDefault="006C6679" w:rsidP="00D9746B">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disability status and grade, 2025 (n=3,381)</w:t>
      </w:r>
    </w:p>
    <w:tbl>
      <w:tblPr>
        <w:tblW w:w="11698" w:type="dxa"/>
        <w:tblLayout w:type="fixed"/>
        <w:tblLook w:val="04A0" w:firstRow="1" w:lastRow="0" w:firstColumn="1" w:lastColumn="0" w:noHBand="0" w:noVBand="1"/>
      </w:tblPr>
      <w:tblGrid>
        <w:gridCol w:w="2098"/>
        <w:gridCol w:w="960"/>
        <w:gridCol w:w="960"/>
        <w:gridCol w:w="960"/>
        <w:gridCol w:w="960"/>
        <w:gridCol w:w="960"/>
        <w:gridCol w:w="960"/>
        <w:gridCol w:w="960"/>
        <w:gridCol w:w="960"/>
        <w:gridCol w:w="960"/>
        <w:gridCol w:w="960"/>
      </w:tblGrid>
      <w:tr w:rsidR="0013053A" w:rsidRPr="0013053A" w14:paraId="62C3F0F6" w14:textId="77777777" w:rsidTr="00F20572">
        <w:trPr>
          <w:trHeight w:val="300"/>
        </w:trPr>
        <w:tc>
          <w:tcPr>
            <w:tcW w:w="2098" w:type="dxa"/>
            <w:tcBorders>
              <w:top w:val="single" w:sz="4" w:space="0" w:color="auto"/>
              <w:left w:val="single" w:sz="4" w:space="0" w:color="auto"/>
              <w:bottom w:val="nil"/>
              <w:right w:val="nil"/>
            </w:tcBorders>
            <w:shd w:val="clear" w:color="000000" w:fill="FFFFFF"/>
            <w:noWrap/>
            <w:vAlign w:val="bottom"/>
            <w:hideMark/>
          </w:tcPr>
          <w:p w14:paraId="2587A71A" w14:textId="77777777" w:rsidR="0013053A" w:rsidRPr="0013053A" w:rsidRDefault="0013053A" w:rsidP="0013053A">
            <w:pPr>
              <w:spacing w:after="0" w:line="240" w:lineRule="auto"/>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0225FF1" w14:textId="77777777" w:rsidR="0013053A" w:rsidRPr="0013053A" w:rsidRDefault="0013053A" w:rsidP="001305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Grade A</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1C7960A" w14:textId="77777777" w:rsidR="0013053A" w:rsidRPr="0013053A" w:rsidRDefault="0013053A" w:rsidP="001305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Grade B</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0D3D048" w14:textId="77777777" w:rsidR="0013053A" w:rsidRPr="0013053A" w:rsidRDefault="0013053A" w:rsidP="001305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Grade 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8EA1B0B" w14:textId="77777777" w:rsidR="0013053A" w:rsidRPr="0013053A" w:rsidRDefault="0013053A" w:rsidP="001305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Grade D</w:t>
            </w:r>
          </w:p>
        </w:tc>
        <w:tc>
          <w:tcPr>
            <w:tcW w:w="1920" w:type="dxa"/>
            <w:gridSpan w:val="2"/>
            <w:tcBorders>
              <w:top w:val="single" w:sz="4" w:space="0" w:color="auto"/>
              <w:left w:val="nil"/>
              <w:bottom w:val="nil"/>
              <w:right w:val="single" w:sz="4" w:space="0" w:color="auto"/>
            </w:tcBorders>
            <w:shd w:val="clear" w:color="000000" w:fill="FFFFFF"/>
            <w:noWrap/>
            <w:vAlign w:val="bottom"/>
            <w:hideMark/>
          </w:tcPr>
          <w:p w14:paraId="281C5A61" w14:textId="77777777" w:rsidR="0013053A" w:rsidRPr="0013053A" w:rsidRDefault="0013053A" w:rsidP="001305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Grade E</w:t>
            </w:r>
          </w:p>
        </w:tc>
      </w:tr>
      <w:tr w:rsidR="0013053A" w:rsidRPr="007E2527" w14:paraId="5EC36C45" w14:textId="77777777" w:rsidTr="00F20572">
        <w:trPr>
          <w:trHeight w:val="300"/>
        </w:trPr>
        <w:tc>
          <w:tcPr>
            <w:tcW w:w="2098" w:type="dxa"/>
            <w:tcBorders>
              <w:top w:val="nil"/>
              <w:left w:val="single" w:sz="4" w:space="0" w:color="auto"/>
              <w:bottom w:val="single" w:sz="4" w:space="0" w:color="auto"/>
              <w:right w:val="nil"/>
            </w:tcBorders>
            <w:shd w:val="clear" w:color="000000" w:fill="FFFFFF"/>
            <w:noWrap/>
            <w:vAlign w:val="bottom"/>
            <w:hideMark/>
          </w:tcPr>
          <w:p w14:paraId="11FFF047" w14:textId="77777777" w:rsidR="0013053A" w:rsidRPr="0013053A" w:rsidRDefault="0013053A" w:rsidP="0013053A">
            <w:pPr>
              <w:spacing w:after="0" w:line="240" w:lineRule="auto"/>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2B17E48"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E464343"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88F102C"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36C2F9D"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86B8CC0"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1037F1C"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5E303B73"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B65824A"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0445715"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8CD8064" w14:textId="77777777" w:rsidR="0013053A" w:rsidRPr="0013053A" w:rsidRDefault="0013053A" w:rsidP="0013053A">
            <w:pPr>
              <w:spacing w:after="0" w:line="240" w:lineRule="auto"/>
              <w:jc w:val="center"/>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w:t>
            </w:r>
          </w:p>
        </w:tc>
      </w:tr>
      <w:tr w:rsidR="0013053A" w:rsidRPr="007E2527" w14:paraId="09F12015"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0A1D8988" w14:textId="77777777" w:rsidR="0013053A" w:rsidRPr="0013053A" w:rsidRDefault="0013053A" w:rsidP="0013053A">
            <w:pPr>
              <w:spacing w:after="0" w:line="240" w:lineRule="auto"/>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Disabled</w:t>
            </w:r>
          </w:p>
        </w:tc>
        <w:tc>
          <w:tcPr>
            <w:tcW w:w="960" w:type="dxa"/>
            <w:tcBorders>
              <w:top w:val="single" w:sz="4" w:space="0" w:color="auto"/>
              <w:left w:val="single" w:sz="4" w:space="0" w:color="auto"/>
              <w:bottom w:val="nil"/>
              <w:right w:val="nil"/>
            </w:tcBorders>
            <w:shd w:val="clear" w:color="000000" w:fill="FFFFFF"/>
            <w:noWrap/>
            <w:vAlign w:val="bottom"/>
            <w:hideMark/>
          </w:tcPr>
          <w:p w14:paraId="2A31E08D"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nil"/>
            </w:tcBorders>
            <w:shd w:val="clear" w:color="000000" w:fill="FFFFFF"/>
            <w:noWrap/>
            <w:vAlign w:val="bottom"/>
            <w:hideMark/>
          </w:tcPr>
          <w:p w14:paraId="56805943"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4.5%</w:t>
            </w:r>
          </w:p>
        </w:tc>
        <w:tc>
          <w:tcPr>
            <w:tcW w:w="960" w:type="dxa"/>
            <w:tcBorders>
              <w:top w:val="single" w:sz="4" w:space="0" w:color="auto"/>
              <w:left w:val="single" w:sz="4" w:space="0" w:color="auto"/>
              <w:bottom w:val="nil"/>
              <w:right w:val="nil"/>
            </w:tcBorders>
            <w:shd w:val="clear" w:color="000000" w:fill="FFFFFF"/>
            <w:noWrap/>
            <w:vAlign w:val="bottom"/>
            <w:hideMark/>
          </w:tcPr>
          <w:p w14:paraId="14ED4997"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single" w:sz="4" w:space="0" w:color="auto"/>
            </w:tcBorders>
            <w:shd w:val="clear" w:color="000000" w:fill="FFFFFF"/>
            <w:noWrap/>
            <w:vAlign w:val="bottom"/>
            <w:hideMark/>
          </w:tcPr>
          <w:p w14:paraId="6E2CEF0F"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7.2%</w:t>
            </w:r>
          </w:p>
        </w:tc>
        <w:tc>
          <w:tcPr>
            <w:tcW w:w="960" w:type="dxa"/>
            <w:tcBorders>
              <w:top w:val="single" w:sz="4" w:space="0" w:color="auto"/>
              <w:left w:val="nil"/>
              <w:bottom w:val="nil"/>
              <w:right w:val="nil"/>
            </w:tcBorders>
            <w:shd w:val="clear" w:color="000000" w:fill="FFFFFF"/>
            <w:noWrap/>
            <w:vAlign w:val="bottom"/>
            <w:hideMark/>
          </w:tcPr>
          <w:p w14:paraId="4CDBFE0C"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22</w:t>
            </w:r>
          </w:p>
        </w:tc>
        <w:tc>
          <w:tcPr>
            <w:tcW w:w="960" w:type="dxa"/>
            <w:tcBorders>
              <w:top w:val="nil"/>
              <w:left w:val="nil"/>
              <w:bottom w:val="nil"/>
              <w:right w:val="nil"/>
            </w:tcBorders>
            <w:shd w:val="clear" w:color="000000" w:fill="FFFFFF"/>
            <w:noWrap/>
            <w:vAlign w:val="bottom"/>
            <w:hideMark/>
          </w:tcPr>
          <w:p w14:paraId="2EADE5E8"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5.7%</w:t>
            </w:r>
          </w:p>
        </w:tc>
        <w:tc>
          <w:tcPr>
            <w:tcW w:w="960" w:type="dxa"/>
            <w:tcBorders>
              <w:top w:val="single" w:sz="4" w:space="0" w:color="auto"/>
              <w:left w:val="single" w:sz="4" w:space="0" w:color="auto"/>
              <w:bottom w:val="nil"/>
              <w:right w:val="nil"/>
            </w:tcBorders>
            <w:shd w:val="clear" w:color="000000" w:fill="FFFFFF"/>
            <w:noWrap/>
            <w:vAlign w:val="bottom"/>
            <w:hideMark/>
          </w:tcPr>
          <w:p w14:paraId="6059BD10"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single" w:sz="4" w:space="0" w:color="auto"/>
            </w:tcBorders>
            <w:shd w:val="clear" w:color="000000" w:fill="FFFFFF"/>
            <w:noWrap/>
            <w:vAlign w:val="bottom"/>
            <w:hideMark/>
          </w:tcPr>
          <w:p w14:paraId="6DB6E919"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7.0%</w:t>
            </w:r>
          </w:p>
        </w:tc>
        <w:tc>
          <w:tcPr>
            <w:tcW w:w="960" w:type="dxa"/>
            <w:tcBorders>
              <w:top w:val="single" w:sz="4" w:space="0" w:color="auto"/>
              <w:left w:val="nil"/>
              <w:bottom w:val="nil"/>
              <w:right w:val="nil"/>
            </w:tcBorders>
            <w:shd w:val="clear" w:color="000000" w:fill="FFFFFF"/>
            <w:noWrap/>
            <w:vAlign w:val="bottom"/>
            <w:hideMark/>
          </w:tcPr>
          <w:p w14:paraId="1D195F91"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33</w:t>
            </w:r>
          </w:p>
        </w:tc>
        <w:tc>
          <w:tcPr>
            <w:tcW w:w="960" w:type="dxa"/>
            <w:tcBorders>
              <w:top w:val="nil"/>
              <w:left w:val="nil"/>
              <w:bottom w:val="nil"/>
              <w:right w:val="single" w:sz="4" w:space="0" w:color="auto"/>
            </w:tcBorders>
            <w:shd w:val="clear" w:color="000000" w:fill="FFFFFF"/>
            <w:noWrap/>
            <w:vAlign w:val="bottom"/>
            <w:hideMark/>
          </w:tcPr>
          <w:p w14:paraId="7173FE56"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5.3%</w:t>
            </w:r>
          </w:p>
        </w:tc>
      </w:tr>
      <w:tr w:rsidR="0013053A" w:rsidRPr="007E2527" w14:paraId="2EE699DE"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02687C68" w14:textId="77777777" w:rsidR="0013053A" w:rsidRPr="0013053A" w:rsidRDefault="0013053A" w:rsidP="0013053A">
            <w:pPr>
              <w:spacing w:after="0" w:line="240" w:lineRule="auto"/>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7D794CC9"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273</w:t>
            </w:r>
          </w:p>
        </w:tc>
        <w:tc>
          <w:tcPr>
            <w:tcW w:w="960" w:type="dxa"/>
            <w:tcBorders>
              <w:top w:val="nil"/>
              <w:left w:val="nil"/>
              <w:bottom w:val="nil"/>
              <w:right w:val="nil"/>
            </w:tcBorders>
            <w:shd w:val="clear" w:color="000000" w:fill="FFFFFF"/>
            <w:noWrap/>
            <w:vAlign w:val="bottom"/>
            <w:hideMark/>
          </w:tcPr>
          <w:p w14:paraId="3183C544"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95.5%</w:t>
            </w:r>
          </w:p>
        </w:tc>
        <w:tc>
          <w:tcPr>
            <w:tcW w:w="960" w:type="dxa"/>
            <w:tcBorders>
              <w:top w:val="nil"/>
              <w:left w:val="single" w:sz="4" w:space="0" w:color="auto"/>
              <w:bottom w:val="nil"/>
              <w:right w:val="nil"/>
            </w:tcBorders>
            <w:shd w:val="clear" w:color="000000" w:fill="FFFFFF"/>
            <w:noWrap/>
            <w:vAlign w:val="bottom"/>
            <w:hideMark/>
          </w:tcPr>
          <w:p w14:paraId="2733910E"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116</w:t>
            </w:r>
          </w:p>
        </w:tc>
        <w:tc>
          <w:tcPr>
            <w:tcW w:w="960" w:type="dxa"/>
            <w:tcBorders>
              <w:top w:val="nil"/>
              <w:left w:val="nil"/>
              <w:bottom w:val="nil"/>
              <w:right w:val="single" w:sz="4" w:space="0" w:color="auto"/>
            </w:tcBorders>
            <w:shd w:val="clear" w:color="000000" w:fill="FFFFFF"/>
            <w:noWrap/>
            <w:vAlign w:val="bottom"/>
            <w:hideMark/>
          </w:tcPr>
          <w:p w14:paraId="00508747"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92.8%</w:t>
            </w:r>
          </w:p>
        </w:tc>
        <w:tc>
          <w:tcPr>
            <w:tcW w:w="960" w:type="dxa"/>
            <w:tcBorders>
              <w:top w:val="nil"/>
              <w:left w:val="nil"/>
              <w:bottom w:val="nil"/>
              <w:right w:val="nil"/>
            </w:tcBorders>
            <w:shd w:val="clear" w:color="000000" w:fill="FFFFFF"/>
            <w:noWrap/>
            <w:vAlign w:val="bottom"/>
            <w:hideMark/>
          </w:tcPr>
          <w:p w14:paraId="2C626352"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354</w:t>
            </w:r>
          </w:p>
        </w:tc>
        <w:tc>
          <w:tcPr>
            <w:tcW w:w="960" w:type="dxa"/>
            <w:tcBorders>
              <w:top w:val="nil"/>
              <w:left w:val="nil"/>
              <w:bottom w:val="nil"/>
              <w:right w:val="nil"/>
            </w:tcBorders>
            <w:shd w:val="clear" w:color="000000" w:fill="FFFFFF"/>
            <w:noWrap/>
            <w:vAlign w:val="bottom"/>
            <w:hideMark/>
          </w:tcPr>
          <w:p w14:paraId="558900EE"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91.9%</w:t>
            </w:r>
          </w:p>
        </w:tc>
        <w:tc>
          <w:tcPr>
            <w:tcW w:w="960" w:type="dxa"/>
            <w:tcBorders>
              <w:top w:val="nil"/>
              <w:left w:val="single" w:sz="4" w:space="0" w:color="auto"/>
              <w:bottom w:val="nil"/>
              <w:right w:val="nil"/>
            </w:tcBorders>
            <w:shd w:val="clear" w:color="000000" w:fill="FFFFFF"/>
            <w:noWrap/>
            <w:vAlign w:val="bottom"/>
            <w:hideMark/>
          </w:tcPr>
          <w:p w14:paraId="03F57EE9"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546</w:t>
            </w:r>
          </w:p>
        </w:tc>
        <w:tc>
          <w:tcPr>
            <w:tcW w:w="960" w:type="dxa"/>
            <w:tcBorders>
              <w:top w:val="nil"/>
              <w:left w:val="nil"/>
              <w:bottom w:val="nil"/>
              <w:right w:val="single" w:sz="4" w:space="0" w:color="auto"/>
            </w:tcBorders>
            <w:shd w:val="clear" w:color="000000" w:fill="FFFFFF"/>
            <w:noWrap/>
            <w:vAlign w:val="bottom"/>
            <w:hideMark/>
          </w:tcPr>
          <w:p w14:paraId="7C1258F4"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91.3%</w:t>
            </w:r>
          </w:p>
        </w:tc>
        <w:tc>
          <w:tcPr>
            <w:tcW w:w="960" w:type="dxa"/>
            <w:tcBorders>
              <w:top w:val="nil"/>
              <w:left w:val="nil"/>
              <w:bottom w:val="nil"/>
              <w:right w:val="nil"/>
            </w:tcBorders>
            <w:shd w:val="clear" w:color="000000" w:fill="FFFFFF"/>
            <w:noWrap/>
            <w:vAlign w:val="bottom"/>
            <w:hideMark/>
          </w:tcPr>
          <w:p w14:paraId="66EB7E33"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588</w:t>
            </w:r>
          </w:p>
        </w:tc>
        <w:tc>
          <w:tcPr>
            <w:tcW w:w="960" w:type="dxa"/>
            <w:tcBorders>
              <w:top w:val="nil"/>
              <w:left w:val="nil"/>
              <w:bottom w:val="nil"/>
              <w:right w:val="single" w:sz="4" w:space="0" w:color="auto"/>
            </w:tcBorders>
            <w:shd w:val="clear" w:color="000000" w:fill="FFFFFF"/>
            <w:noWrap/>
            <w:vAlign w:val="bottom"/>
            <w:hideMark/>
          </w:tcPr>
          <w:p w14:paraId="73556A94"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93.8%</w:t>
            </w:r>
          </w:p>
        </w:tc>
      </w:tr>
      <w:tr w:rsidR="0013053A" w:rsidRPr="007E2527" w14:paraId="69EC61B6"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5FA994EA" w14:textId="77777777" w:rsidR="0013053A" w:rsidRPr="0013053A" w:rsidRDefault="0013053A" w:rsidP="0013053A">
            <w:pPr>
              <w:spacing w:after="0" w:line="240" w:lineRule="auto"/>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7C2C8DA"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69FFFA0"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31E9250"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6DFE433"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64249E6"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nil"/>
            </w:tcBorders>
            <w:shd w:val="clear" w:color="000000" w:fill="FFFFFF"/>
            <w:noWrap/>
            <w:vAlign w:val="bottom"/>
            <w:hideMark/>
          </w:tcPr>
          <w:p w14:paraId="1819E070"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2.3%</w:t>
            </w:r>
          </w:p>
        </w:tc>
        <w:tc>
          <w:tcPr>
            <w:tcW w:w="960" w:type="dxa"/>
            <w:tcBorders>
              <w:top w:val="nil"/>
              <w:left w:val="single" w:sz="4" w:space="0" w:color="auto"/>
              <w:bottom w:val="nil"/>
              <w:right w:val="nil"/>
            </w:tcBorders>
            <w:shd w:val="clear" w:color="000000" w:fill="FFFFFF"/>
            <w:noWrap/>
            <w:vAlign w:val="bottom"/>
            <w:hideMark/>
          </w:tcPr>
          <w:p w14:paraId="33C3E109"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single" w:sz="4" w:space="0" w:color="auto"/>
            </w:tcBorders>
            <w:shd w:val="clear" w:color="000000" w:fill="FFFFFF"/>
            <w:noWrap/>
            <w:vAlign w:val="bottom"/>
            <w:hideMark/>
          </w:tcPr>
          <w:p w14:paraId="7C9CE085"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1.7%</w:t>
            </w:r>
          </w:p>
        </w:tc>
        <w:tc>
          <w:tcPr>
            <w:tcW w:w="960" w:type="dxa"/>
            <w:tcBorders>
              <w:top w:val="nil"/>
              <w:left w:val="nil"/>
              <w:bottom w:val="nil"/>
              <w:right w:val="nil"/>
            </w:tcBorders>
            <w:shd w:val="clear" w:color="000000" w:fill="FFFFFF"/>
            <w:noWrap/>
            <w:vAlign w:val="bottom"/>
            <w:hideMark/>
          </w:tcPr>
          <w:p w14:paraId="295E4EBF"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1FFB5C1" w14:textId="77777777" w:rsidR="0013053A" w:rsidRPr="0013053A" w:rsidRDefault="0013053A" w:rsidP="0013053A">
            <w:pPr>
              <w:spacing w:after="0" w:line="240" w:lineRule="auto"/>
              <w:jc w:val="right"/>
              <w:rPr>
                <w:rFonts w:asciiTheme="minorHAnsi" w:eastAsia="Times New Roman" w:hAnsiTheme="minorHAnsi" w:cs="Times New Roman"/>
                <w:color w:val="000000"/>
                <w:kern w:val="0"/>
                <w:szCs w:val="22"/>
                <w:lang w:eastAsia="en-GB"/>
                <w14:ligatures w14:val="none"/>
              </w:rPr>
            </w:pPr>
            <w:r w:rsidRPr="0013053A">
              <w:rPr>
                <w:rFonts w:asciiTheme="minorHAnsi" w:eastAsia="Times New Roman" w:hAnsiTheme="minorHAnsi" w:cs="Times New Roman"/>
                <w:color w:val="000000"/>
                <w:kern w:val="0"/>
                <w:szCs w:val="22"/>
                <w:lang w:eastAsia="en-GB"/>
                <w14:ligatures w14:val="none"/>
              </w:rPr>
              <w:t>-</w:t>
            </w:r>
          </w:p>
        </w:tc>
      </w:tr>
      <w:tr w:rsidR="0013053A" w:rsidRPr="007E2527" w14:paraId="61E96D9B" w14:textId="77777777" w:rsidTr="00F20572">
        <w:trPr>
          <w:trHeight w:val="315"/>
        </w:trPr>
        <w:tc>
          <w:tcPr>
            <w:tcW w:w="2098" w:type="dxa"/>
            <w:tcBorders>
              <w:top w:val="dotted" w:sz="4" w:space="0" w:color="auto"/>
              <w:left w:val="single" w:sz="4" w:space="0" w:color="auto"/>
              <w:bottom w:val="double" w:sz="6" w:space="0" w:color="auto"/>
              <w:right w:val="nil"/>
            </w:tcBorders>
            <w:shd w:val="clear" w:color="000000" w:fill="FFFFFF"/>
            <w:noWrap/>
            <w:vAlign w:val="bottom"/>
            <w:hideMark/>
          </w:tcPr>
          <w:p w14:paraId="2C6D7097" w14:textId="77777777" w:rsidR="0013053A" w:rsidRPr="0013053A" w:rsidRDefault="0013053A" w:rsidP="0013053A">
            <w:pPr>
              <w:spacing w:after="0" w:line="240" w:lineRule="auto"/>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D8512CA"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286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52EC997"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EF88996"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125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FC31057"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956B312"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E208EBB"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21089ED"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598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F883BD0"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86B77ED"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627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DE47F04" w14:textId="77777777" w:rsidR="0013053A" w:rsidRPr="0013053A" w:rsidRDefault="0013053A" w:rsidP="001305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3053A">
              <w:rPr>
                <w:rFonts w:asciiTheme="minorHAnsi" w:eastAsia="Times New Roman" w:hAnsiTheme="minorHAnsi" w:cs="Times New Roman"/>
                <w:b/>
                <w:bCs/>
                <w:color w:val="000000"/>
                <w:kern w:val="0"/>
                <w:szCs w:val="22"/>
                <w:lang w:eastAsia="en-GB"/>
                <w14:ligatures w14:val="none"/>
              </w:rPr>
              <w:t>100%</w:t>
            </w:r>
          </w:p>
        </w:tc>
      </w:tr>
    </w:tbl>
    <w:p w14:paraId="33DC0084" w14:textId="77777777" w:rsidR="0013053A" w:rsidRPr="007E2527" w:rsidRDefault="0013053A" w:rsidP="0013053A">
      <w:pPr>
        <w:rPr>
          <w:rFonts w:asciiTheme="minorHAnsi" w:hAnsiTheme="minorHAnsi"/>
          <w:b/>
          <w:bCs/>
          <w:szCs w:val="22"/>
        </w:rPr>
      </w:pPr>
    </w:p>
    <w:tbl>
      <w:tblPr>
        <w:tblW w:w="9778" w:type="dxa"/>
        <w:tblLayout w:type="fixed"/>
        <w:tblLook w:val="04A0" w:firstRow="1" w:lastRow="0" w:firstColumn="1" w:lastColumn="0" w:noHBand="0" w:noVBand="1"/>
      </w:tblPr>
      <w:tblGrid>
        <w:gridCol w:w="2098"/>
        <w:gridCol w:w="960"/>
        <w:gridCol w:w="960"/>
        <w:gridCol w:w="960"/>
        <w:gridCol w:w="960"/>
        <w:gridCol w:w="960"/>
        <w:gridCol w:w="960"/>
        <w:gridCol w:w="960"/>
        <w:gridCol w:w="960"/>
      </w:tblGrid>
      <w:tr w:rsidR="00841A93" w:rsidRPr="00841A93" w14:paraId="56D74593" w14:textId="77777777" w:rsidTr="00F20572">
        <w:trPr>
          <w:trHeight w:val="300"/>
        </w:trPr>
        <w:tc>
          <w:tcPr>
            <w:tcW w:w="2098" w:type="dxa"/>
            <w:tcBorders>
              <w:top w:val="single" w:sz="4" w:space="0" w:color="auto"/>
              <w:left w:val="single" w:sz="4" w:space="0" w:color="auto"/>
              <w:bottom w:val="nil"/>
              <w:right w:val="single" w:sz="4" w:space="0" w:color="auto"/>
            </w:tcBorders>
            <w:shd w:val="clear" w:color="000000" w:fill="FFFFFF"/>
            <w:noWrap/>
            <w:vAlign w:val="bottom"/>
            <w:hideMark/>
          </w:tcPr>
          <w:p w14:paraId="751FEFF7" w14:textId="77777777" w:rsidR="00841A93" w:rsidRPr="00841A93" w:rsidRDefault="00841A93" w:rsidP="00841A93">
            <w:pPr>
              <w:spacing w:after="0" w:line="240" w:lineRule="auto"/>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nil"/>
            </w:tcBorders>
            <w:shd w:val="clear" w:color="000000" w:fill="FFFFFF"/>
            <w:noWrap/>
            <w:vAlign w:val="bottom"/>
            <w:hideMark/>
          </w:tcPr>
          <w:p w14:paraId="6545CBEB" w14:textId="77777777" w:rsidR="00841A93" w:rsidRPr="00841A93" w:rsidRDefault="00841A93" w:rsidP="00841A9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1ACD382" w14:textId="77777777" w:rsidR="00841A93" w:rsidRPr="00841A93" w:rsidRDefault="00841A93" w:rsidP="00841A9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1E3AF39A" w14:textId="77777777" w:rsidR="00841A93" w:rsidRPr="00841A93" w:rsidRDefault="00841A93" w:rsidP="00841A9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6A01876" w14:textId="77777777" w:rsidR="00841A93" w:rsidRPr="00841A93" w:rsidRDefault="00841A93" w:rsidP="00841A9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Grade I</w:t>
            </w:r>
          </w:p>
        </w:tc>
      </w:tr>
      <w:tr w:rsidR="00841A93" w:rsidRPr="007E2527" w14:paraId="0FDA3D7A" w14:textId="77777777" w:rsidTr="00F20572">
        <w:trPr>
          <w:trHeight w:val="300"/>
        </w:trPr>
        <w:tc>
          <w:tcPr>
            <w:tcW w:w="2098" w:type="dxa"/>
            <w:tcBorders>
              <w:top w:val="nil"/>
              <w:left w:val="single" w:sz="4" w:space="0" w:color="auto"/>
              <w:bottom w:val="single" w:sz="4" w:space="0" w:color="auto"/>
              <w:right w:val="single" w:sz="4" w:space="0" w:color="auto"/>
            </w:tcBorders>
            <w:shd w:val="clear" w:color="000000" w:fill="FFFFFF"/>
            <w:noWrap/>
            <w:vAlign w:val="bottom"/>
            <w:hideMark/>
          </w:tcPr>
          <w:p w14:paraId="1B950906" w14:textId="77777777" w:rsidR="00841A93" w:rsidRPr="00841A93" w:rsidRDefault="00841A93" w:rsidP="00841A93">
            <w:pPr>
              <w:spacing w:after="0" w:line="240" w:lineRule="auto"/>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3F87DEE1"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A7E4450"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90FA474"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824C57E"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25B933F7"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D0B3F41"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386871E"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AFA4FF5" w14:textId="77777777" w:rsidR="00841A93" w:rsidRPr="00841A93" w:rsidRDefault="00841A93" w:rsidP="00841A93">
            <w:pPr>
              <w:spacing w:after="0" w:line="240" w:lineRule="auto"/>
              <w:jc w:val="center"/>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r>
      <w:tr w:rsidR="00841A93" w:rsidRPr="007E2527" w14:paraId="37C298E9"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42753222" w14:textId="77777777" w:rsidR="00841A93" w:rsidRPr="00841A93" w:rsidRDefault="00841A93" w:rsidP="00841A93">
            <w:pPr>
              <w:spacing w:after="0" w:line="240" w:lineRule="auto"/>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Disabled</w:t>
            </w:r>
          </w:p>
        </w:tc>
        <w:tc>
          <w:tcPr>
            <w:tcW w:w="960" w:type="dxa"/>
            <w:tcBorders>
              <w:top w:val="single" w:sz="4" w:space="0" w:color="auto"/>
              <w:left w:val="single" w:sz="4" w:space="0" w:color="auto"/>
              <w:bottom w:val="nil"/>
              <w:right w:val="nil"/>
            </w:tcBorders>
            <w:shd w:val="clear" w:color="000000" w:fill="FFFFFF"/>
            <w:noWrap/>
            <w:vAlign w:val="bottom"/>
            <w:hideMark/>
          </w:tcPr>
          <w:p w14:paraId="251120C3"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45</w:t>
            </w:r>
          </w:p>
        </w:tc>
        <w:tc>
          <w:tcPr>
            <w:tcW w:w="960" w:type="dxa"/>
            <w:tcBorders>
              <w:top w:val="nil"/>
              <w:left w:val="nil"/>
              <w:bottom w:val="nil"/>
              <w:right w:val="single" w:sz="4" w:space="0" w:color="auto"/>
            </w:tcBorders>
            <w:shd w:val="clear" w:color="000000" w:fill="FFFFFF"/>
            <w:noWrap/>
            <w:vAlign w:val="bottom"/>
            <w:hideMark/>
          </w:tcPr>
          <w:p w14:paraId="1D22AD96"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5.4%</w:t>
            </w:r>
          </w:p>
        </w:tc>
        <w:tc>
          <w:tcPr>
            <w:tcW w:w="960" w:type="dxa"/>
            <w:tcBorders>
              <w:top w:val="single" w:sz="4" w:space="0" w:color="auto"/>
              <w:left w:val="nil"/>
              <w:bottom w:val="nil"/>
              <w:right w:val="nil"/>
            </w:tcBorders>
            <w:shd w:val="clear" w:color="000000" w:fill="FFFFFF"/>
            <w:noWrap/>
            <w:vAlign w:val="bottom"/>
            <w:hideMark/>
          </w:tcPr>
          <w:p w14:paraId="566A17AD"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14</w:t>
            </w:r>
          </w:p>
        </w:tc>
        <w:tc>
          <w:tcPr>
            <w:tcW w:w="960" w:type="dxa"/>
            <w:tcBorders>
              <w:top w:val="nil"/>
              <w:left w:val="nil"/>
              <w:bottom w:val="nil"/>
              <w:right w:val="nil"/>
            </w:tcBorders>
            <w:shd w:val="clear" w:color="000000" w:fill="FFFFFF"/>
            <w:noWrap/>
            <w:vAlign w:val="bottom"/>
            <w:hideMark/>
          </w:tcPr>
          <w:p w14:paraId="3F1B2CED"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3.6%</w:t>
            </w:r>
          </w:p>
        </w:tc>
        <w:tc>
          <w:tcPr>
            <w:tcW w:w="960" w:type="dxa"/>
            <w:tcBorders>
              <w:top w:val="single" w:sz="4" w:space="0" w:color="auto"/>
              <w:left w:val="single" w:sz="4" w:space="0" w:color="auto"/>
              <w:bottom w:val="nil"/>
              <w:right w:val="nil"/>
            </w:tcBorders>
            <w:shd w:val="clear" w:color="000000" w:fill="FFFFFF"/>
            <w:noWrap/>
            <w:vAlign w:val="bottom"/>
            <w:hideMark/>
          </w:tcPr>
          <w:p w14:paraId="10975B37"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992FBAA"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c>
          <w:tcPr>
            <w:tcW w:w="960" w:type="dxa"/>
            <w:tcBorders>
              <w:top w:val="single" w:sz="4" w:space="0" w:color="auto"/>
              <w:left w:val="nil"/>
              <w:bottom w:val="nil"/>
              <w:right w:val="nil"/>
            </w:tcBorders>
            <w:shd w:val="clear" w:color="000000" w:fill="FFFFFF"/>
            <w:noWrap/>
            <w:vAlign w:val="bottom"/>
            <w:hideMark/>
          </w:tcPr>
          <w:p w14:paraId="36CD6274"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046D0BD"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r>
      <w:tr w:rsidR="00841A93" w:rsidRPr="007E2527" w14:paraId="09D64EAE"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3F70E99A" w14:textId="77777777" w:rsidR="00841A93" w:rsidRPr="00841A93" w:rsidRDefault="00841A93" w:rsidP="00841A93">
            <w:pPr>
              <w:spacing w:after="0" w:line="240" w:lineRule="auto"/>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69BEA1B1"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778</w:t>
            </w:r>
          </w:p>
        </w:tc>
        <w:tc>
          <w:tcPr>
            <w:tcW w:w="960" w:type="dxa"/>
            <w:tcBorders>
              <w:top w:val="nil"/>
              <w:left w:val="nil"/>
              <w:bottom w:val="nil"/>
              <w:right w:val="single" w:sz="4" w:space="0" w:color="auto"/>
            </w:tcBorders>
            <w:shd w:val="clear" w:color="000000" w:fill="FFFFFF"/>
            <w:noWrap/>
            <w:vAlign w:val="bottom"/>
            <w:hideMark/>
          </w:tcPr>
          <w:p w14:paraId="514E00F4"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94.0%</w:t>
            </w:r>
          </w:p>
        </w:tc>
        <w:tc>
          <w:tcPr>
            <w:tcW w:w="960" w:type="dxa"/>
            <w:tcBorders>
              <w:top w:val="nil"/>
              <w:left w:val="nil"/>
              <w:bottom w:val="nil"/>
              <w:right w:val="nil"/>
            </w:tcBorders>
            <w:shd w:val="clear" w:color="000000" w:fill="FFFFFF"/>
            <w:noWrap/>
            <w:vAlign w:val="bottom"/>
            <w:hideMark/>
          </w:tcPr>
          <w:p w14:paraId="388781EF"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372</w:t>
            </w:r>
          </w:p>
        </w:tc>
        <w:tc>
          <w:tcPr>
            <w:tcW w:w="960" w:type="dxa"/>
            <w:tcBorders>
              <w:top w:val="nil"/>
              <w:left w:val="nil"/>
              <w:bottom w:val="nil"/>
              <w:right w:val="nil"/>
            </w:tcBorders>
            <w:shd w:val="clear" w:color="000000" w:fill="FFFFFF"/>
            <w:noWrap/>
            <w:vAlign w:val="bottom"/>
            <w:hideMark/>
          </w:tcPr>
          <w:p w14:paraId="419079E0"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95.9%</w:t>
            </w:r>
          </w:p>
        </w:tc>
        <w:tc>
          <w:tcPr>
            <w:tcW w:w="960" w:type="dxa"/>
            <w:tcBorders>
              <w:top w:val="nil"/>
              <w:left w:val="single" w:sz="4" w:space="0" w:color="auto"/>
              <w:bottom w:val="nil"/>
              <w:right w:val="nil"/>
            </w:tcBorders>
            <w:shd w:val="clear" w:color="000000" w:fill="FFFFFF"/>
            <w:noWrap/>
            <w:vAlign w:val="bottom"/>
            <w:hideMark/>
          </w:tcPr>
          <w:p w14:paraId="5EA06E39"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89</w:t>
            </w:r>
          </w:p>
        </w:tc>
        <w:tc>
          <w:tcPr>
            <w:tcW w:w="960" w:type="dxa"/>
            <w:tcBorders>
              <w:top w:val="nil"/>
              <w:left w:val="nil"/>
              <w:bottom w:val="nil"/>
              <w:right w:val="single" w:sz="4" w:space="0" w:color="auto"/>
            </w:tcBorders>
            <w:shd w:val="clear" w:color="000000" w:fill="FFFFFF"/>
            <w:noWrap/>
            <w:vAlign w:val="bottom"/>
            <w:hideMark/>
          </w:tcPr>
          <w:p w14:paraId="4BB17778"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93.7%</w:t>
            </w:r>
          </w:p>
        </w:tc>
        <w:tc>
          <w:tcPr>
            <w:tcW w:w="960" w:type="dxa"/>
            <w:tcBorders>
              <w:top w:val="nil"/>
              <w:left w:val="nil"/>
              <w:bottom w:val="nil"/>
              <w:right w:val="nil"/>
            </w:tcBorders>
            <w:shd w:val="clear" w:color="000000" w:fill="FFFFFF"/>
            <w:noWrap/>
            <w:vAlign w:val="bottom"/>
            <w:hideMark/>
          </w:tcPr>
          <w:p w14:paraId="72410C9C"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single" w:sz="4" w:space="0" w:color="auto"/>
            </w:tcBorders>
            <w:shd w:val="clear" w:color="000000" w:fill="FFFFFF"/>
            <w:noWrap/>
            <w:vAlign w:val="bottom"/>
            <w:hideMark/>
          </w:tcPr>
          <w:p w14:paraId="448DAA97"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95.9%</w:t>
            </w:r>
          </w:p>
        </w:tc>
      </w:tr>
      <w:tr w:rsidR="00841A93" w:rsidRPr="007E2527" w14:paraId="0248AE23" w14:textId="77777777" w:rsidTr="00F20572">
        <w:trPr>
          <w:trHeight w:val="300"/>
        </w:trPr>
        <w:tc>
          <w:tcPr>
            <w:tcW w:w="2098" w:type="dxa"/>
            <w:tcBorders>
              <w:top w:val="nil"/>
              <w:left w:val="single" w:sz="4" w:space="0" w:color="auto"/>
              <w:bottom w:val="nil"/>
              <w:right w:val="nil"/>
            </w:tcBorders>
            <w:shd w:val="clear" w:color="000000" w:fill="FFFFFF"/>
            <w:noWrap/>
            <w:vAlign w:val="bottom"/>
            <w:hideMark/>
          </w:tcPr>
          <w:p w14:paraId="7D952B4B" w14:textId="77777777" w:rsidR="00841A93" w:rsidRPr="00841A93" w:rsidRDefault="00841A93" w:rsidP="00841A93">
            <w:pPr>
              <w:spacing w:after="0" w:line="240" w:lineRule="auto"/>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EAAE464"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D08ABD0"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0B44273"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0E66013C"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7A4A0AE6"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5910AED"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285CD2D5"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C10F9B8" w14:textId="77777777" w:rsidR="00841A93" w:rsidRPr="00841A93" w:rsidRDefault="00841A93" w:rsidP="00841A93">
            <w:pPr>
              <w:spacing w:after="0" w:line="240" w:lineRule="auto"/>
              <w:jc w:val="right"/>
              <w:rPr>
                <w:rFonts w:asciiTheme="minorHAnsi" w:eastAsia="Times New Roman" w:hAnsiTheme="minorHAnsi" w:cs="Times New Roman"/>
                <w:color w:val="000000"/>
                <w:kern w:val="0"/>
                <w:szCs w:val="22"/>
                <w:lang w:eastAsia="en-GB"/>
                <w14:ligatures w14:val="none"/>
              </w:rPr>
            </w:pPr>
            <w:r w:rsidRPr="00841A93">
              <w:rPr>
                <w:rFonts w:asciiTheme="minorHAnsi" w:eastAsia="Times New Roman" w:hAnsiTheme="minorHAnsi" w:cs="Times New Roman"/>
                <w:color w:val="000000"/>
                <w:kern w:val="0"/>
                <w:szCs w:val="22"/>
                <w:lang w:eastAsia="en-GB"/>
                <w14:ligatures w14:val="none"/>
              </w:rPr>
              <w:t> </w:t>
            </w:r>
          </w:p>
        </w:tc>
      </w:tr>
      <w:tr w:rsidR="00841A93" w:rsidRPr="007E2527" w14:paraId="78E66628" w14:textId="77777777" w:rsidTr="00F20572">
        <w:trPr>
          <w:trHeight w:val="315"/>
        </w:trPr>
        <w:tc>
          <w:tcPr>
            <w:tcW w:w="2098" w:type="dxa"/>
            <w:tcBorders>
              <w:top w:val="dotted" w:sz="4" w:space="0" w:color="auto"/>
              <w:left w:val="single" w:sz="4" w:space="0" w:color="auto"/>
              <w:bottom w:val="double" w:sz="6" w:space="0" w:color="auto"/>
              <w:right w:val="nil"/>
            </w:tcBorders>
            <w:shd w:val="clear" w:color="000000" w:fill="FFFFFF"/>
            <w:noWrap/>
            <w:vAlign w:val="bottom"/>
            <w:hideMark/>
          </w:tcPr>
          <w:p w14:paraId="394D2139" w14:textId="77777777" w:rsidR="00841A93" w:rsidRPr="00841A93" w:rsidRDefault="00841A93" w:rsidP="00841A93">
            <w:pPr>
              <w:spacing w:after="0" w:line="240" w:lineRule="auto"/>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F005D80"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828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C0FE785"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931A1FE"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388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02094D3"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CFA0664"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ED41CD3"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A627B21"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49</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F1A8ED5" w14:textId="77777777" w:rsidR="00841A93" w:rsidRPr="00841A93" w:rsidRDefault="00841A93" w:rsidP="00841A9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41A93">
              <w:rPr>
                <w:rFonts w:asciiTheme="minorHAnsi" w:eastAsia="Times New Roman" w:hAnsiTheme="minorHAnsi" w:cs="Times New Roman"/>
                <w:b/>
                <w:bCs/>
                <w:color w:val="000000"/>
                <w:kern w:val="0"/>
                <w:szCs w:val="22"/>
                <w:lang w:eastAsia="en-GB"/>
                <w14:ligatures w14:val="none"/>
              </w:rPr>
              <w:t>100%</w:t>
            </w:r>
          </w:p>
        </w:tc>
      </w:tr>
    </w:tbl>
    <w:p w14:paraId="64F90951" w14:textId="77777777" w:rsidR="00841A93" w:rsidRPr="007E2527" w:rsidRDefault="00841A93" w:rsidP="0013053A">
      <w:pPr>
        <w:rPr>
          <w:rFonts w:asciiTheme="minorHAnsi" w:hAnsiTheme="minorHAnsi"/>
          <w:b/>
          <w:bCs/>
          <w:szCs w:val="22"/>
        </w:rPr>
      </w:pPr>
    </w:p>
    <w:p w14:paraId="498B9E51" w14:textId="5EA4E616" w:rsidR="006C6679" w:rsidRPr="007E2527" w:rsidRDefault="006C6679" w:rsidP="006C6679">
      <w:pPr>
        <w:rPr>
          <w:rFonts w:asciiTheme="minorHAnsi" w:hAnsiTheme="minorHAnsi"/>
          <w:b/>
          <w:bCs/>
          <w:szCs w:val="22"/>
        </w:rPr>
      </w:pPr>
    </w:p>
    <w:p w14:paraId="7A5FB108" w14:textId="771BD0FA" w:rsidR="00731959" w:rsidRPr="007E2527" w:rsidRDefault="00731959" w:rsidP="006C6679">
      <w:pPr>
        <w:rPr>
          <w:rFonts w:asciiTheme="minorHAnsi" w:hAnsiTheme="minorHAnsi"/>
          <w:b/>
          <w:bCs/>
          <w:szCs w:val="22"/>
        </w:rPr>
      </w:pPr>
    </w:p>
    <w:p w14:paraId="0A68347A" w14:textId="77777777" w:rsidR="006867D3" w:rsidRPr="007E2527" w:rsidRDefault="006867D3" w:rsidP="006C6679">
      <w:pPr>
        <w:rPr>
          <w:rFonts w:asciiTheme="minorHAnsi" w:hAnsiTheme="minorHAnsi"/>
          <w:b/>
          <w:bCs/>
          <w:szCs w:val="22"/>
        </w:rPr>
      </w:pPr>
    </w:p>
    <w:p w14:paraId="6FD07B59" w14:textId="77777777" w:rsidR="00E26853" w:rsidRPr="007E2527" w:rsidRDefault="00E26853" w:rsidP="006C6679">
      <w:pPr>
        <w:rPr>
          <w:rFonts w:asciiTheme="minorHAnsi" w:hAnsiTheme="minorHAnsi"/>
          <w:b/>
          <w:bCs/>
          <w:szCs w:val="22"/>
        </w:rPr>
      </w:pPr>
    </w:p>
    <w:p w14:paraId="545868B9" w14:textId="77777777" w:rsidR="00E26853" w:rsidRPr="007E2527" w:rsidRDefault="00E26853" w:rsidP="006C6679">
      <w:pPr>
        <w:rPr>
          <w:rFonts w:asciiTheme="minorHAnsi" w:hAnsiTheme="minorHAnsi"/>
          <w:b/>
          <w:bCs/>
          <w:szCs w:val="22"/>
        </w:rPr>
      </w:pPr>
    </w:p>
    <w:p w14:paraId="170033D1" w14:textId="77777777" w:rsidR="00E26853" w:rsidRPr="007E2527" w:rsidRDefault="00E26853" w:rsidP="006C6679">
      <w:pPr>
        <w:rPr>
          <w:rFonts w:asciiTheme="minorHAnsi" w:hAnsiTheme="minorHAnsi"/>
          <w:b/>
          <w:bCs/>
          <w:szCs w:val="22"/>
        </w:rPr>
      </w:pPr>
    </w:p>
    <w:p w14:paraId="2A8EED26" w14:textId="77777777" w:rsidR="00E26853" w:rsidRPr="007E2527" w:rsidRDefault="00E26853" w:rsidP="006C6679">
      <w:pPr>
        <w:rPr>
          <w:rFonts w:asciiTheme="minorHAnsi" w:hAnsiTheme="minorHAnsi"/>
          <w:b/>
          <w:bCs/>
          <w:szCs w:val="22"/>
        </w:rPr>
      </w:pPr>
    </w:p>
    <w:p w14:paraId="71147DDF" w14:textId="77777777" w:rsidR="00E26853" w:rsidRPr="007E2527" w:rsidRDefault="00E26853" w:rsidP="006C6679">
      <w:pPr>
        <w:rPr>
          <w:rFonts w:asciiTheme="minorHAnsi" w:hAnsiTheme="minorHAnsi"/>
          <w:b/>
          <w:bCs/>
          <w:szCs w:val="22"/>
        </w:rPr>
      </w:pPr>
    </w:p>
    <w:p w14:paraId="1DE5F198" w14:textId="1832F086" w:rsidR="00E05E25" w:rsidRPr="00F20572" w:rsidRDefault="00E05E25" w:rsidP="00E05E25">
      <w:pPr>
        <w:pStyle w:val="ListParagraph"/>
        <w:numPr>
          <w:ilvl w:val="1"/>
          <w:numId w:val="11"/>
        </w:numPr>
        <w:rPr>
          <w:rFonts w:asciiTheme="minorHAnsi" w:hAnsiTheme="minorHAnsi"/>
          <w:color w:val="0B769F" w:themeColor="accent4" w:themeShade="BF"/>
          <w:sz w:val="28"/>
          <w:szCs w:val="28"/>
        </w:rPr>
      </w:pPr>
      <w:r w:rsidRPr="00F20572">
        <w:rPr>
          <w:rFonts w:asciiTheme="minorHAnsi" w:hAnsiTheme="minorHAnsi"/>
          <w:color w:val="0B769F" w:themeColor="accent4" w:themeShade="BF"/>
          <w:sz w:val="28"/>
          <w:szCs w:val="28"/>
        </w:rPr>
        <w:lastRenderedPageBreak/>
        <w:t>Ethnicity</w:t>
      </w:r>
      <w:r w:rsidR="00C6042B" w:rsidRPr="00F20572">
        <w:rPr>
          <w:rFonts w:asciiTheme="minorHAnsi" w:hAnsiTheme="minorHAnsi"/>
          <w:color w:val="0B769F" w:themeColor="accent4" w:themeShade="BF"/>
          <w:sz w:val="28"/>
          <w:szCs w:val="28"/>
        </w:rPr>
        <w:t xml:space="preserve"> or Ethnic Group</w:t>
      </w:r>
    </w:p>
    <w:p w14:paraId="78788439" w14:textId="77777777" w:rsidR="006867D3" w:rsidRPr="007E2527" w:rsidRDefault="006867D3" w:rsidP="006867D3">
      <w:pPr>
        <w:pStyle w:val="ListParagraph"/>
        <w:rPr>
          <w:rFonts w:asciiTheme="minorHAnsi" w:hAnsiTheme="minorHAnsi"/>
          <w:color w:val="0B769F" w:themeColor="accent4" w:themeShade="BF"/>
          <w:szCs w:val="22"/>
        </w:rPr>
      </w:pPr>
    </w:p>
    <w:p w14:paraId="197204DA" w14:textId="010E878C" w:rsidR="00E05E25" w:rsidRPr="007E2527" w:rsidRDefault="006D4B2B" w:rsidP="00E05E25">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ethnicity over time, 2019-2025</w:t>
      </w:r>
    </w:p>
    <w:tbl>
      <w:tblPr>
        <w:tblW w:w="15209" w:type="dxa"/>
        <w:jc w:val="center"/>
        <w:tblLayout w:type="fixed"/>
        <w:tblLook w:val="04A0" w:firstRow="1" w:lastRow="0" w:firstColumn="1" w:lastColumn="0" w:noHBand="0" w:noVBand="1"/>
      </w:tblPr>
      <w:tblGrid>
        <w:gridCol w:w="4649"/>
        <w:gridCol w:w="960"/>
        <w:gridCol w:w="960"/>
        <w:gridCol w:w="960"/>
        <w:gridCol w:w="960"/>
        <w:gridCol w:w="960"/>
        <w:gridCol w:w="960"/>
        <w:gridCol w:w="960"/>
        <w:gridCol w:w="960"/>
        <w:gridCol w:w="960"/>
        <w:gridCol w:w="960"/>
        <w:gridCol w:w="960"/>
      </w:tblGrid>
      <w:tr w:rsidR="00295F1C" w:rsidRPr="007E2527" w14:paraId="33857D9D" w14:textId="77777777" w:rsidTr="00295F1C">
        <w:trPr>
          <w:trHeight w:val="300"/>
          <w:jc w:val="center"/>
        </w:trPr>
        <w:tc>
          <w:tcPr>
            <w:tcW w:w="4649" w:type="dxa"/>
            <w:tcBorders>
              <w:top w:val="single" w:sz="4" w:space="0" w:color="auto"/>
              <w:left w:val="single" w:sz="4" w:space="0" w:color="auto"/>
              <w:bottom w:val="nil"/>
              <w:right w:val="nil"/>
            </w:tcBorders>
            <w:shd w:val="clear" w:color="000000" w:fill="FFFFFF"/>
            <w:noWrap/>
            <w:vAlign w:val="bottom"/>
            <w:hideMark/>
          </w:tcPr>
          <w:p w14:paraId="2314DA56"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7208E2B7" w14:textId="77777777" w:rsidR="00555DA7" w:rsidRPr="00555DA7" w:rsidRDefault="00555DA7" w:rsidP="00555DA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2019</w:t>
            </w:r>
          </w:p>
        </w:tc>
        <w:tc>
          <w:tcPr>
            <w:tcW w:w="960" w:type="dxa"/>
            <w:tcBorders>
              <w:top w:val="single" w:sz="4" w:space="0" w:color="auto"/>
              <w:left w:val="nil"/>
              <w:bottom w:val="nil"/>
              <w:right w:val="nil"/>
            </w:tcBorders>
            <w:shd w:val="clear" w:color="000000" w:fill="FFFFFF"/>
            <w:noWrap/>
            <w:vAlign w:val="bottom"/>
            <w:hideMark/>
          </w:tcPr>
          <w:p w14:paraId="59EE7FA3" w14:textId="77777777" w:rsidR="00555DA7" w:rsidRPr="00555DA7" w:rsidRDefault="00555DA7" w:rsidP="00555DA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2020</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2DA3857B" w14:textId="77777777" w:rsidR="00555DA7" w:rsidRPr="00555DA7" w:rsidRDefault="00555DA7" w:rsidP="00555DA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5447D6C" w14:textId="77777777" w:rsidR="00555DA7" w:rsidRPr="00555DA7" w:rsidRDefault="00555DA7" w:rsidP="00555DA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F8C8BD9" w14:textId="77777777" w:rsidR="00555DA7" w:rsidRPr="00555DA7" w:rsidRDefault="00555DA7" w:rsidP="00555DA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DDDE82A" w14:textId="77777777" w:rsidR="00555DA7" w:rsidRPr="00555DA7" w:rsidRDefault="00555DA7" w:rsidP="00555DA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5204F0D" w14:textId="77777777" w:rsidR="00555DA7" w:rsidRPr="00555DA7" w:rsidRDefault="00555DA7" w:rsidP="00555DA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2025</w:t>
            </w:r>
          </w:p>
        </w:tc>
      </w:tr>
      <w:tr w:rsidR="00295F1C" w:rsidRPr="007E2527" w14:paraId="72C10273" w14:textId="77777777" w:rsidTr="00295F1C">
        <w:trPr>
          <w:trHeight w:val="300"/>
          <w:jc w:val="center"/>
        </w:trPr>
        <w:tc>
          <w:tcPr>
            <w:tcW w:w="4649" w:type="dxa"/>
            <w:tcBorders>
              <w:top w:val="nil"/>
              <w:left w:val="single" w:sz="4" w:space="0" w:color="auto"/>
              <w:bottom w:val="single" w:sz="4" w:space="0" w:color="auto"/>
              <w:right w:val="nil"/>
            </w:tcBorders>
            <w:shd w:val="clear" w:color="000000" w:fill="FFFFFF"/>
            <w:noWrap/>
            <w:vAlign w:val="bottom"/>
            <w:hideMark/>
          </w:tcPr>
          <w:p w14:paraId="2330CC59" w14:textId="77777777" w:rsidR="00555DA7" w:rsidRPr="00555DA7" w:rsidRDefault="00555DA7" w:rsidP="00555DA7">
            <w:pPr>
              <w:spacing w:after="0" w:line="240" w:lineRule="auto"/>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21C43C8"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1611424"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44E83AA"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31E01C1"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3135F94B"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7EA98437"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8423E3F"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05AD1ED"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7343F2D"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A685F2B"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117A27A" w14:textId="77777777" w:rsidR="00555DA7" w:rsidRPr="00555DA7" w:rsidRDefault="00555DA7" w:rsidP="00555DA7">
            <w:pPr>
              <w:spacing w:after="0" w:line="240" w:lineRule="auto"/>
              <w:jc w:val="center"/>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w:t>
            </w:r>
          </w:p>
        </w:tc>
      </w:tr>
      <w:tr w:rsidR="00295F1C" w:rsidRPr="007E2527" w14:paraId="5E7803BB"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7187F7B3"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Minoritised Ethnic Background</w:t>
            </w:r>
          </w:p>
        </w:tc>
        <w:tc>
          <w:tcPr>
            <w:tcW w:w="960" w:type="dxa"/>
            <w:tcBorders>
              <w:top w:val="nil"/>
              <w:left w:val="single" w:sz="4" w:space="0" w:color="auto"/>
              <w:bottom w:val="nil"/>
              <w:right w:val="single" w:sz="4" w:space="0" w:color="auto"/>
            </w:tcBorders>
            <w:shd w:val="clear" w:color="000000" w:fill="FFFFFF"/>
            <w:noWrap/>
            <w:vAlign w:val="bottom"/>
            <w:hideMark/>
          </w:tcPr>
          <w:p w14:paraId="08368D09"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8.8%</w:t>
            </w:r>
          </w:p>
        </w:tc>
        <w:tc>
          <w:tcPr>
            <w:tcW w:w="960" w:type="dxa"/>
            <w:tcBorders>
              <w:top w:val="nil"/>
              <w:left w:val="nil"/>
              <w:bottom w:val="nil"/>
              <w:right w:val="nil"/>
            </w:tcBorders>
            <w:shd w:val="clear" w:color="000000" w:fill="FFFFFF"/>
            <w:noWrap/>
            <w:vAlign w:val="bottom"/>
            <w:hideMark/>
          </w:tcPr>
          <w:p w14:paraId="2FCD4140"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8.9%</w:t>
            </w:r>
          </w:p>
        </w:tc>
        <w:tc>
          <w:tcPr>
            <w:tcW w:w="960" w:type="dxa"/>
            <w:tcBorders>
              <w:top w:val="nil"/>
              <w:left w:val="single" w:sz="4" w:space="0" w:color="auto"/>
              <w:bottom w:val="nil"/>
              <w:right w:val="single" w:sz="4" w:space="0" w:color="auto"/>
            </w:tcBorders>
            <w:shd w:val="clear" w:color="000000" w:fill="FFFFFF"/>
            <w:noWrap/>
            <w:vAlign w:val="bottom"/>
            <w:hideMark/>
          </w:tcPr>
          <w:p w14:paraId="704D09D1"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9.3%</w:t>
            </w:r>
          </w:p>
        </w:tc>
        <w:tc>
          <w:tcPr>
            <w:tcW w:w="960" w:type="dxa"/>
            <w:tcBorders>
              <w:top w:val="nil"/>
              <w:left w:val="nil"/>
              <w:bottom w:val="nil"/>
              <w:right w:val="nil"/>
            </w:tcBorders>
            <w:shd w:val="clear" w:color="000000" w:fill="FFFFFF"/>
            <w:noWrap/>
            <w:vAlign w:val="bottom"/>
            <w:hideMark/>
          </w:tcPr>
          <w:p w14:paraId="567E8166"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671</w:t>
            </w:r>
          </w:p>
        </w:tc>
        <w:tc>
          <w:tcPr>
            <w:tcW w:w="960" w:type="dxa"/>
            <w:tcBorders>
              <w:top w:val="nil"/>
              <w:left w:val="nil"/>
              <w:bottom w:val="nil"/>
              <w:right w:val="nil"/>
            </w:tcBorders>
            <w:shd w:val="clear" w:color="000000" w:fill="FFFFFF"/>
            <w:noWrap/>
            <w:vAlign w:val="bottom"/>
            <w:hideMark/>
          </w:tcPr>
          <w:p w14:paraId="4E37043D"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10.5%</w:t>
            </w:r>
          </w:p>
        </w:tc>
        <w:tc>
          <w:tcPr>
            <w:tcW w:w="960" w:type="dxa"/>
            <w:tcBorders>
              <w:top w:val="nil"/>
              <w:left w:val="single" w:sz="4" w:space="0" w:color="auto"/>
              <w:bottom w:val="nil"/>
              <w:right w:val="nil"/>
            </w:tcBorders>
            <w:shd w:val="clear" w:color="000000" w:fill="FFFFFF"/>
            <w:noWrap/>
            <w:vAlign w:val="bottom"/>
            <w:hideMark/>
          </w:tcPr>
          <w:p w14:paraId="2FAA7E5D"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742</w:t>
            </w:r>
          </w:p>
        </w:tc>
        <w:tc>
          <w:tcPr>
            <w:tcW w:w="960" w:type="dxa"/>
            <w:tcBorders>
              <w:top w:val="nil"/>
              <w:left w:val="nil"/>
              <w:bottom w:val="nil"/>
              <w:right w:val="single" w:sz="4" w:space="0" w:color="auto"/>
            </w:tcBorders>
            <w:shd w:val="clear" w:color="000000" w:fill="FFFFFF"/>
            <w:noWrap/>
            <w:vAlign w:val="bottom"/>
            <w:hideMark/>
          </w:tcPr>
          <w:p w14:paraId="3ABE8655"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11.6%</w:t>
            </w:r>
          </w:p>
        </w:tc>
        <w:tc>
          <w:tcPr>
            <w:tcW w:w="960" w:type="dxa"/>
            <w:tcBorders>
              <w:top w:val="nil"/>
              <w:left w:val="nil"/>
              <w:bottom w:val="nil"/>
              <w:right w:val="nil"/>
            </w:tcBorders>
            <w:shd w:val="clear" w:color="000000" w:fill="FFFFFF"/>
            <w:noWrap/>
            <w:vAlign w:val="bottom"/>
            <w:hideMark/>
          </w:tcPr>
          <w:p w14:paraId="3A344ED5"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816</w:t>
            </w:r>
          </w:p>
        </w:tc>
        <w:tc>
          <w:tcPr>
            <w:tcW w:w="960" w:type="dxa"/>
            <w:tcBorders>
              <w:top w:val="nil"/>
              <w:left w:val="nil"/>
              <w:bottom w:val="nil"/>
              <w:right w:val="single" w:sz="4" w:space="0" w:color="auto"/>
            </w:tcBorders>
            <w:shd w:val="clear" w:color="000000" w:fill="FFFFFF"/>
            <w:noWrap/>
            <w:vAlign w:val="bottom"/>
            <w:hideMark/>
          </w:tcPr>
          <w:p w14:paraId="03C12710"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12.4%</w:t>
            </w:r>
          </w:p>
        </w:tc>
        <w:tc>
          <w:tcPr>
            <w:tcW w:w="960" w:type="dxa"/>
            <w:tcBorders>
              <w:top w:val="nil"/>
              <w:left w:val="nil"/>
              <w:bottom w:val="nil"/>
              <w:right w:val="nil"/>
            </w:tcBorders>
            <w:shd w:val="clear" w:color="000000" w:fill="FFFFFF"/>
            <w:noWrap/>
            <w:vAlign w:val="bottom"/>
            <w:hideMark/>
          </w:tcPr>
          <w:p w14:paraId="24043096"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836</w:t>
            </w:r>
          </w:p>
        </w:tc>
        <w:tc>
          <w:tcPr>
            <w:tcW w:w="960" w:type="dxa"/>
            <w:tcBorders>
              <w:top w:val="nil"/>
              <w:left w:val="nil"/>
              <w:bottom w:val="nil"/>
              <w:right w:val="single" w:sz="4" w:space="0" w:color="auto"/>
            </w:tcBorders>
            <w:shd w:val="clear" w:color="000000" w:fill="FFFFFF"/>
            <w:noWrap/>
            <w:vAlign w:val="bottom"/>
            <w:hideMark/>
          </w:tcPr>
          <w:p w14:paraId="4FC89E91"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13.4%</w:t>
            </w:r>
          </w:p>
        </w:tc>
      </w:tr>
      <w:tr w:rsidR="00295F1C" w:rsidRPr="007E2527" w14:paraId="7DA415EA"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3D33FBB8" w14:textId="77777777" w:rsidR="00555DA7" w:rsidRPr="00555DA7" w:rsidRDefault="00555DA7" w:rsidP="00555DA7">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Black/African/Caribbean/Black British</w:t>
            </w:r>
          </w:p>
        </w:tc>
        <w:tc>
          <w:tcPr>
            <w:tcW w:w="960" w:type="dxa"/>
            <w:tcBorders>
              <w:top w:val="nil"/>
              <w:left w:val="single" w:sz="4" w:space="0" w:color="auto"/>
              <w:bottom w:val="nil"/>
              <w:right w:val="single" w:sz="4" w:space="0" w:color="auto"/>
            </w:tcBorders>
            <w:shd w:val="clear" w:color="000000" w:fill="FFFFFF"/>
            <w:noWrap/>
            <w:vAlign w:val="bottom"/>
            <w:hideMark/>
          </w:tcPr>
          <w:p w14:paraId="0E4C9312"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0.8%</w:t>
            </w:r>
          </w:p>
        </w:tc>
        <w:tc>
          <w:tcPr>
            <w:tcW w:w="960" w:type="dxa"/>
            <w:tcBorders>
              <w:top w:val="nil"/>
              <w:left w:val="nil"/>
              <w:bottom w:val="nil"/>
              <w:right w:val="nil"/>
            </w:tcBorders>
            <w:shd w:val="clear" w:color="000000" w:fill="FFFFFF"/>
            <w:noWrap/>
            <w:vAlign w:val="bottom"/>
            <w:hideMark/>
          </w:tcPr>
          <w:p w14:paraId="2AB2C91F"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0.8%</w:t>
            </w:r>
          </w:p>
        </w:tc>
        <w:tc>
          <w:tcPr>
            <w:tcW w:w="960" w:type="dxa"/>
            <w:tcBorders>
              <w:top w:val="nil"/>
              <w:left w:val="single" w:sz="4" w:space="0" w:color="auto"/>
              <w:bottom w:val="nil"/>
              <w:right w:val="single" w:sz="4" w:space="0" w:color="auto"/>
            </w:tcBorders>
            <w:shd w:val="clear" w:color="000000" w:fill="FFFFFF"/>
            <w:noWrap/>
            <w:vAlign w:val="bottom"/>
            <w:hideMark/>
          </w:tcPr>
          <w:p w14:paraId="27DA6ADA"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0.9%</w:t>
            </w:r>
          </w:p>
        </w:tc>
        <w:tc>
          <w:tcPr>
            <w:tcW w:w="960" w:type="dxa"/>
            <w:tcBorders>
              <w:top w:val="nil"/>
              <w:left w:val="nil"/>
              <w:bottom w:val="nil"/>
              <w:right w:val="nil"/>
            </w:tcBorders>
            <w:shd w:val="clear" w:color="000000" w:fill="FFFFFF"/>
            <w:noWrap/>
            <w:vAlign w:val="bottom"/>
            <w:hideMark/>
          </w:tcPr>
          <w:p w14:paraId="0141F6B4"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63</w:t>
            </w:r>
          </w:p>
        </w:tc>
        <w:tc>
          <w:tcPr>
            <w:tcW w:w="960" w:type="dxa"/>
            <w:tcBorders>
              <w:top w:val="nil"/>
              <w:left w:val="nil"/>
              <w:bottom w:val="nil"/>
              <w:right w:val="nil"/>
            </w:tcBorders>
            <w:shd w:val="clear" w:color="000000" w:fill="FFFFFF"/>
            <w:noWrap/>
            <w:vAlign w:val="bottom"/>
            <w:hideMark/>
          </w:tcPr>
          <w:p w14:paraId="5AA21222"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1.0%</w:t>
            </w:r>
          </w:p>
        </w:tc>
        <w:tc>
          <w:tcPr>
            <w:tcW w:w="960" w:type="dxa"/>
            <w:tcBorders>
              <w:top w:val="nil"/>
              <w:left w:val="single" w:sz="4" w:space="0" w:color="auto"/>
              <w:bottom w:val="nil"/>
              <w:right w:val="nil"/>
            </w:tcBorders>
            <w:shd w:val="clear" w:color="000000" w:fill="FFFFFF"/>
            <w:noWrap/>
            <w:vAlign w:val="bottom"/>
            <w:hideMark/>
          </w:tcPr>
          <w:p w14:paraId="169E8BC8"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75</w:t>
            </w:r>
          </w:p>
        </w:tc>
        <w:tc>
          <w:tcPr>
            <w:tcW w:w="960" w:type="dxa"/>
            <w:tcBorders>
              <w:top w:val="nil"/>
              <w:left w:val="nil"/>
              <w:bottom w:val="nil"/>
              <w:right w:val="single" w:sz="4" w:space="0" w:color="auto"/>
            </w:tcBorders>
            <w:shd w:val="clear" w:color="000000" w:fill="FFFFFF"/>
            <w:noWrap/>
            <w:vAlign w:val="bottom"/>
            <w:hideMark/>
          </w:tcPr>
          <w:p w14:paraId="5B652609"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nil"/>
            </w:tcBorders>
            <w:shd w:val="clear" w:color="000000" w:fill="FFFFFF"/>
            <w:noWrap/>
            <w:vAlign w:val="bottom"/>
            <w:hideMark/>
          </w:tcPr>
          <w:p w14:paraId="527111D1"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78</w:t>
            </w:r>
          </w:p>
        </w:tc>
        <w:tc>
          <w:tcPr>
            <w:tcW w:w="960" w:type="dxa"/>
            <w:tcBorders>
              <w:top w:val="nil"/>
              <w:left w:val="nil"/>
              <w:bottom w:val="nil"/>
              <w:right w:val="single" w:sz="4" w:space="0" w:color="auto"/>
            </w:tcBorders>
            <w:shd w:val="clear" w:color="000000" w:fill="FFFFFF"/>
            <w:noWrap/>
            <w:vAlign w:val="bottom"/>
            <w:hideMark/>
          </w:tcPr>
          <w:p w14:paraId="56C56401"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nil"/>
            </w:tcBorders>
            <w:shd w:val="clear" w:color="000000" w:fill="FFFFFF"/>
            <w:noWrap/>
            <w:vAlign w:val="bottom"/>
            <w:hideMark/>
          </w:tcPr>
          <w:p w14:paraId="6D9A5579"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88</w:t>
            </w:r>
          </w:p>
        </w:tc>
        <w:tc>
          <w:tcPr>
            <w:tcW w:w="960" w:type="dxa"/>
            <w:tcBorders>
              <w:top w:val="nil"/>
              <w:left w:val="nil"/>
              <w:bottom w:val="nil"/>
              <w:right w:val="single" w:sz="4" w:space="0" w:color="auto"/>
            </w:tcBorders>
            <w:shd w:val="clear" w:color="000000" w:fill="FFFFFF"/>
            <w:noWrap/>
            <w:vAlign w:val="bottom"/>
            <w:hideMark/>
          </w:tcPr>
          <w:p w14:paraId="54CDFE5D"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1.4%</w:t>
            </w:r>
          </w:p>
        </w:tc>
      </w:tr>
      <w:tr w:rsidR="00295F1C" w:rsidRPr="007E2527" w14:paraId="548BBF0F"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1AE9B3F0" w14:textId="77777777" w:rsidR="00555DA7" w:rsidRPr="00555DA7" w:rsidRDefault="00555DA7" w:rsidP="00555DA7">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East Asian/East Asian British</w:t>
            </w:r>
          </w:p>
        </w:tc>
        <w:tc>
          <w:tcPr>
            <w:tcW w:w="960" w:type="dxa"/>
            <w:tcBorders>
              <w:top w:val="nil"/>
              <w:left w:val="single" w:sz="4" w:space="0" w:color="auto"/>
              <w:bottom w:val="nil"/>
              <w:right w:val="single" w:sz="4" w:space="0" w:color="auto"/>
            </w:tcBorders>
            <w:shd w:val="clear" w:color="000000" w:fill="FFFFFF"/>
            <w:noWrap/>
            <w:vAlign w:val="bottom"/>
            <w:hideMark/>
          </w:tcPr>
          <w:p w14:paraId="12A8B078"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3.5%</w:t>
            </w:r>
          </w:p>
        </w:tc>
        <w:tc>
          <w:tcPr>
            <w:tcW w:w="960" w:type="dxa"/>
            <w:tcBorders>
              <w:top w:val="nil"/>
              <w:left w:val="nil"/>
              <w:bottom w:val="nil"/>
              <w:right w:val="nil"/>
            </w:tcBorders>
            <w:shd w:val="clear" w:color="000000" w:fill="FFFFFF"/>
            <w:noWrap/>
            <w:vAlign w:val="bottom"/>
            <w:hideMark/>
          </w:tcPr>
          <w:p w14:paraId="6C869A7F"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3.6%</w:t>
            </w:r>
          </w:p>
        </w:tc>
        <w:tc>
          <w:tcPr>
            <w:tcW w:w="960" w:type="dxa"/>
            <w:tcBorders>
              <w:top w:val="nil"/>
              <w:left w:val="single" w:sz="4" w:space="0" w:color="auto"/>
              <w:bottom w:val="nil"/>
              <w:right w:val="single" w:sz="4" w:space="0" w:color="auto"/>
            </w:tcBorders>
            <w:shd w:val="clear" w:color="000000" w:fill="FFFFFF"/>
            <w:noWrap/>
            <w:vAlign w:val="bottom"/>
            <w:hideMark/>
          </w:tcPr>
          <w:p w14:paraId="02E1EF1B"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3.6%</w:t>
            </w:r>
          </w:p>
        </w:tc>
        <w:tc>
          <w:tcPr>
            <w:tcW w:w="960" w:type="dxa"/>
            <w:tcBorders>
              <w:top w:val="nil"/>
              <w:left w:val="nil"/>
              <w:bottom w:val="nil"/>
              <w:right w:val="nil"/>
            </w:tcBorders>
            <w:shd w:val="clear" w:color="000000" w:fill="FFFFFF"/>
            <w:noWrap/>
            <w:vAlign w:val="bottom"/>
            <w:hideMark/>
          </w:tcPr>
          <w:p w14:paraId="309E80C1"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241</w:t>
            </w:r>
          </w:p>
        </w:tc>
        <w:tc>
          <w:tcPr>
            <w:tcW w:w="960" w:type="dxa"/>
            <w:tcBorders>
              <w:top w:val="nil"/>
              <w:left w:val="nil"/>
              <w:bottom w:val="nil"/>
              <w:right w:val="nil"/>
            </w:tcBorders>
            <w:shd w:val="clear" w:color="000000" w:fill="FFFFFF"/>
            <w:noWrap/>
            <w:vAlign w:val="bottom"/>
            <w:hideMark/>
          </w:tcPr>
          <w:p w14:paraId="4BBE2A75"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3.8%</w:t>
            </w:r>
          </w:p>
        </w:tc>
        <w:tc>
          <w:tcPr>
            <w:tcW w:w="960" w:type="dxa"/>
            <w:tcBorders>
              <w:top w:val="nil"/>
              <w:left w:val="single" w:sz="4" w:space="0" w:color="auto"/>
              <w:bottom w:val="nil"/>
              <w:right w:val="nil"/>
            </w:tcBorders>
            <w:shd w:val="clear" w:color="000000" w:fill="FFFFFF"/>
            <w:noWrap/>
            <w:vAlign w:val="bottom"/>
            <w:hideMark/>
          </w:tcPr>
          <w:p w14:paraId="596F99C7"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273</w:t>
            </w:r>
          </w:p>
        </w:tc>
        <w:tc>
          <w:tcPr>
            <w:tcW w:w="960" w:type="dxa"/>
            <w:tcBorders>
              <w:top w:val="nil"/>
              <w:left w:val="nil"/>
              <w:bottom w:val="nil"/>
              <w:right w:val="single" w:sz="4" w:space="0" w:color="auto"/>
            </w:tcBorders>
            <w:shd w:val="clear" w:color="000000" w:fill="FFFFFF"/>
            <w:noWrap/>
            <w:vAlign w:val="bottom"/>
            <w:hideMark/>
          </w:tcPr>
          <w:p w14:paraId="296B47E1"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4.3%</w:t>
            </w:r>
          </w:p>
        </w:tc>
        <w:tc>
          <w:tcPr>
            <w:tcW w:w="960" w:type="dxa"/>
            <w:tcBorders>
              <w:top w:val="nil"/>
              <w:left w:val="nil"/>
              <w:bottom w:val="nil"/>
              <w:right w:val="nil"/>
            </w:tcBorders>
            <w:shd w:val="clear" w:color="000000" w:fill="FFFFFF"/>
            <w:noWrap/>
            <w:vAlign w:val="bottom"/>
            <w:hideMark/>
          </w:tcPr>
          <w:p w14:paraId="13B13B63"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303</w:t>
            </w:r>
          </w:p>
        </w:tc>
        <w:tc>
          <w:tcPr>
            <w:tcW w:w="960" w:type="dxa"/>
            <w:tcBorders>
              <w:top w:val="nil"/>
              <w:left w:val="nil"/>
              <w:bottom w:val="nil"/>
              <w:right w:val="single" w:sz="4" w:space="0" w:color="auto"/>
            </w:tcBorders>
            <w:shd w:val="clear" w:color="000000" w:fill="FFFFFF"/>
            <w:noWrap/>
            <w:vAlign w:val="bottom"/>
            <w:hideMark/>
          </w:tcPr>
          <w:p w14:paraId="114004BB"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4.6%</w:t>
            </w:r>
          </w:p>
        </w:tc>
        <w:tc>
          <w:tcPr>
            <w:tcW w:w="960" w:type="dxa"/>
            <w:tcBorders>
              <w:top w:val="nil"/>
              <w:left w:val="nil"/>
              <w:bottom w:val="nil"/>
              <w:right w:val="nil"/>
            </w:tcBorders>
            <w:shd w:val="clear" w:color="000000" w:fill="FFFFFF"/>
            <w:noWrap/>
            <w:vAlign w:val="bottom"/>
            <w:hideMark/>
          </w:tcPr>
          <w:p w14:paraId="60024383"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315</w:t>
            </w:r>
          </w:p>
        </w:tc>
        <w:tc>
          <w:tcPr>
            <w:tcW w:w="960" w:type="dxa"/>
            <w:tcBorders>
              <w:top w:val="nil"/>
              <w:left w:val="nil"/>
              <w:bottom w:val="nil"/>
              <w:right w:val="single" w:sz="4" w:space="0" w:color="auto"/>
            </w:tcBorders>
            <w:shd w:val="clear" w:color="000000" w:fill="FFFFFF"/>
            <w:noWrap/>
            <w:vAlign w:val="bottom"/>
            <w:hideMark/>
          </w:tcPr>
          <w:p w14:paraId="51E4E0AA"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5.0%</w:t>
            </w:r>
          </w:p>
        </w:tc>
      </w:tr>
      <w:tr w:rsidR="00295F1C" w:rsidRPr="007E2527" w14:paraId="69BBD8BF"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102D9278" w14:textId="75DBAD42" w:rsidR="00555DA7" w:rsidRPr="00555DA7" w:rsidRDefault="00295F1C" w:rsidP="00295F1C">
            <w:pPr>
              <w:spacing w:after="0" w:line="240" w:lineRule="auto"/>
              <w:ind w:leftChars="75" w:left="447" w:hangingChars="128" w:hanging="282"/>
              <w:rPr>
                <w:rFonts w:asciiTheme="minorHAnsi" w:eastAsia="Times New Roman" w:hAnsiTheme="minorHAnsi" w:cs="Times New Roman"/>
                <w:color w:val="000000"/>
                <w:kern w:val="0"/>
                <w:szCs w:val="22"/>
                <w:lang w:eastAsia="en-GB"/>
                <w14:ligatures w14:val="none"/>
              </w:rPr>
            </w:pPr>
            <w:r>
              <w:rPr>
                <w:rFonts w:asciiTheme="minorHAnsi" w:eastAsia="Times New Roman" w:hAnsiTheme="minorHAnsi" w:cs="Times New Roman"/>
                <w:color w:val="000000"/>
                <w:kern w:val="0"/>
                <w:szCs w:val="22"/>
                <w:lang w:eastAsia="en-GB"/>
                <w14:ligatures w14:val="none"/>
              </w:rPr>
              <w:t xml:space="preserve"> </w:t>
            </w:r>
            <w:r w:rsidR="00555DA7" w:rsidRPr="00555DA7">
              <w:rPr>
                <w:rFonts w:asciiTheme="minorHAnsi" w:eastAsia="Times New Roman" w:hAnsiTheme="minorHAnsi" w:cs="Times New Roman"/>
                <w:color w:val="000000"/>
                <w:kern w:val="0"/>
                <w:szCs w:val="22"/>
                <w:lang w:eastAsia="en-GB"/>
                <w14:ligatures w14:val="none"/>
              </w:rPr>
              <w:t>South &amp; Southeast Asian/South &amp; Southeast Asian</w:t>
            </w:r>
            <w:r>
              <w:rPr>
                <w:rFonts w:asciiTheme="minorHAnsi" w:eastAsia="Times New Roman" w:hAnsiTheme="minorHAnsi" w:cs="Times New Roman"/>
                <w:color w:val="000000"/>
                <w:kern w:val="0"/>
                <w:szCs w:val="22"/>
                <w:lang w:eastAsia="en-GB"/>
                <w14:ligatures w14:val="none"/>
              </w:rPr>
              <w:t xml:space="preserve"> </w:t>
            </w:r>
            <w:r w:rsidR="00555DA7" w:rsidRPr="00555DA7">
              <w:rPr>
                <w:rFonts w:asciiTheme="minorHAnsi" w:eastAsia="Times New Roman" w:hAnsiTheme="minorHAnsi" w:cs="Times New Roman"/>
                <w:color w:val="000000"/>
                <w:kern w:val="0"/>
                <w:szCs w:val="22"/>
                <w:lang w:eastAsia="en-GB"/>
                <w14:ligatures w14:val="none"/>
              </w:rPr>
              <w:t>British</w:t>
            </w:r>
          </w:p>
        </w:tc>
        <w:tc>
          <w:tcPr>
            <w:tcW w:w="960" w:type="dxa"/>
            <w:tcBorders>
              <w:top w:val="nil"/>
              <w:left w:val="single" w:sz="4" w:space="0" w:color="auto"/>
              <w:bottom w:val="nil"/>
              <w:right w:val="single" w:sz="4" w:space="0" w:color="auto"/>
            </w:tcBorders>
            <w:shd w:val="clear" w:color="000000" w:fill="FFFFFF"/>
            <w:noWrap/>
            <w:vAlign w:val="bottom"/>
            <w:hideMark/>
          </w:tcPr>
          <w:p w14:paraId="3F58CE46"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4CEE349C"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2.2%</w:t>
            </w:r>
          </w:p>
        </w:tc>
        <w:tc>
          <w:tcPr>
            <w:tcW w:w="960" w:type="dxa"/>
            <w:tcBorders>
              <w:top w:val="nil"/>
              <w:left w:val="single" w:sz="4" w:space="0" w:color="auto"/>
              <w:bottom w:val="nil"/>
              <w:right w:val="single" w:sz="4" w:space="0" w:color="auto"/>
            </w:tcBorders>
            <w:shd w:val="clear" w:color="000000" w:fill="FFFFFF"/>
            <w:noWrap/>
            <w:vAlign w:val="bottom"/>
            <w:hideMark/>
          </w:tcPr>
          <w:p w14:paraId="69653510"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2.0%</w:t>
            </w:r>
          </w:p>
        </w:tc>
        <w:tc>
          <w:tcPr>
            <w:tcW w:w="960" w:type="dxa"/>
            <w:tcBorders>
              <w:top w:val="nil"/>
              <w:left w:val="nil"/>
              <w:bottom w:val="nil"/>
              <w:right w:val="nil"/>
            </w:tcBorders>
            <w:shd w:val="clear" w:color="000000" w:fill="FFFFFF"/>
            <w:noWrap/>
            <w:vAlign w:val="bottom"/>
            <w:hideMark/>
          </w:tcPr>
          <w:p w14:paraId="6AB19255"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157</w:t>
            </w:r>
          </w:p>
        </w:tc>
        <w:tc>
          <w:tcPr>
            <w:tcW w:w="960" w:type="dxa"/>
            <w:tcBorders>
              <w:top w:val="nil"/>
              <w:left w:val="nil"/>
              <w:bottom w:val="nil"/>
              <w:right w:val="nil"/>
            </w:tcBorders>
            <w:shd w:val="clear" w:color="000000" w:fill="FFFFFF"/>
            <w:noWrap/>
            <w:vAlign w:val="bottom"/>
            <w:hideMark/>
          </w:tcPr>
          <w:p w14:paraId="3947B9D2"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2.4%</w:t>
            </w:r>
          </w:p>
        </w:tc>
        <w:tc>
          <w:tcPr>
            <w:tcW w:w="960" w:type="dxa"/>
            <w:tcBorders>
              <w:top w:val="nil"/>
              <w:left w:val="single" w:sz="4" w:space="0" w:color="auto"/>
              <w:bottom w:val="nil"/>
              <w:right w:val="nil"/>
            </w:tcBorders>
            <w:shd w:val="clear" w:color="000000" w:fill="FFFFFF"/>
            <w:noWrap/>
            <w:vAlign w:val="bottom"/>
            <w:hideMark/>
          </w:tcPr>
          <w:p w14:paraId="0FB07932"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174</w:t>
            </w:r>
          </w:p>
        </w:tc>
        <w:tc>
          <w:tcPr>
            <w:tcW w:w="960" w:type="dxa"/>
            <w:tcBorders>
              <w:top w:val="nil"/>
              <w:left w:val="nil"/>
              <w:bottom w:val="nil"/>
              <w:right w:val="single" w:sz="4" w:space="0" w:color="auto"/>
            </w:tcBorders>
            <w:shd w:val="clear" w:color="000000" w:fill="FFFFFF"/>
            <w:noWrap/>
            <w:vAlign w:val="bottom"/>
            <w:hideMark/>
          </w:tcPr>
          <w:p w14:paraId="002626B8"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2.7%</w:t>
            </w:r>
          </w:p>
        </w:tc>
        <w:tc>
          <w:tcPr>
            <w:tcW w:w="960" w:type="dxa"/>
            <w:tcBorders>
              <w:top w:val="nil"/>
              <w:left w:val="nil"/>
              <w:bottom w:val="nil"/>
              <w:right w:val="nil"/>
            </w:tcBorders>
            <w:shd w:val="clear" w:color="000000" w:fill="FFFFFF"/>
            <w:noWrap/>
            <w:vAlign w:val="bottom"/>
            <w:hideMark/>
          </w:tcPr>
          <w:p w14:paraId="52A8131F"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187</w:t>
            </w:r>
          </w:p>
        </w:tc>
        <w:tc>
          <w:tcPr>
            <w:tcW w:w="960" w:type="dxa"/>
            <w:tcBorders>
              <w:top w:val="nil"/>
              <w:left w:val="nil"/>
              <w:bottom w:val="nil"/>
              <w:right w:val="single" w:sz="4" w:space="0" w:color="auto"/>
            </w:tcBorders>
            <w:shd w:val="clear" w:color="000000" w:fill="FFFFFF"/>
            <w:noWrap/>
            <w:vAlign w:val="bottom"/>
            <w:hideMark/>
          </w:tcPr>
          <w:p w14:paraId="14F26189"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2.8%</w:t>
            </w:r>
          </w:p>
        </w:tc>
        <w:tc>
          <w:tcPr>
            <w:tcW w:w="960" w:type="dxa"/>
            <w:tcBorders>
              <w:top w:val="nil"/>
              <w:left w:val="nil"/>
              <w:bottom w:val="nil"/>
              <w:right w:val="nil"/>
            </w:tcBorders>
            <w:shd w:val="clear" w:color="000000" w:fill="FFFFFF"/>
            <w:noWrap/>
            <w:vAlign w:val="bottom"/>
            <w:hideMark/>
          </w:tcPr>
          <w:p w14:paraId="31947B65"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201</w:t>
            </w:r>
          </w:p>
        </w:tc>
        <w:tc>
          <w:tcPr>
            <w:tcW w:w="960" w:type="dxa"/>
            <w:tcBorders>
              <w:top w:val="nil"/>
              <w:left w:val="nil"/>
              <w:bottom w:val="nil"/>
              <w:right w:val="single" w:sz="4" w:space="0" w:color="auto"/>
            </w:tcBorders>
            <w:shd w:val="clear" w:color="000000" w:fill="FFFFFF"/>
            <w:noWrap/>
            <w:vAlign w:val="bottom"/>
            <w:hideMark/>
          </w:tcPr>
          <w:p w14:paraId="284E9521"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3.2%</w:t>
            </w:r>
          </w:p>
        </w:tc>
      </w:tr>
      <w:tr w:rsidR="00295F1C" w:rsidRPr="007E2527" w14:paraId="2968AA24"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6676F558" w14:textId="77777777" w:rsidR="00555DA7" w:rsidRPr="00555DA7" w:rsidRDefault="00555DA7" w:rsidP="00555DA7">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Mixed/Multiple ethnic groups</w:t>
            </w:r>
          </w:p>
        </w:tc>
        <w:tc>
          <w:tcPr>
            <w:tcW w:w="960" w:type="dxa"/>
            <w:tcBorders>
              <w:top w:val="nil"/>
              <w:left w:val="single" w:sz="4" w:space="0" w:color="auto"/>
              <w:bottom w:val="nil"/>
              <w:right w:val="single" w:sz="4" w:space="0" w:color="auto"/>
            </w:tcBorders>
            <w:shd w:val="clear" w:color="000000" w:fill="FFFFFF"/>
            <w:noWrap/>
            <w:vAlign w:val="bottom"/>
            <w:hideMark/>
          </w:tcPr>
          <w:p w14:paraId="7CAF28A0"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nil"/>
            </w:tcBorders>
            <w:shd w:val="clear" w:color="000000" w:fill="FFFFFF"/>
            <w:noWrap/>
            <w:vAlign w:val="bottom"/>
            <w:hideMark/>
          </w:tcPr>
          <w:p w14:paraId="66B68566"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1.2%</w:t>
            </w:r>
          </w:p>
        </w:tc>
        <w:tc>
          <w:tcPr>
            <w:tcW w:w="960" w:type="dxa"/>
            <w:tcBorders>
              <w:top w:val="nil"/>
              <w:left w:val="single" w:sz="4" w:space="0" w:color="auto"/>
              <w:bottom w:val="nil"/>
              <w:right w:val="single" w:sz="4" w:space="0" w:color="auto"/>
            </w:tcBorders>
            <w:shd w:val="clear" w:color="000000" w:fill="FFFFFF"/>
            <w:noWrap/>
            <w:vAlign w:val="bottom"/>
            <w:hideMark/>
          </w:tcPr>
          <w:p w14:paraId="03287CE4"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nil"/>
            </w:tcBorders>
            <w:shd w:val="clear" w:color="000000" w:fill="FFFFFF"/>
            <w:noWrap/>
            <w:vAlign w:val="bottom"/>
            <w:hideMark/>
          </w:tcPr>
          <w:p w14:paraId="434BDA58"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96</w:t>
            </w:r>
          </w:p>
        </w:tc>
        <w:tc>
          <w:tcPr>
            <w:tcW w:w="960" w:type="dxa"/>
            <w:tcBorders>
              <w:top w:val="nil"/>
              <w:left w:val="nil"/>
              <w:bottom w:val="nil"/>
              <w:right w:val="nil"/>
            </w:tcBorders>
            <w:shd w:val="clear" w:color="000000" w:fill="FFFFFF"/>
            <w:noWrap/>
            <w:vAlign w:val="bottom"/>
            <w:hideMark/>
          </w:tcPr>
          <w:p w14:paraId="50043F8E"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1.5%</w:t>
            </w:r>
          </w:p>
        </w:tc>
        <w:tc>
          <w:tcPr>
            <w:tcW w:w="960" w:type="dxa"/>
            <w:tcBorders>
              <w:top w:val="nil"/>
              <w:left w:val="single" w:sz="4" w:space="0" w:color="auto"/>
              <w:bottom w:val="nil"/>
              <w:right w:val="nil"/>
            </w:tcBorders>
            <w:shd w:val="clear" w:color="000000" w:fill="FFFFFF"/>
            <w:noWrap/>
            <w:vAlign w:val="bottom"/>
            <w:hideMark/>
          </w:tcPr>
          <w:p w14:paraId="4E071668"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100</w:t>
            </w:r>
          </w:p>
        </w:tc>
        <w:tc>
          <w:tcPr>
            <w:tcW w:w="960" w:type="dxa"/>
            <w:tcBorders>
              <w:top w:val="nil"/>
              <w:left w:val="nil"/>
              <w:bottom w:val="nil"/>
              <w:right w:val="single" w:sz="4" w:space="0" w:color="auto"/>
            </w:tcBorders>
            <w:shd w:val="clear" w:color="000000" w:fill="FFFFFF"/>
            <w:noWrap/>
            <w:vAlign w:val="bottom"/>
            <w:hideMark/>
          </w:tcPr>
          <w:p w14:paraId="00F37C3C"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nil"/>
            </w:tcBorders>
            <w:shd w:val="clear" w:color="000000" w:fill="FFFFFF"/>
            <w:noWrap/>
            <w:vAlign w:val="bottom"/>
            <w:hideMark/>
          </w:tcPr>
          <w:p w14:paraId="17F1C538"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112</w:t>
            </w:r>
          </w:p>
        </w:tc>
        <w:tc>
          <w:tcPr>
            <w:tcW w:w="960" w:type="dxa"/>
            <w:tcBorders>
              <w:top w:val="nil"/>
              <w:left w:val="nil"/>
              <w:bottom w:val="nil"/>
              <w:right w:val="single" w:sz="4" w:space="0" w:color="auto"/>
            </w:tcBorders>
            <w:shd w:val="clear" w:color="000000" w:fill="FFFFFF"/>
            <w:noWrap/>
            <w:vAlign w:val="bottom"/>
            <w:hideMark/>
          </w:tcPr>
          <w:p w14:paraId="3127AA65"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1.7%</w:t>
            </w:r>
          </w:p>
        </w:tc>
        <w:tc>
          <w:tcPr>
            <w:tcW w:w="960" w:type="dxa"/>
            <w:tcBorders>
              <w:top w:val="nil"/>
              <w:left w:val="nil"/>
              <w:bottom w:val="nil"/>
              <w:right w:val="nil"/>
            </w:tcBorders>
            <w:shd w:val="clear" w:color="000000" w:fill="FFFFFF"/>
            <w:noWrap/>
            <w:vAlign w:val="bottom"/>
            <w:hideMark/>
          </w:tcPr>
          <w:p w14:paraId="59C0BABF"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single" w:sz="4" w:space="0" w:color="auto"/>
            </w:tcBorders>
            <w:shd w:val="clear" w:color="000000" w:fill="FFFFFF"/>
            <w:noWrap/>
            <w:vAlign w:val="bottom"/>
            <w:hideMark/>
          </w:tcPr>
          <w:p w14:paraId="51C90F9C"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1.6%</w:t>
            </w:r>
          </w:p>
        </w:tc>
      </w:tr>
      <w:tr w:rsidR="00295F1C" w:rsidRPr="007E2527" w14:paraId="5F621D6B"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2F53F215" w14:textId="77777777" w:rsidR="00555DA7" w:rsidRPr="00555DA7" w:rsidRDefault="00555DA7" w:rsidP="00555DA7">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Any ethnic group not considered above</w:t>
            </w:r>
          </w:p>
        </w:tc>
        <w:tc>
          <w:tcPr>
            <w:tcW w:w="960" w:type="dxa"/>
            <w:tcBorders>
              <w:top w:val="nil"/>
              <w:left w:val="single" w:sz="4" w:space="0" w:color="auto"/>
              <w:bottom w:val="nil"/>
              <w:right w:val="single" w:sz="4" w:space="0" w:color="auto"/>
            </w:tcBorders>
            <w:shd w:val="clear" w:color="000000" w:fill="FFFFFF"/>
            <w:noWrap/>
            <w:vAlign w:val="bottom"/>
            <w:hideMark/>
          </w:tcPr>
          <w:p w14:paraId="427AE2A6"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nil"/>
            </w:tcBorders>
            <w:shd w:val="clear" w:color="000000" w:fill="FFFFFF"/>
            <w:noWrap/>
            <w:vAlign w:val="bottom"/>
            <w:hideMark/>
          </w:tcPr>
          <w:p w14:paraId="7F55DE08"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1.2%</w:t>
            </w:r>
          </w:p>
        </w:tc>
        <w:tc>
          <w:tcPr>
            <w:tcW w:w="960" w:type="dxa"/>
            <w:tcBorders>
              <w:top w:val="nil"/>
              <w:left w:val="single" w:sz="4" w:space="0" w:color="auto"/>
              <w:bottom w:val="nil"/>
              <w:right w:val="single" w:sz="4" w:space="0" w:color="auto"/>
            </w:tcBorders>
            <w:shd w:val="clear" w:color="000000" w:fill="FFFFFF"/>
            <w:noWrap/>
            <w:vAlign w:val="bottom"/>
            <w:hideMark/>
          </w:tcPr>
          <w:p w14:paraId="1C33D00B"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1.5%</w:t>
            </w:r>
          </w:p>
        </w:tc>
        <w:tc>
          <w:tcPr>
            <w:tcW w:w="960" w:type="dxa"/>
            <w:tcBorders>
              <w:top w:val="nil"/>
              <w:left w:val="nil"/>
              <w:bottom w:val="nil"/>
              <w:right w:val="nil"/>
            </w:tcBorders>
            <w:shd w:val="clear" w:color="000000" w:fill="FFFFFF"/>
            <w:noWrap/>
            <w:vAlign w:val="bottom"/>
            <w:hideMark/>
          </w:tcPr>
          <w:p w14:paraId="0AC108A5"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114</w:t>
            </w:r>
          </w:p>
        </w:tc>
        <w:tc>
          <w:tcPr>
            <w:tcW w:w="960" w:type="dxa"/>
            <w:tcBorders>
              <w:top w:val="nil"/>
              <w:left w:val="nil"/>
              <w:bottom w:val="nil"/>
              <w:right w:val="nil"/>
            </w:tcBorders>
            <w:shd w:val="clear" w:color="000000" w:fill="FFFFFF"/>
            <w:noWrap/>
            <w:vAlign w:val="bottom"/>
            <w:hideMark/>
          </w:tcPr>
          <w:p w14:paraId="2A7562D5"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1.8%</w:t>
            </w:r>
          </w:p>
        </w:tc>
        <w:tc>
          <w:tcPr>
            <w:tcW w:w="960" w:type="dxa"/>
            <w:tcBorders>
              <w:top w:val="nil"/>
              <w:left w:val="single" w:sz="4" w:space="0" w:color="auto"/>
              <w:bottom w:val="nil"/>
              <w:right w:val="nil"/>
            </w:tcBorders>
            <w:shd w:val="clear" w:color="000000" w:fill="FFFFFF"/>
            <w:noWrap/>
            <w:vAlign w:val="bottom"/>
            <w:hideMark/>
          </w:tcPr>
          <w:p w14:paraId="745D4464"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120</w:t>
            </w:r>
          </w:p>
        </w:tc>
        <w:tc>
          <w:tcPr>
            <w:tcW w:w="960" w:type="dxa"/>
            <w:tcBorders>
              <w:top w:val="nil"/>
              <w:left w:val="nil"/>
              <w:bottom w:val="nil"/>
              <w:right w:val="single" w:sz="4" w:space="0" w:color="auto"/>
            </w:tcBorders>
            <w:shd w:val="clear" w:color="000000" w:fill="FFFFFF"/>
            <w:noWrap/>
            <w:vAlign w:val="bottom"/>
            <w:hideMark/>
          </w:tcPr>
          <w:p w14:paraId="3915A751"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nil"/>
            </w:tcBorders>
            <w:shd w:val="clear" w:color="000000" w:fill="FFFFFF"/>
            <w:noWrap/>
            <w:vAlign w:val="bottom"/>
            <w:hideMark/>
          </w:tcPr>
          <w:p w14:paraId="0EC092FD"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136</w:t>
            </w:r>
          </w:p>
        </w:tc>
        <w:tc>
          <w:tcPr>
            <w:tcW w:w="960" w:type="dxa"/>
            <w:tcBorders>
              <w:top w:val="nil"/>
              <w:left w:val="nil"/>
              <w:bottom w:val="nil"/>
              <w:right w:val="single" w:sz="4" w:space="0" w:color="auto"/>
            </w:tcBorders>
            <w:shd w:val="clear" w:color="000000" w:fill="FFFFFF"/>
            <w:noWrap/>
            <w:vAlign w:val="bottom"/>
            <w:hideMark/>
          </w:tcPr>
          <w:p w14:paraId="0CD3AF1B"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2FF16551"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131</w:t>
            </w:r>
          </w:p>
        </w:tc>
        <w:tc>
          <w:tcPr>
            <w:tcW w:w="960" w:type="dxa"/>
            <w:tcBorders>
              <w:top w:val="nil"/>
              <w:left w:val="nil"/>
              <w:bottom w:val="nil"/>
              <w:right w:val="single" w:sz="4" w:space="0" w:color="auto"/>
            </w:tcBorders>
            <w:shd w:val="clear" w:color="000000" w:fill="FFFFFF"/>
            <w:noWrap/>
            <w:vAlign w:val="bottom"/>
            <w:hideMark/>
          </w:tcPr>
          <w:p w14:paraId="5AC8AB57" w14:textId="77777777" w:rsidR="00555DA7" w:rsidRPr="00555DA7" w:rsidRDefault="00555DA7" w:rsidP="00555DA7">
            <w:pPr>
              <w:spacing w:after="0" w:line="240" w:lineRule="auto"/>
              <w:jc w:val="right"/>
              <w:rPr>
                <w:rFonts w:asciiTheme="minorHAnsi" w:eastAsia="Times New Roman" w:hAnsiTheme="minorHAnsi" w:cs="Times New Roman"/>
                <w:color w:val="000000"/>
                <w:kern w:val="0"/>
                <w:szCs w:val="22"/>
                <w:lang w:eastAsia="en-GB"/>
                <w14:ligatures w14:val="none"/>
              </w:rPr>
            </w:pPr>
            <w:r w:rsidRPr="00555DA7">
              <w:rPr>
                <w:rFonts w:asciiTheme="minorHAnsi" w:eastAsia="Times New Roman" w:hAnsiTheme="minorHAnsi" w:cs="Times New Roman"/>
                <w:color w:val="000000"/>
                <w:kern w:val="0"/>
                <w:szCs w:val="22"/>
                <w:lang w:eastAsia="en-GB"/>
                <w14:ligatures w14:val="none"/>
              </w:rPr>
              <w:t>2.1%</w:t>
            </w:r>
          </w:p>
        </w:tc>
      </w:tr>
      <w:tr w:rsidR="00295F1C" w:rsidRPr="007E2527" w14:paraId="6390F6A0"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520F7287"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White</w:t>
            </w:r>
          </w:p>
        </w:tc>
        <w:tc>
          <w:tcPr>
            <w:tcW w:w="960" w:type="dxa"/>
            <w:tcBorders>
              <w:top w:val="nil"/>
              <w:left w:val="single" w:sz="4" w:space="0" w:color="auto"/>
              <w:bottom w:val="nil"/>
              <w:right w:val="single" w:sz="4" w:space="0" w:color="auto"/>
            </w:tcBorders>
            <w:shd w:val="clear" w:color="000000" w:fill="FFFFFF"/>
            <w:noWrap/>
            <w:vAlign w:val="bottom"/>
            <w:hideMark/>
          </w:tcPr>
          <w:p w14:paraId="35A98B05"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88.3%</w:t>
            </w:r>
          </w:p>
        </w:tc>
        <w:tc>
          <w:tcPr>
            <w:tcW w:w="960" w:type="dxa"/>
            <w:tcBorders>
              <w:top w:val="nil"/>
              <w:left w:val="nil"/>
              <w:bottom w:val="nil"/>
              <w:right w:val="nil"/>
            </w:tcBorders>
            <w:shd w:val="clear" w:color="000000" w:fill="FFFFFF"/>
            <w:noWrap/>
            <w:vAlign w:val="bottom"/>
            <w:hideMark/>
          </w:tcPr>
          <w:p w14:paraId="444720D3"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87.9%</w:t>
            </w:r>
          </w:p>
        </w:tc>
        <w:tc>
          <w:tcPr>
            <w:tcW w:w="960" w:type="dxa"/>
            <w:tcBorders>
              <w:top w:val="nil"/>
              <w:left w:val="single" w:sz="4" w:space="0" w:color="auto"/>
              <w:bottom w:val="nil"/>
              <w:right w:val="single" w:sz="4" w:space="0" w:color="auto"/>
            </w:tcBorders>
            <w:shd w:val="clear" w:color="000000" w:fill="FFFFFF"/>
            <w:noWrap/>
            <w:vAlign w:val="bottom"/>
            <w:hideMark/>
          </w:tcPr>
          <w:p w14:paraId="77C3089A"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86.7%</w:t>
            </w:r>
          </w:p>
        </w:tc>
        <w:tc>
          <w:tcPr>
            <w:tcW w:w="960" w:type="dxa"/>
            <w:tcBorders>
              <w:top w:val="nil"/>
              <w:left w:val="nil"/>
              <w:bottom w:val="nil"/>
              <w:right w:val="nil"/>
            </w:tcBorders>
            <w:shd w:val="clear" w:color="000000" w:fill="FFFFFF"/>
            <w:noWrap/>
            <w:vAlign w:val="bottom"/>
            <w:hideMark/>
          </w:tcPr>
          <w:p w14:paraId="102E06DE"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5454</w:t>
            </w:r>
          </w:p>
        </w:tc>
        <w:tc>
          <w:tcPr>
            <w:tcW w:w="960" w:type="dxa"/>
            <w:tcBorders>
              <w:top w:val="nil"/>
              <w:left w:val="nil"/>
              <w:bottom w:val="nil"/>
              <w:right w:val="nil"/>
            </w:tcBorders>
            <w:shd w:val="clear" w:color="000000" w:fill="FFFFFF"/>
            <w:noWrap/>
            <w:vAlign w:val="bottom"/>
            <w:hideMark/>
          </w:tcPr>
          <w:p w14:paraId="50CA1D22"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85.0%</w:t>
            </w:r>
          </w:p>
        </w:tc>
        <w:tc>
          <w:tcPr>
            <w:tcW w:w="960" w:type="dxa"/>
            <w:tcBorders>
              <w:top w:val="nil"/>
              <w:left w:val="single" w:sz="4" w:space="0" w:color="auto"/>
              <w:bottom w:val="nil"/>
              <w:right w:val="nil"/>
            </w:tcBorders>
            <w:shd w:val="clear" w:color="000000" w:fill="FFFFFF"/>
            <w:noWrap/>
            <w:vAlign w:val="bottom"/>
            <w:hideMark/>
          </w:tcPr>
          <w:p w14:paraId="74CC7AD0"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5319</w:t>
            </w:r>
          </w:p>
        </w:tc>
        <w:tc>
          <w:tcPr>
            <w:tcW w:w="960" w:type="dxa"/>
            <w:tcBorders>
              <w:top w:val="nil"/>
              <w:left w:val="nil"/>
              <w:bottom w:val="nil"/>
              <w:right w:val="single" w:sz="4" w:space="0" w:color="auto"/>
            </w:tcBorders>
            <w:shd w:val="clear" w:color="000000" w:fill="FFFFFF"/>
            <w:noWrap/>
            <w:vAlign w:val="bottom"/>
            <w:hideMark/>
          </w:tcPr>
          <w:p w14:paraId="6390791E"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83.2%</w:t>
            </w:r>
          </w:p>
        </w:tc>
        <w:tc>
          <w:tcPr>
            <w:tcW w:w="960" w:type="dxa"/>
            <w:tcBorders>
              <w:top w:val="nil"/>
              <w:left w:val="nil"/>
              <w:bottom w:val="nil"/>
              <w:right w:val="nil"/>
            </w:tcBorders>
            <w:shd w:val="clear" w:color="000000" w:fill="FFFFFF"/>
            <w:noWrap/>
            <w:vAlign w:val="bottom"/>
            <w:hideMark/>
          </w:tcPr>
          <w:p w14:paraId="388361F8"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5348</w:t>
            </w:r>
          </w:p>
        </w:tc>
        <w:tc>
          <w:tcPr>
            <w:tcW w:w="960" w:type="dxa"/>
            <w:tcBorders>
              <w:top w:val="nil"/>
              <w:left w:val="nil"/>
              <w:bottom w:val="nil"/>
              <w:right w:val="single" w:sz="4" w:space="0" w:color="auto"/>
            </w:tcBorders>
            <w:shd w:val="clear" w:color="000000" w:fill="FFFFFF"/>
            <w:noWrap/>
            <w:vAlign w:val="bottom"/>
            <w:hideMark/>
          </w:tcPr>
          <w:p w14:paraId="23523A6B"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81.4%</w:t>
            </w:r>
          </w:p>
        </w:tc>
        <w:tc>
          <w:tcPr>
            <w:tcW w:w="960" w:type="dxa"/>
            <w:tcBorders>
              <w:top w:val="nil"/>
              <w:left w:val="nil"/>
              <w:bottom w:val="nil"/>
              <w:right w:val="nil"/>
            </w:tcBorders>
            <w:shd w:val="clear" w:color="000000" w:fill="FFFFFF"/>
            <w:noWrap/>
            <w:vAlign w:val="bottom"/>
            <w:hideMark/>
          </w:tcPr>
          <w:p w14:paraId="2497CDC0"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5038</w:t>
            </w:r>
          </w:p>
        </w:tc>
        <w:tc>
          <w:tcPr>
            <w:tcW w:w="960" w:type="dxa"/>
            <w:tcBorders>
              <w:top w:val="nil"/>
              <w:left w:val="nil"/>
              <w:bottom w:val="nil"/>
              <w:right w:val="single" w:sz="4" w:space="0" w:color="auto"/>
            </w:tcBorders>
            <w:shd w:val="clear" w:color="000000" w:fill="FFFFFF"/>
            <w:noWrap/>
            <w:vAlign w:val="bottom"/>
            <w:hideMark/>
          </w:tcPr>
          <w:p w14:paraId="6EBCFF09"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80.7%</w:t>
            </w:r>
          </w:p>
        </w:tc>
      </w:tr>
      <w:tr w:rsidR="00295F1C" w:rsidRPr="007E2527" w14:paraId="59B34B59"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4B5249CA"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Prefer not to say</w:t>
            </w:r>
          </w:p>
        </w:tc>
        <w:tc>
          <w:tcPr>
            <w:tcW w:w="960" w:type="dxa"/>
            <w:tcBorders>
              <w:top w:val="nil"/>
              <w:left w:val="single" w:sz="4" w:space="0" w:color="auto"/>
              <w:bottom w:val="nil"/>
              <w:right w:val="single" w:sz="4" w:space="0" w:color="auto"/>
            </w:tcBorders>
            <w:shd w:val="clear" w:color="000000" w:fill="FFFFFF"/>
            <w:noWrap/>
            <w:vAlign w:val="bottom"/>
            <w:hideMark/>
          </w:tcPr>
          <w:p w14:paraId="2EE5B947"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3.0%</w:t>
            </w:r>
          </w:p>
        </w:tc>
        <w:tc>
          <w:tcPr>
            <w:tcW w:w="960" w:type="dxa"/>
            <w:tcBorders>
              <w:top w:val="nil"/>
              <w:left w:val="nil"/>
              <w:bottom w:val="nil"/>
              <w:right w:val="nil"/>
            </w:tcBorders>
            <w:shd w:val="clear" w:color="000000" w:fill="FFFFFF"/>
            <w:noWrap/>
            <w:vAlign w:val="bottom"/>
            <w:hideMark/>
          </w:tcPr>
          <w:p w14:paraId="3E01AC0A"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3.2%</w:t>
            </w:r>
          </w:p>
        </w:tc>
        <w:tc>
          <w:tcPr>
            <w:tcW w:w="960" w:type="dxa"/>
            <w:tcBorders>
              <w:top w:val="nil"/>
              <w:left w:val="single" w:sz="4" w:space="0" w:color="auto"/>
              <w:bottom w:val="nil"/>
              <w:right w:val="single" w:sz="4" w:space="0" w:color="auto"/>
            </w:tcBorders>
            <w:shd w:val="clear" w:color="000000" w:fill="FFFFFF"/>
            <w:noWrap/>
            <w:vAlign w:val="bottom"/>
            <w:hideMark/>
          </w:tcPr>
          <w:p w14:paraId="6131CDE7"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4.0%</w:t>
            </w:r>
          </w:p>
        </w:tc>
        <w:tc>
          <w:tcPr>
            <w:tcW w:w="960" w:type="dxa"/>
            <w:tcBorders>
              <w:top w:val="nil"/>
              <w:left w:val="nil"/>
              <w:bottom w:val="nil"/>
              <w:right w:val="nil"/>
            </w:tcBorders>
            <w:shd w:val="clear" w:color="000000" w:fill="FFFFFF"/>
            <w:noWrap/>
            <w:vAlign w:val="bottom"/>
            <w:hideMark/>
          </w:tcPr>
          <w:p w14:paraId="4EB501B1"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243</w:t>
            </w:r>
          </w:p>
        </w:tc>
        <w:tc>
          <w:tcPr>
            <w:tcW w:w="960" w:type="dxa"/>
            <w:tcBorders>
              <w:top w:val="nil"/>
              <w:left w:val="nil"/>
              <w:bottom w:val="nil"/>
              <w:right w:val="nil"/>
            </w:tcBorders>
            <w:shd w:val="clear" w:color="000000" w:fill="FFFFFF"/>
            <w:noWrap/>
            <w:vAlign w:val="bottom"/>
            <w:hideMark/>
          </w:tcPr>
          <w:p w14:paraId="110EB6ED"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3.8%</w:t>
            </w:r>
          </w:p>
        </w:tc>
        <w:tc>
          <w:tcPr>
            <w:tcW w:w="960" w:type="dxa"/>
            <w:tcBorders>
              <w:top w:val="nil"/>
              <w:left w:val="single" w:sz="4" w:space="0" w:color="auto"/>
              <w:bottom w:val="nil"/>
              <w:right w:val="nil"/>
            </w:tcBorders>
            <w:shd w:val="clear" w:color="000000" w:fill="FFFFFF"/>
            <w:noWrap/>
            <w:vAlign w:val="bottom"/>
            <w:hideMark/>
          </w:tcPr>
          <w:p w14:paraId="7C8C4A7B"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270</w:t>
            </w:r>
          </w:p>
        </w:tc>
        <w:tc>
          <w:tcPr>
            <w:tcW w:w="960" w:type="dxa"/>
            <w:tcBorders>
              <w:top w:val="nil"/>
              <w:left w:val="nil"/>
              <w:bottom w:val="nil"/>
              <w:right w:val="single" w:sz="4" w:space="0" w:color="auto"/>
            </w:tcBorders>
            <w:shd w:val="clear" w:color="000000" w:fill="FFFFFF"/>
            <w:noWrap/>
            <w:vAlign w:val="bottom"/>
            <w:hideMark/>
          </w:tcPr>
          <w:p w14:paraId="2D124D37"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4.2%</w:t>
            </w:r>
          </w:p>
        </w:tc>
        <w:tc>
          <w:tcPr>
            <w:tcW w:w="960" w:type="dxa"/>
            <w:tcBorders>
              <w:top w:val="nil"/>
              <w:left w:val="nil"/>
              <w:bottom w:val="nil"/>
              <w:right w:val="nil"/>
            </w:tcBorders>
            <w:shd w:val="clear" w:color="000000" w:fill="FFFFFF"/>
            <w:noWrap/>
            <w:vAlign w:val="bottom"/>
            <w:hideMark/>
          </w:tcPr>
          <w:p w14:paraId="32290CA0"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343</w:t>
            </w:r>
          </w:p>
        </w:tc>
        <w:tc>
          <w:tcPr>
            <w:tcW w:w="960" w:type="dxa"/>
            <w:tcBorders>
              <w:top w:val="nil"/>
              <w:left w:val="nil"/>
              <w:bottom w:val="nil"/>
              <w:right w:val="single" w:sz="4" w:space="0" w:color="auto"/>
            </w:tcBorders>
            <w:shd w:val="clear" w:color="000000" w:fill="FFFFFF"/>
            <w:noWrap/>
            <w:vAlign w:val="bottom"/>
            <w:hideMark/>
          </w:tcPr>
          <w:p w14:paraId="6BD62133"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5.2%</w:t>
            </w:r>
          </w:p>
        </w:tc>
        <w:tc>
          <w:tcPr>
            <w:tcW w:w="960" w:type="dxa"/>
            <w:tcBorders>
              <w:top w:val="nil"/>
              <w:left w:val="nil"/>
              <w:bottom w:val="nil"/>
              <w:right w:val="nil"/>
            </w:tcBorders>
            <w:shd w:val="clear" w:color="000000" w:fill="FFFFFF"/>
            <w:noWrap/>
            <w:vAlign w:val="bottom"/>
            <w:hideMark/>
          </w:tcPr>
          <w:p w14:paraId="10C4A1E2"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367</w:t>
            </w:r>
          </w:p>
        </w:tc>
        <w:tc>
          <w:tcPr>
            <w:tcW w:w="960" w:type="dxa"/>
            <w:tcBorders>
              <w:top w:val="nil"/>
              <w:left w:val="nil"/>
              <w:bottom w:val="nil"/>
              <w:right w:val="single" w:sz="4" w:space="0" w:color="auto"/>
            </w:tcBorders>
            <w:shd w:val="clear" w:color="000000" w:fill="FFFFFF"/>
            <w:noWrap/>
            <w:vAlign w:val="bottom"/>
            <w:hideMark/>
          </w:tcPr>
          <w:p w14:paraId="6283146C"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5.9%</w:t>
            </w:r>
          </w:p>
        </w:tc>
      </w:tr>
      <w:tr w:rsidR="00295F1C" w:rsidRPr="007E2527" w14:paraId="7B3C35C7" w14:textId="77777777" w:rsidTr="00295F1C">
        <w:trPr>
          <w:trHeight w:val="300"/>
          <w:jc w:val="center"/>
        </w:trPr>
        <w:tc>
          <w:tcPr>
            <w:tcW w:w="4649" w:type="dxa"/>
            <w:tcBorders>
              <w:top w:val="nil"/>
              <w:left w:val="single" w:sz="4" w:space="0" w:color="auto"/>
              <w:bottom w:val="nil"/>
              <w:right w:val="nil"/>
            </w:tcBorders>
            <w:shd w:val="clear" w:color="000000" w:fill="FFFFFF"/>
            <w:noWrap/>
            <w:vAlign w:val="bottom"/>
            <w:hideMark/>
          </w:tcPr>
          <w:p w14:paraId="4E5E868C"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No response provided</w:t>
            </w:r>
          </w:p>
        </w:tc>
        <w:tc>
          <w:tcPr>
            <w:tcW w:w="960" w:type="dxa"/>
            <w:tcBorders>
              <w:top w:val="nil"/>
              <w:left w:val="single" w:sz="4" w:space="0" w:color="auto"/>
              <w:bottom w:val="nil"/>
              <w:right w:val="single" w:sz="4" w:space="0" w:color="auto"/>
            </w:tcBorders>
            <w:shd w:val="clear" w:color="000000" w:fill="FFFFFF"/>
            <w:noWrap/>
            <w:vAlign w:val="bottom"/>
            <w:hideMark/>
          </w:tcPr>
          <w:p w14:paraId="1B5C944F"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9B2604F"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 </w:t>
            </w:r>
          </w:p>
        </w:tc>
        <w:tc>
          <w:tcPr>
            <w:tcW w:w="960" w:type="dxa"/>
            <w:tcBorders>
              <w:top w:val="nil"/>
              <w:left w:val="single" w:sz="4" w:space="0" w:color="auto"/>
              <w:bottom w:val="nil"/>
              <w:right w:val="single" w:sz="4" w:space="0" w:color="auto"/>
            </w:tcBorders>
            <w:shd w:val="clear" w:color="000000" w:fill="FFFFFF"/>
            <w:noWrap/>
            <w:vAlign w:val="bottom"/>
            <w:hideMark/>
          </w:tcPr>
          <w:p w14:paraId="5B2586B9"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9AE40BF"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47</w:t>
            </w:r>
          </w:p>
        </w:tc>
        <w:tc>
          <w:tcPr>
            <w:tcW w:w="960" w:type="dxa"/>
            <w:tcBorders>
              <w:top w:val="nil"/>
              <w:left w:val="nil"/>
              <w:bottom w:val="nil"/>
              <w:right w:val="nil"/>
            </w:tcBorders>
            <w:shd w:val="clear" w:color="000000" w:fill="FFFFFF"/>
            <w:noWrap/>
            <w:vAlign w:val="bottom"/>
            <w:hideMark/>
          </w:tcPr>
          <w:p w14:paraId="3CF6BB8D"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0.7%</w:t>
            </w:r>
          </w:p>
        </w:tc>
        <w:tc>
          <w:tcPr>
            <w:tcW w:w="960" w:type="dxa"/>
            <w:tcBorders>
              <w:top w:val="nil"/>
              <w:left w:val="single" w:sz="4" w:space="0" w:color="auto"/>
              <w:bottom w:val="nil"/>
              <w:right w:val="nil"/>
            </w:tcBorders>
            <w:shd w:val="clear" w:color="000000" w:fill="FFFFFF"/>
            <w:noWrap/>
            <w:vAlign w:val="bottom"/>
            <w:hideMark/>
          </w:tcPr>
          <w:p w14:paraId="6085D3BB"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64</w:t>
            </w:r>
          </w:p>
        </w:tc>
        <w:tc>
          <w:tcPr>
            <w:tcW w:w="960" w:type="dxa"/>
            <w:tcBorders>
              <w:top w:val="nil"/>
              <w:left w:val="nil"/>
              <w:bottom w:val="nil"/>
              <w:right w:val="single" w:sz="4" w:space="0" w:color="auto"/>
            </w:tcBorders>
            <w:shd w:val="clear" w:color="000000" w:fill="FFFFFF"/>
            <w:noWrap/>
            <w:vAlign w:val="bottom"/>
            <w:hideMark/>
          </w:tcPr>
          <w:p w14:paraId="0918A007"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w:t>
            </w:r>
          </w:p>
        </w:tc>
        <w:tc>
          <w:tcPr>
            <w:tcW w:w="960" w:type="dxa"/>
            <w:tcBorders>
              <w:top w:val="nil"/>
              <w:left w:val="nil"/>
              <w:bottom w:val="nil"/>
              <w:right w:val="nil"/>
            </w:tcBorders>
            <w:shd w:val="clear" w:color="000000" w:fill="FFFFFF"/>
            <w:noWrap/>
            <w:vAlign w:val="bottom"/>
            <w:hideMark/>
          </w:tcPr>
          <w:p w14:paraId="10BFE006"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67</w:t>
            </w:r>
          </w:p>
        </w:tc>
        <w:tc>
          <w:tcPr>
            <w:tcW w:w="960" w:type="dxa"/>
            <w:tcBorders>
              <w:top w:val="nil"/>
              <w:left w:val="nil"/>
              <w:bottom w:val="nil"/>
              <w:right w:val="single" w:sz="4" w:space="0" w:color="auto"/>
            </w:tcBorders>
            <w:shd w:val="clear" w:color="000000" w:fill="FFFFFF"/>
            <w:noWrap/>
            <w:vAlign w:val="bottom"/>
            <w:hideMark/>
          </w:tcPr>
          <w:p w14:paraId="2C01F17D"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w:t>
            </w:r>
          </w:p>
        </w:tc>
        <w:tc>
          <w:tcPr>
            <w:tcW w:w="960" w:type="dxa"/>
            <w:tcBorders>
              <w:top w:val="nil"/>
              <w:left w:val="nil"/>
              <w:bottom w:val="nil"/>
              <w:right w:val="nil"/>
            </w:tcBorders>
            <w:shd w:val="clear" w:color="000000" w:fill="FFFFFF"/>
            <w:noWrap/>
            <w:vAlign w:val="bottom"/>
            <w:hideMark/>
          </w:tcPr>
          <w:p w14:paraId="619A21CC"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710F83B2"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 </w:t>
            </w:r>
          </w:p>
        </w:tc>
      </w:tr>
      <w:tr w:rsidR="00295F1C" w:rsidRPr="007E2527" w14:paraId="637004DB" w14:textId="77777777" w:rsidTr="00295F1C">
        <w:trPr>
          <w:trHeight w:val="315"/>
          <w:jc w:val="center"/>
        </w:trPr>
        <w:tc>
          <w:tcPr>
            <w:tcW w:w="4649" w:type="dxa"/>
            <w:tcBorders>
              <w:top w:val="dotted" w:sz="4" w:space="0" w:color="auto"/>
              <w:left w:val="single" w:sz="4" w:space="0" w:color="auto"/>
              <w:bottom w:val="double" w:sz="6" w:space="0" w:color="auto"/>
              <w:right w:val="nil"/>
            </w:tcBorders>
            <w:shd w:val="clear" w:color="000000" w:fill="FFFFFF"/>
            <w:noWrap/>
            <w:vAlign w:val="bottom"/>
            <w:hideMark/>
          </w:tcPr>
          <w:p w14:paraId="4FE805B5" w14:textId="77777777" w:rsidR="00555DA7" w:rsidRPr="00555DA7" w:rsidRDefault="00555DA7" w:rsidP="00555DA7">
            <w:pPr>
              <w:spacing w:after="0" w:line="240" w:lineRule="auto"/>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132FD8AF"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D986294"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4A0A99A9"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3B5D6B1"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6415</w:t>
            </w:r>
          </w:p>
        </w:tc>
        <w:tc>
          <w:tcPr>
            <w:tcW w:w="960" w:type="dxa"/>
            <w:tcBorders>
              <w:top w:val="dotted" w:sz="4" w:space="0" w:color="auto"/>
              <w:left w:val="nil"/>
              <w:bottom w:val="double" w:sz="6" w:space="0" w:color="auto"/>
              <w:right w:val="nil"/>
            </w:tcBorders>
            <w:shd w:val="clear" w:color="000000" w:fill="FFFFFF"/>
            <w:noWrap/>
            <w:vAlign w:val="bottom"/>
            <w:hideMark/>
          </w:tcPr>
          <w:p w14:paraId="41FA062A"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2FCB4623"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6395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44E6E21"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FE3B16A"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6574</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D1A3003"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0B0AA59"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6241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483E834" w14:textId="77777777" w:rsidR="00555DA7" w:rsidRPr="00555DA7" w:rsidRDefault="00555DA7" w:rsidP="00555DA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555DA7">
              <w:rPr>
                <w:rFonts w:asciiTheme="minorHAnsi" w:eastAsia="Times New Roman" w:hAnsiTheme="minorHAnsi" w:cs="Times New Roman"/>
                <w:b/>
                <w:bCs/>
                <w:color w:val="000000"/>
                <w:kern w:val="0"/>
                <w:szCs w:val="22"/>
                <w:lang w:eastAsia="en-GB"/>
                <w14:ligatures w14:val="none"/>
              </w:rPr>
              <w:t>100%</w:t>
            </w:r>
          </w:p>
        </w:tc>
      </w:tr>
    </w:tbl>
    <w:p w14:paraId="60D0EC05" w14:textId="77777777" w:rsidR="00606B6A" w:rsidRPr="007E2527" w:rsidRDefault="00606B6A" w:rsidP="00606B6A">
      <w:pPr>
        <w:rPr>
          <w:rFonts w:asciiTheme="minorHAnsi" w:hAnsiTheme="minorHAnsi"/>
          <w:b/>
          <w:bCs/>
          <w:szCs w:val="22"/>
        </w:rPr>
      </w:pPr>
    </w:p>
    <w:p w14:paraId="1088780D" w14:textId="5D63C7AA" w:rsidR="00606B6A" w:rsidRPr="007E2527" w:rsidRDefault="00606B6A" w:rsidP="00606B6A">
      <w:pPr>
        <w:rPr>
          <w:rFonts w:asciiTheme="minorHAnsi" w:hAnsiTheme="minorHAnsi"/>
          <w:b/>
          <w:bCs/>
          <w:szCs w:val="22"/>
        </w:rPr>
      </w:pPr>
    </w:p>
    <w:p w14:paraId="75F69314" w14:textId="3F8EF424" w:rsidR="006867D3" w:rsidRPr="007E2527" w:rsidRDefault="006867D3" w:rsidP="006867D3">
      <w:pPr>
        <w:rPr>
          <w:rFonts w:asciiTheme="minorHAnsi" w:hAnsiTheme="minorHAnsi"/>
          <w:b/>
          <w:bCs/>
          <w:szCs w:val="22"/>
        </w:rPr>
      </w:pPr>
    </w:p>
    <w:p w14:paraId="11333B25" w14:textId="241245FA" w:rsidR="006867D3" w:rsidRPr="007E2527" w:rsidRDefault="006867D3" w:rsidP="006867D3">
      <w:pPr>
        <w:rPr>
          <w:rFonts w:asciiTheme="minorHAnsi" w:hAnsiTheme="minorHAnsi"/>
          <w:b/>
          <w:bCs/>
          <w:szCs w:val="22"/>
        </w:rPr>
      </w:pPr>
    </w:p>
    <w:p w14:paraId="7DC46DF0" w14:textId="5B4AED25" w:rsidR="006867D3" w:rsidRPr="007E2527" w:rsidRDefault="006867D3" w:rsidP="006867D3">
      <w:pPr>
        <w:rPr>
          <w:rFonts w:asciiTheme="minorHAnsi" w:hAnsiTheme="minorHAnsi"/>
          <w:b/>
          <w:bCs/>
          <w:szCs w:val="22"/>
        </w:rPr>
      </w:pPr>
    </w:p>
    <w:p w14:paraId="29FF07F3" w14:textId="44E91EC6" w:rsidR="00E05E25" w:rsidRPr="007E2527" w:rsidRDefault="00E05E25" w:rsidP="006C6679">
      <w:pPr>
        <w:rPr>
          <w:rFonts w:asciiTheme="minorHAnsi" w:hAnsiTheme="minorHAnsi"/>
          <w:b/>
          <w:bCs/>
          <w:szCs w:val="22"/>
        </w:rPr>
      </w:pPr>
    </w:p>
    <w:p w14:paraId="00842379" w14:textId="77777777" w:rsidR="006D4B2B" w:rsidRPr="007E2527" w:rsidRDefault="006D4B2B" w:rsidP="006C6679">
      <w:pPr>
        <w:rPr>
          <w:rFonts w:asciiTheme="minorHAnsi" w:hAnsiTheme="minorHAnsi"/>
          <w:b/>
          <w:bCs/>
          <w:szCs w:val="22"/>
        </w:rPr>
      </w:pPr>
    </w:p>
    <w:p w14:paraId="05899C9B" w14:textId="77777777" w:rsidR="00E47986" w:rsidRPr="007E2527" w:rsidRDefault="00E47986" w:rsidP="006C6679">
      <w:pPr>
        <w:rPr>
          <w:rFonts w:asciiTheme="minorHAnsi" w:hAnsiTheme="minorHAnsi"/>
          <w:b/>
          <w:bCs/>
          <w:szCs w:val="22"/>
        </w:rPr>
      </w:pPr>
    </w:p>
    <w:p w14:paraId="52547EA4" w14:textId="64380DE0" w:rsidR="006D4B2B" w:rsidRPr="007E2527" w:rsidRDefault="006D4B2B" w:rsidP="006D4B2B">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ethnicity and occupation, 2025 (N=6,241)</w:t>
      </w:r>
    </w:p>
    <w:tbl>
      <w:tblPr>
        <w:tblW w:w="9796" w:type="dxa"/>
        <w:tblLayout w:type="fixed"/>
        <w:tblLook w:val="04A0" w:firstRow="1" w:lastRow="0" w:firstColumn="1" w:lastColumn="0" w:noHBand="0" w:noVBand="1"/>
      </w:tblPr>
      <w:tblGrid>
        <w:gridCol w:w="4705"/>
        <w:gridCol w:w="848"/>
        <w:gridCol w:w="849"/>
        <w:gridCol w:w="848"/>
        <w:gridCol w:w="849"/>
        <w:gridCol w:w="848"/>
        <w:gridCol w:w="849"/>
      </w:tblGrid>
      <w:tr w:rsidR="000655C6" w:rsidRPr="000655C6" w14:paraId="55E9A197" w14:textId="77777777" w:rsidTr="00D267B9">
        <w:trPr>
          <w:trHeight w:val="302"/>
        </w:trPr>
        <w:tc>
          <w:tcPr>
            <w:tcW w:w="4705" w:type="dxa"/>
            <w:tcBorders>
              <w:top w:val="single" w:sz="4" w:space="0" w:color="auto"/>
              <w:left w:val="single" w:sz="4" w:space="0" w:color="auto"/>
              <w:bottom w:val="nil"/>
              <w:right w:val="nil"/>
            </w:tcBorders>
            <w:shd w:val="clear" w:color="000000" w:fill="FFFFFF"/>
            <w:noWrap/>
            <w:vAlign w:val="bottom"/>
            <w:hideMark/>
          </w:tcPr>
          <w:p w14:paraId="20908E8B" w14:textId="77777777" w:rsidR="000655C6" w:rsidRPr="000655C6" w:rsidRDefault="000655C6" w:rsidP="000655C6">
            <w:pPr>
              <w:spacing w:after="0" w:line="240" w:lineRule="auto"/>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 </w:t>
            </w:r>
          </w:p>
        </w:tc>
        <w:tc>
          <w:tcPr>
            <w:tcW w:w="1697"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4B926E3" w14:textId="77777777" w:rsidR="000655C6" w:rsidRPr="000655C6" w:rsidRDefault="000655C6" w:rsidP="0006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Academic</w:t>
            </w:r>
          </w:p>
        </w:tc>
        <w:tc>
          <w:tcPr>
            <w:tcW w:w="1697" w:type="dxa"/>
            <w:gridSpan w:val="2"/>
            <w:tcBorders>
              <w:top w:val="single" w:sz="4" w:space="0" w:color="auto"/>
              <w:left w:val="nil"/>
              <w:bottom w:val="nil"/>
              <w:right w:val="single" w:sz="4" w:space="0" w:color="000000"/>
            </w:tcBorders>
            <w:shd w:val="clear" w:color="000000" w:fill="FFFFFF"/>
            <w:noWrap/>
            <w:vAlign w:val="bottom"/>
            <w:hideMark/>
          </w:tcPr>
          <w:p w14:paraId="2E15BBBE" w14:textId="77777777" w:rsidR="000655C6" w:rsidRPr="000655C6" w:rsidRDefault="000655C6" w:rsidP="0006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Research</w:t>
            </w:r>
          </w:p>
        </w:tc>
        <w:tc>
          <w:tcPr>
            <w:tcW w:w="1697" w:type="dxa"/>
            <w:gridSpan w:val="2"/>
            <w:tcBorders>
              <w:top w:val="single" w:sz="4" w:space="0" w:color="auto"/>
              <w:left w:val="nil"/>
              <w:bottom w:val="nil"/>
              <w:right w:val="single" w:sz="4" w:space="0" w:color="000000"/>
            </w:tcBorders>
            <w:shd w:val="clear" w:color="000000" w:fill="FFFFFF"/>
            <w:noWrap/>
            <w:vAlign w:val="bottom"/>
            <w:hideMark/>
          </w:tcPr>
          <w:p w14:paraId="12D0235F" w14:textId="77777777" w:rsidR="000655C6" w:rsidRPr="000655C6" w:rsidRDefault="000655C6" w:rsidP="0006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PS</w:t>
            </w:r>
          </w:p>
        </w:tc>
      </w:tr>
      <w:tr w:rsidR="00D267B9" w:rsidRPr="000655C6" w14:paraId="28634CE5" w14:textId="77777777" w:rsidTr="00D267B9">
        <w:trPr>
          <w:trHeight w:val="302"/>
        </w:trPr>
        <w:tc>
          <w:tcPr>
            <w:tcW w:w="4705" w:type="dxa"/>
            <w:tcBorders>
              <w:top w:val="nil"/>
              <w:left w:val="single" w:sz="4" w:space="0" w:color="auto"/>
              <w:bottom w:val="single" w:sz="4" w:space="0" w:color="auto"/>
              <w:right w:val="nil"/>
            </w:tcBorders>
            <w:shd w:val="clear" w:color="000000" w:fill="FFFFFF"/>
            <w:noWrap/>
            <w:vAlign w:val="bottom"/>
            <w:hideMark/>
          </w:tcPr>
          <w:p w14:paraId="7EE912E4" w14:textId="77777777" w:rsidR="000655C6" w:rsidRPr="000655C6" w:rsidRDefault="000655C6" w:rsidP="000655C6">
            <w:pPr>
              <w:spacing w:after="0" w:line="240" w:lineRule="auto"/>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 </w:t>
            </w:r>
          </w:p>
        </w:tc>
        <w:tc>
          <w:tcPr>
            <w:tcW w:w="848" w:type="dxa"/>
            <w:tcBorders>
              <w:top w:val="nil"/>
              <w:left w:val="single" w:sz="4" w:space="0" w:color="auto"/>
              <w:bottom w:val="single" w:sz="4" w:space="0" w:color="auto"/>
              <w:right w:val="nil"/>
            </w:tcBorders>
            <w:shd w:val="clear" w:color="000000" w:fill="FFFFFF"/>
            <w:noWrap/>
            <w:vAlign w:val="bottom"/>
            <w:hideMark/>
          </w:tcPr>
          <w:p w14:paraId="4E86AA64"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n</w:t>
            </w:r>
          </w:p>
        </w:tc>
        <w:tc>
          <w:tcPr>
            <w:tcW w:w="849" w:type="dxa"/>
            <w:tcBorders>
              <w:top w:val="nil"/>
              <w:left w:val="nil"/>
              <w:bottom w:val="single" w:sz="4" w:space="0" w:color="auto"/>
              <w:right w:val="single" w:sz="4" w:space="0" w:color="auto"/>
            </w:tcBorders>
            <w:shd w:val="clear" w:color="000000" w:fill="FFFFFF"/>
            <w:noWrap/>
            <w:vAlign w:val="bottom"/>
            <w:hideMark/>
          </w:tcPr>
          <w:p w14:paraId="1F439805"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c>
          <w:tcPr>
            <w:tcW w:w="848" w:type="dxa"/>
            <w:tcBorders>
              <w:top w:val="nil"/>
              <w:left w:val="nil"/>
              <w:bottom w:val="single" w:sz="4" w:space="0" w:color="auto"/>
              <w:right w:val="nil"/>
            </w:tcBorders>
            <w:shd w:val="clear" w:color="000000" w:fill="FFFFFF"/>
            <w:noWrap/>
            <w:vAlign w:val="bottom"/>
            <w:hideMark/>
          </w:tcPr>
          <w:p w14:paraId="7F2BBB8C"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n</w:t>
            </w:r>
          </w:p>
        </w:tc>
        <w:tc>
          <w:tcPr>
            <w:tcW w:w="849" w:type="dxa"/>
            <w:tcBorders>
              <w:top w:val="nil"/>
              <w:left w:val="nil"/>
              <w:bottom w:val="single" w:sz="4" w:space="0" w:color="auto"/>
              <w:right w:val="single" w:sz="4" w:space="0" w:color="auto"/>
            </w:tcBorders>
            <w:shd w:val="clear" w:color="000000" w:fill="FFFFFF"/>
            <w:noWrap/>
            <w:vAlign w:val="bottom"/>
            <w:hideMark/>
          </w:tcPr>
          <w:p w14:paraId="4BC6F1DB"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c>
          <w:tcPr>
            <w:tcW w:w="848" w:type="dxa"/>
            <w:tcBorders>
              <w:top w:val="nil"/>
              <w:left w:val="nil"/>
              <w:bottom w:val="single" w:sz="4" w:space="0" w:color="auto"/>
              <w:right w:val="nil"/>
            </w:tcBorders>
            <w:shd w:val="clear" w:color="000000" w:fill="FFFFFF"/>
            <w:noWrap/>
            <w:vAlign w:val="bottom"/>
            <w:hideMark/>
          </w:tcPr>
          <w:p w14:paraId="2A392C1C"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n</w:t>
            </w:r>
          </w:p>
        </w:tc>
        <w:tc>
          <w:tcPr>
            <w:tcW w:w="849" w:type="dxa"/>
            <w:tcBorders>
              <w:top w:val="nil"/>
              <w:left w:val="nil"/>
              <w:bottom w:val="single" w:sz="4" w:space="0" w:color="auto"/>
              <w:right w:val="single" w:sz="4" w:space="0" w:color="auto"/>
            </w:tcBorders>
            <w:shd w:val="clear" w:color="000000" w:fill="FFFFFF"/>
            <w:noWrap/>
            <w:vAlign w:val="bottom"/>
            <w:hideMark/>
          </w:tcPr>
          <w:p w14:paraId="6E5E07EF"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r>
      <w:tr w:rsidR="00D267B9" w:rsidRPr="000655C6" w14:paraId="135EE697"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0489A46B" w14:textId="77777777" w:rsidR="000655C6" w:rsidRPr="000655C6" w:rsidRDefault="000655C6" w:rsidP="000655C6">
            <w:pPr>
              <w:spacing w:after="0" w:line="240" w:lineRule="auto"/>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Minoritised Ethnic Background</w:t>
            </w:r>
          </w:p>
        </w:tc>
        <w:tc>
          <w:tcPr>
            <w:tcW w:w="848" w:type="dxa"/>
            <w:tcBorders>
              <w:top w:val="nil"/>
              <w:left w:val="single" w:sz="4" w:space="0" w:color="auto"/>
              <w:bottom w:val="nil"/>
              <w:right w:val="nil"/>
            </w:tcBorders>
            <w:shd w:val="clear" w:color="000000" w:fill="FFFFFF"/>
            <w:noWrap/>
            <w:vAlign w:val="bottom"/>
            <w:hideMark/>
          </w:tcPr>
          <w:p w14:paraId="2F754B54"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335</w:t>
            </w:r>
          </w:p>
        </w:tc>
        <w:tc>
          <w:tcPr>
            <w:tcW w:w="849" w:type="dxa"/>
            <w:tcBorders>
              <w:top w:val="nil"/>
              <w:left w:val="nil"/>
              <w:bottom w:val="nil"/>
              <w:right w:val="single" w:sz="4" w:space="0" w:color="auto"/>
            </w:tcBorders>
            <w:shd w:val="clear" w:color="000000" w:fill="FFFFFF"/>
            <w:noWrap/>
            <w:vAlign w:val="bottom"/>
            <w:hideMark/>
          </w:tcPr>
          <w:p w14:paraId="41D7A0AB"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18.0%</w:t>
            </w:r>
          </w:p>
        </w:tc>
        <w:tc>
          <w:tcPr>
            <w:tcW w:w="848" w:type="dxa"/>
            <w:tcBorders>
              <w:top w:val="nil"/>
              <w:left w:val="nil"/>
              <w:bottom w:val="nil"/>
              <w:right w:val="nil"/>
            </w:tcBorders>
            <w:shd w:val="clear" w:color="000000" w:fill="FFFFFF"/>
            <w:noWrap/>
            <w:vAlign w:val="bottom"/>
            <w:hideMark/>
          </w:tcPr>
          <w:p w14:paraId="083BA115"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279</w:t>
            </w:r>
          </w:p>
        </w:tc>
        <w:tc>
          <w:tcPr>
            <w:tcW w:w="849" w:type="dxa"/>
            <w:tcBorders>
              <w:top w:val="nil"/>
              <w:left w:val="nil"/>
              <w:bottom w:val="nil"/>
              <w:right w:val="single" w:sz="4" w:space="0" w:color="auto"/>
            </w:tcBorders>
            <w:shd w:val="clear" w:color="000000" w:fill="FFFFFF"/>
            <w:noWrap/>
            <w:vAlign w:val="bottom"/>
            <w:hideMark/>
          </w:tcPr>
          <w:p w14:paraId="729F57C0"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27.9%</w:t>
            </w:r>
          </w:p>
        </w:tc>
        <w:tc>
          <w:tcPr>
            <w:tcW w:w="848" w:type="dxa"/>
            <w:tcBorders>
              <w:top w:val="nil"/>
              <w:left w:val="nil"/>
              <w:bottom w:val="nil"/>
              <w:right w:val="nil"/>
            </w:tcBorders>
            <w:shd w:val="clear" w:color="000000" w:fill="FFFFFF"/>
            <w:noWrap/>
            <w:vAlign w:val="bottom"/>
            <w:hideMark/>
          </w:tcPr>
          <w:p w14:paraId="65F658A2"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222</w:t>
            </w:r>
          </w:p>
        </w:tc>
        <w:tc>
          <w:tcPr>
            <w:tcW w:w="849" w:type="dxa"/>
            <w:tcBorders>
              <w:top w:val="nil"/>
              <w:left w:val="nil"/>
              <w:bottom w:val="nil"/>
              <w:right w:val="single" w:sz="4" w:space="0" w:color="auto"/>
            </w:tcBorders>
            <w:shd w:val="clear" w:color="000000" w:fill="FFFFFF"/>
            <w:noWrap/>
            <w:vAlign w:val="bottom"/>
            <w:hideMark/>
          </w:tcPr>
          <w:p w14:paraId="36B330AB"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6.6%</w:t>
            </w:r>
          </w:p>
        </w:tc>
      </w:tr>
      <w:tr w:rsidR="00D267B9" w:rsidRPr="000655C6" w14:paraId="0A55133D"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3AC0F9DC" w14:textId="77777777" w:rsidR="000655C6" w:rsidRPr="000655C6" w:rsidRDefault="000655C6" w:rsidP="000655C6">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Black/African/Caribbean/Black British</w:t>
            </w:r>
          </w:p>
        </w:tc>
        <w:tc>
          <w:tcPr>
            <w:tcW w:w="848" w:type="dxa"/>
            <w:tcBorders>
              <w:top w:val="nil"/>
              <w:left w:val="single" w:sz="4" w:space="0" w:color="auto"/>
              <w:bottom w:val="nil"/>
              <w:right w:val="nil"/>
            </w:tcBorders>
            <w:shd w:val="clear" w:color="000000" w:fill="FFFFFF"/>
            <w:noWrap/>
            <w:vAlign w:val="bottom"/>
            <w:hideMark/>
          </w:tcPr>
          <w:p w14:paraId="183E3FF2"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24</w:t>
            </w:r>
          </w:p>
        </w:tc>
        <w:tc>
          <w:tcPr>
            <w:tcW w:w="849" w:type="dxa"/>
            <w:tcBorders>
              <w:top w:val="nil"/>
              <w:left w:val="nil"/>
              <w:bottom w:val="nil"/>
              <w:right w:val="single" w:sz="4" w:space="0" w:color="auto"/>
            </w:tcBorders>
            <w:shd w:val="clear" w:color="000000" w:fill="FFFFFF"/>
            <w:noWrap/>
            <w:vAlign w:val="bottom"/>
            <w:hideMark/>
          </w:tcPr>
          <w:p w14:paraId="2727E448"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1.3%</w:t>
            </w:r>
          </w:p>
        </w:tc>
        <w:tc>
          <w:tcPr>
            <w:tcW w:w="848" w:type="dxa"/>
            <w:tcBorders>
              <w:top w:val="nil"/>
              <w:left w:val="nil"/>
              <w:bottom w:val="nil"/>
              <w:right w:val="nil"/>
            </w:tcBorders>
            <w:shd w:val="clear" w:color="000000" w:fill="FFFFFF"/>
            <w:noWrap/>
            <w:vAlign w:val="bottom"/>
            <w:hideMark/>
          </w:tcPr>
          <w:p w14:paraId="406D6EEE"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36</w:t>
            </w:r>
          </w:p>
        </w:tc>
        <w:tc>
          <w:tcPr>
            <w:tcW w:w="849" w:type="dxa"/>
            <w:tcBorders>
              <w:top w:val="nil"/>
              <w:left w:val="nil"/>
              <w:bottom w:val="nil"/>
              <w:right w:val="single" w:sz="4" w:space="0" w:color="auto"/>
            </w:tcBorders>
            <w:shd w:val="clear" w:color="000000" w:fill="FFFFFF"/>
            <w:noWrap/>
            <w:vAlign w:val="bottom"/>
            <w:hideMark/>
          </w:tcPr>
          <w:p w14:paraId="414572F5"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3.6%</w:t>
            </w:r>
          </w:p>
        </w:tc>
        <w:tc>
          <w:tcPr>
            <w:tcW w:w="848" w:type="dxa"/>
            <w:tcBorders>
              <w:top w:val="nil"/>
              <w:left w:val="nil"/>
              <w:bottom w:val="nil"/>
              <w:right w:val="nil"/>
            </w:tcBorders>
            <w:shd w:val="clear" w:color="000000" w:fill="FFFFFF"/>
            <w:noWrap/>
            <w:vAlign w:val="bottom"/>
            <w:hideMark/>
          </w:tcPr>
          <w:p w14:paraId="2057FA52"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28</w:t>
            </w:r>
          </w:p>
        </w:tc>
        <w:tc>
          <w:tcPr>
            <w:tcW w:w="849" w:type="dxa"/>
            <w:tcBorders>
              <w:top w:val="nil"/>
              <w:left w:val="nil"/>
              <w:bottom w:val="nil"/>
              <w:right w:val="single" w:sz="4" w:space="0" w:color="auto"/>
            </w:tcBorders>
            <w:shd w:val="clear" w:color="000000" w:fill="FFFFFF"/>
            <w:noWrap/>
            <w:vAlign w:val="bottom"/>
            <w:hideMark/>
          </w:tcPr>
          <w:p w14:paraId="6A2AE30B"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0.8%</w:t>
            </w:r>
          </w:p>
        </w:tc>
      </w:tr>
      <w:tr w:rsidR="00D267B9" w:rsidRPr="000655C6" w14:paraId="69ACC663"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7CCFB065" w14:textId="77777777" w:rsidR="000655C6" w:rsidRPr="000655C6" w:rsidRDefault="000655C6" w:rsidP="000655C6">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East Asian/East Asian British</w:t>
            </w:r>
          </w:p>
        </w:tc>
        <w:tc>
          <w:tcPr>
            <w:tcW w:w="848" w:type="dxa"/>
            <w:tcBorders>
              <w:top w:val="nil"/>
              <w:left w:val="single" w:sz="4" w:space="0" w:color="auto"/>
              <w:bottom w:val="nil"/>
              <w:right w:val="nil"/>
            </w:tcBorders>
            <w:shd w:val="clear" w:color="000000" w:fill="FFFFFF"/>
            <w:noWrap/>
            <w:vAlign w:val="bottom"/>
            <w:hideMark/>
          </w:tcPr>
          <w:p w14:paraId="46AF1D75"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142</w:t>
            </w:r>
          </w:p>
        </w:tc>
        <w:tc>
          <w:tcPr>
            <w:tcW w:w="849" w:type="dxa"/>
            <w:tcBorders>
              <w:top w:val="nil"/>
              <w:left w:val="nil"/>
              <w:bottom w:val="nil"/>
              <w:right w:val="single" w:sz="4" w:space="0" w:color="auto"/>
            </w:tcBorders>
            <w:shd w:val="clear" w:color="000000" w:fill="FFFFFF"/>
            <w:noWrap/>
            <w:vAlign w:val="bottom"/>
            <w:hideMark/>
          </w:tcPr>
          <w:p w14:paraId="4709FAA1"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7.6%</w:t>
            </w:r>
          </w:p>
        </w:tc>
        <w:tc>
          <w:tcPr>
            <w:tcW w:w="848" w:type="dxa"/>
            <w:tcBorders>
              <w:top w:val="nil"/>
              <w:left w:val="nil"/>
              <w:bottom w:val="nil"/>
              <w:right w:val="nil"/>
            </w:tcBorders>
            <w:shd w:val="clear" w:color="000000" w:fill="FFFFFF"/>
            <w:noWrap/>
            <w:vAlign w:val="bottom"/>
            <w:hideMark/>
          </w:tcPr>
          <w:p w14:paraId="64E0C642"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104</w:t>
            </w:r>
          </w:p>
        </w:tc>
        <w:tc>
          <w:tcPr>
            <w:tcW w:w="849" w:type="dxa"/>
            <w:tcBorders>
              <w:top w:val="nil"/>
              <w:left w:val="nil"/>
              <w:bottom w:val="nil"/>
              <w:right w:val="single" w:sz="4" w:space="0" w:color="auto"/>
            </w:tcBorders>
            <w:shd w:val="clear" w:color="000000" w:fill="FFFFFF"/>
            <w:noWrap/>
            <w:vAlign w:val="bottom"/>
            <w:hideMark/>
          </w:tcPr>
          <w:p w14:paraId="1E22AEAA"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10.4%</w:t>
            </w:r>
          </w:p>
        </w:tc>
        <w:tc>
          <w:tcPr>
            <w:tcW w:w="848" w:type="dxa"/>
            <w:tcBorders>
              <w:top w:val="nil"/>
              <w:left w:val="nil"/>
              <w:bottom w:val="nil"/>
              <w:right w:val="nil"/>
            </w:tcBorders>
            <w:shd w:val="clear" w:color="000000" w:fill="FFFFFF"/>
            <w:noWrap/>
            <w:vAlign w:val="bottom"/>
            <w:hideMark/>
          </w:tcPr>
          <w:p w14:paraId="33937DAF"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69</w:t>
            </w:r>
          </w:p>
        </w:tc>
        <w:tc>
          <w:tcPr>
            <w:tcW w:w="849" w:type="dxa"/>
            <w:tcBorders>
              <w:top w:val="nil"/>
              <w:left w:val="nil"/>
              <w:bottom w:val="nil"/>
              <w:right w:val="single" w:sz="4" w:space="0" w:color="auto"/>
            </w:tcBorders>
            <w:shd w:val="clear" w:color="000000" w:fill="FFFFFF"/>
            <w:noWrap/>
            <w:vAlign w:val="bottom"/>
            <w:hideMark/>
          </w:tcPr>
          <w:p w14:paraId="3C4978D1"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2.0%</w:t>
            </w:r>
          </w:p>
        </w:tc>
      </w:tr>
      <w:tr w:rsidR="00D267B9" w:rsidRPr="000655C6" w14:paraId="48B6AD9D"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2443A35A" w14:textId="77777777" w:rsidR="000655C6" w:rsidRPr="000655C6" w:rsidRDefault="000655C6" w:rsidP="00D267B9">
            <w:pPr>
              <w:spacing w:after="0" w:line="240" w:lineRule="auto"/>
              <w:ind w:leftChars="100" w:left="447" w:hangingChars="103" w:hanging="227"/>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South &amp; Southeast Asian/South &amp; Southeast Asian British</w:t>
            </w:r>
          </w:p>
        </w:tc>
        <w:tc>
          <w:tcPr>
            <w:tcW w:w="848" w:type="dxa"/>
            <w:tcBorders>
              <w:top w:val="nil"/>
              <w:left w:val="single" w:sz="4" w:space="0" w:color="auto"/>
              <w:bottom w:val="nil"/>
              <w:right w:val="nil"/>
            </w:tcBorders>
            <w:shd w:val="clear" w:color="000000" w:fill="FFFFFF"/>
            <w:noWrap/>
            <w:vAlign w:val="bottom"/>
            <w:hideMark/>
          </w:tcPr>
          <w:p w14:paraId="51DE6FF0"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73</w:t>
            </w:r>
          </w:p>
        </w:tc>
        <w:tc>
          <w:tcPr>
            <w:tcW w:w="849" w:type="dxa"/>
            <w:tcBorders>
              <w:top w:val="nil"/>
              <w:left w:val="nil"/>
              <w:bottom w:val="nil"/>
              <w:right w:val="single" w:sz="4" w:space="0" w:color="auto"/>
            </w:tcBorders>
            <w:shd w:val="clear" w:color="000000" w:fill="FFFFFF"/>
            <w:noWrap/>
            <w:vAlign w:val="bottom"/>
            <w:hideMark/>
          </w:tcPr>
          <w:p w14:paraId="5D792586"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3.9%</w:t>
            </w:r>
          </w:p>
        </w:tc>
        <w:tc>
          <w:tcPr>
            <w:tcW w:w="848" w:type="dxa"/>
            <w:tcBorders>
              <w:top w:val="nil"/>
              <w:left w:val="nil"/>
              <w:bottom w:val="nil"/>
              <w:right w:val="nil"/>
            </w:tcBorders>
            <w:shd w:val="clear" w:color="000000" w:fill="FFFFFF"/>
            <w:noWrap/>
            <w:vAlign w:val="bottom"/>
            <w:hideMark/>
          </w:tcPr>
          <w:p w14:paraId="0BA16FA2"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69</w:t>
            </w:r>
          </w:p>
        </w:tc>
        <w:tc>
          <w:tcPr>
            <w:tcW w:w="849" w:type="dxa"/>
            <w:tcBorders>
              <w:top w:val="nil"/>
              <w:left w:val="nil"/>
              <w:bottom w:val="nil"/>
              <w:right w:val="single" w:sz="4" w:space="0" w:color="auto"/>
            </w:tcBorders>
            <w:shd w:val="clear" w:color="000000" w:fill="FFFFFF"/>
            <w:noWrap/>
            <w:vAlign w:val="bottom"/>
            <w:hideMark/>
          </w:tcPr>
          <w:p w14:paraId="4B44472F"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6.9%</w:t>
            </w:r>
          </w:p>
        </w:tc>
        <w:tc>
          <w:tcPr>
            <w:tcW w:w="848" w:type="dxa"/>
            <w:tcBorders>
              <w:top w:val="nil"/>
              <w:left w:val="nil"/>
              <w:bottom w:val="nil"/>
              <w:right w:val="nil"/>
            </w:tcBorders>
            <w:shd w:val="clear" w:color="000000" w:fill="FFFFFF"/>
            <w:noWrap/>
            <w:vAlign w:val="bottom"/>
            <w:hideMark/>
          </w:tcPr>
          <w:p w14:paraId="156BABCC"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59</w:t>
            </w:r>
          </w:p>
        </w:tc>
        <w:tc>
          <w:tcPr>
            <w:tcW w:w="849" w:type="dxa"/>
            <w:tcBorders>
              <w:top w:val="nil"/>
              <w:left w:val="nil"/>
              <w:bottom w:val="nil"/>
              <w:right w:val="single" w:sz="4" w:space="0" w:color="auto"/>
            </w:tcBorders>
            <w:shd w:val="clear" w:color="000000" w:fill="FFFFFF"/>
            <w:noWrap/>
            <w:vAlign w:val="bottom"/>
            <w:hideMark/>
          </w:tcPr>
          <w:p w14:paraId="5EAA5CCB"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1.7%</w:t>
            </w:r>
          </w:p>
        </w:tc>
      </w:tr>
      <w:tr w:rsidR="00D267B9" w:rsidRPr="000655C6" w14:paraId="2AB1707A"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232F4005" w14:textId="77777777" w:rsidR="000655C6" w:rsidRPr="000655C6" w:rsidRDefault="000655C6" w:rsidP="000655C6">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Mixed/Multiple ethnic groups</w:t>
            </w:r>
          </w:p>
        </w:tc>
        <w:tc>
          <w:tcPr>
            <w:tcW w:w="848" w:type="dxa"/>
            <w:tcBorders>
              <w:top w:val="nil"/>
              <w:left w:val="single" w:sz="4" w:space="0" w:color="auto"/>
              <w:bottom w:val="nil"/>
              <w:right w:val="nil"/>
            </w:tcBorders>
            <w:shd w:val="clear" w:color="000000" w:fill="FFFFFF"/>
            <w:noWrap/>
            <w:vAlign w:val="bottom"/>
            <w:hideMark/>
          </w:tcPr>
          <w:p w14:paraId="66B7CD71"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39</w:t>
            </w:r>
          </w:p>
        </w:tc>
        <w:tc>
          <w:tcPr>
            <w:tcW w:w="849" w:type="dxa"/>
            <w:tcBorders>
              <w:top w:val="nil"/>
              <w:left w:val="nil"/>
              <w:bottom w:val="nil"/>
              <w:right w:val="single" w:sz="4" w:space="0" w:color="auto"/>
            </w:tcBorders>
            <w:shd w:val="clear" w:color="000000" w:fill="FFFFFF"/>
            <w:noWrap/>
            <w:vAlign w:val="bottom"/>
            <w:hideMark/>
          </w:tcPr>
          <w:p w14:paraId="345148C9"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2.1%</w:t>
            </w:r>
          </w:p>
        </w:tc>
        <w:tc>
          <w:tcPr>
            <w:tcW w:w="848" w:type="dxa"/>
            <w:tcBorders>
              <w:top w:val="nil"/>
              <w:left w:val="nil"/>
              <w:bottom w:val="nil"/>
              <w:right w:val="nil"/>
            </w:tcBorders>
            <w:shd w:val="clear" w:color="000000" w:fill="FFFFFF"/>
            <w:noWrap/>
            <w:vAlign w:val="bottom"/>
            <w:hideMark/>
          </w:tcPr>
          <w:p w14:paraId="2D620D9A"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25</w:t>
            </w:r>
          </w:p>
        </w:tc>
        <w:tc>
          <w:tcPr>
            <w:tcW w:w="849" w:type="dxa"/>
            <w:tcBorders>
              <w:top w:val="nil"/>
              <w:left w:val="nil"/>
              <w:bottom w:val="nil"/>
              <w:right w:val="single" w:sz="4" w:space="0" w:color="auto"/>
            </w:tcBorders>
            <w:shd w:val="clear" w:color="000000" w:fill="FFFFFF"/>
            <w:noWrap/>
            <w:vAlign w:val="bottom"/>
            <w:hideMark/>
          </w:tcPr>
          <w:p w14:paraId="25B0AAD5"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2.5%</w:t>
            </w:r>
          </w:p>
        </w:tc>
        <w:tc>
          <w:tcPr>
            <w:tcW w:w="848" w:type="dxa"/>
            <w:tcBorders>
              <w:top w:val="nil"/>
              <w:left w:val="nil"/>
              <w:bottom w:val="nil"/>
              <w:right w:val="nil"/>
            </w:tcBorders>
            <w:shd w:val="clear" w:color="000000" w:fill="FFFFFF"/>
            <w:noWrap/>
            <w:vAlign w:val="bottom"/>
            <w:hideMark/>
          </w:tcPr>
          <w:p w14:paraId="059677B6"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37</w:t>
            </w:r>
          </w:p>
        </w:tc>
        <w:tc>
          <w:tcPr>
            <w:tcW w:w="849" w:type="dxa"/>
            <w:tcBorders>
              <w:top w:val="nil"/>
              <w:left w:val="nil"/>
              <w:bottom w:val="nil"/>
              <w:right w:val="single" w:sz="4" w:space="0" w:color="auto"/>
            </w:tcBorders>
            <w:shd w:val="clear" w:color="000000" w:fill="FFFFFF"/>
            <w:noWrap/>
            <w:vAlign w:val="bottom"/>
            <w:hideMark/>
          </w:tcPr>
          <w:p w14:paraId="787B3BC8"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1.1%</w:t>
            </w:r>
          </w:p>
        </w:tc>
      </w:tr>
      <w:tr w:rsidR="00D267B9" w:rsidRPr="000655C6" w14:paraId="4F61D031"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7434C5DE" w14:textId="77777777" w:rsidR="000655C6" w:rsidRPr="000655C6" w:rsidRDefault="000655C6" w:rsidP="000655C6">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Any ethnic group not considered above</w:t>
            </w:r>
          </w:p>
        </w:tc>
        <w:tc>
          <w:tcPr>
            <w:tcW w:w="848" w:type="dxa"/>
            <w:tcBorders>
              <w:top w:val="nil"/>
              <w:left w:val="single" w:sz="4" w:space="0" w:color="auto"/>
              <w:bottom w:val="nil"/>
              <w:right w:val="nil"/>
            </w:tcBorders>
            <w:shd w:val="clear" w:color="000000" w:fill="FFFFFF"/>
            <w:noWrap/>
            <w:vAlign w:val="bottom"/>
            <w:hideMark/>
          </w:tcPr>
          <w:p w14:paraId="2797D5C7"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57</w:t>
            </w:r>
          </w:p>
        </w:tc>
        <w:tc>
          <w:tcPr>
            <w:tcW w:w="849" w:type="dxa"/>
            <w:tcBorders>
              <w:top w:val="nil"/>
              <w:left w:val="nil"/>
              <w:bottom w:val="nil"/>
              <w:right w:val="single" w:sz="4" w:space="0" w:color="auto"/>
            </w:tcBorders>
            <w:shd w:val="clear" w:color="000000" w:fill="FFFFFF"/>
            <w:noWrap/>
            <w:vAlign w:val="bottom"/>
            <w:hideMark/>
          </w:tcPr>
          <w:p w14:paraId="06F0FE26"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3.1%</w:t>
            </w:r>
          </w:p>
        </w:tc>
        <w:tc>
          <w:tcPr>
            <w:tcW w:w="848" w:type="dxa"/>
            <w:tcBorders>
              <w:top w:val="nil"/>
              <w:left w:val="nil"/>
              <w:bottom w:val="nil"/>
              <w:right w:val="nil"/>
            </w:tcBorders>
            <w:shd w:val="clear" w:color="000000" w:fill="FFFFFF"/>
            <w:noWrap/>
            <w:vAlign w:val="bottom"/>
            <w:hideMark/>
          </w:tcPr>
          <w:p w14:paraId="6652BCE3"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45</w:t>
            </w:r>
          </w:p>
        </w:tc>
        <w:tc>
          <w:tcPr>
            <w:tcW w:w="849" w:type="dxa"/>
            <w:tcBorders>
              <w:top w:val="nil"/>
              <w:left w:val="nil"/>
              <w:bottom w:val="nil"/>
              <w:right w:val="single" w:sz="4" w:space="0" w:color="auto"/>
            </w:tcBorders>
            <w:shd w:val="clear" w:color="000000" w:fill="FFFFFF"/>
            <w:noWrap/>
            <w:vAlign w:val="bottom"/>
            <w:hideMark/>
          </w:tcPr>
          <w:p w14:paraId="0F253C71"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4.5%</w:t>
            </w:r>
          </w:p>
        </w:tc>
        <w:tc>
          <w:tcPr>
            <w:tcW w:w="848" w:type="dxa"/>
            <w:tcBorders>
              <w:top w:val="nil"/>
              <w:left w:val="nil"/>
              <w:bottom w:val="nil"/>
              <w:right w:val="nil"/>
            </w:tcBorders>
            <w:shd w:val="clear" w:color="000000" w:fill="FFFFFF"/>
            <w:noWrap/>
            <w:vAlign w:val="bottom"/>
            <w:hideMark/>
          </w:tcPr>
          <w:p w14:paraId="228C64B7"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29</w:t>
            </w:r>
          </w:p>
        </w:tc>
        <w:tc>
          <w:tcPr>
            <w:tcW w:w="849" w:type="dxa"/>
            <w:tcBorders>
              <w:top w:val="nil"/>
              <w:left w:val="nil"/>
              <w:bottom w:val="nil"/>
              <w:right w:val="single" w:sz="4" w:space="0" w:color="auto"/>
            </w:tcBorders>
            <w:shd w:val="clear" w:color="000000" w:fill="FFFFFF"/>
            <w:noWrap/>
            <w:vAlign w:val="bottom"/>
            <w:hideMark/>
          </w:tcPr>
          <w:p w14:paraId="7F0073A7"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0.9%</w:t>
            </w:r>
          </w:p>
        </w:tc>
      </w:tr>
      <w:tr w:rsidR="00D267B9" w:rsidRPr="000655C6" w14:paraId="0DF41911"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767CD1D2" w14:textId="77777777" w:rsidR="000655C6" w:rsidRPr="000655C6" w:rsidRDefault="000655C6" w:rsidP="000655C6">
            <w:pPr>
              <w:spacing w:after="0" w:line="240" w:lineRule="auto"/>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White</w:t>
            </w:r>
          </w:p>
        </w:tc>
        <w:tc>
          <w:tcPr>
            <w:tcW w:w="848" w:type="dxa"/>
            <w:tcBorders>
              <w:top w:val="nil"/>
              <w:left w:val="single" w:sz="4" w:space="0" w:color="auto"/>
              <w:bottom w:val="nil"/>
              <w:right w:val="nil"/>
            </w:tcBorders>
            <w:shd w:val="clear" w:color="000000" w:fill="FFFFFF"/>
            <w:noWrap/>
            <w:vAlign w:val="bottom"/>
            <w:hideMark/>
          </w:tcPr>
          <w:p w14:paraId="2D8A6651"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1412</w:t>
            </w:r>
          </w:p>
        </w:tc>
        <w:tc>
          <w:tcPr>
            <w:tcW w:w="849" w:type="dxa"/>
            <w:tcBorders>
              <w:top w:val="nil"/>
              <w:left w:val="nil"/>
              <w:bottom w:val="nil"/>
              <w:right w:val="single" w:sz="4" w:space="0" w:color="auto"/>
            </w:tcBorders>
            <w:shd w:val="clear" w:color="000000" w:fill="FFFFFF"/>
            <w:noWrap/>
            <w:vAlign w:val="bottom"/>
            <w:hideMark/>
          </w:tcPr>
          <w:p w14:paraId="3184032C"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75.9%</w:t>
            </w:r>
          </w:p>
        </w:tc>
        <w:tc>
          <w:tcPr>
            <w:tcW w:w="848" w:type="dxa"/>
            <w:tcBorders>
              <w:top w:val="nil"/>
              <w:left w:val="nil"/>
              <w:bottom w:val="nil"/>
              <w:right w:val="nil"/>
            </w:tcBorders>
            <w:shd w:val="clear" w:color="000000" w:fill="FFFFFF"/>
            <w:noWrap/>
            <w:vAlign w:val="bottom"/>
            <w:hideMark/>
          </w:tcPr>
          <w:p w14:paraId="307A8F58"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617</w:t>
            </w:r>
          </w:p>
        </w:tc>
        <w:tc>
          <w:tcPr>
            <w:tcW w:w="849" w:type="dxa"/>
            <w:tcBorders>
              <w:top w:val="nil"/>
              <w:left w:val="nil"/>
              <w:bottom w:val="nil"/>
              <w:right w:val="single" w:sz="4" w:space="0" w:color="auto"/>
            </w:tcBorders>
            <w:shd w:val="clear" w:color="000000" w:fill="FFFFFF"/>
            <w:noWrap/>
            <w:vAlign w:val="bottom"/>
            <w:hideMark/>
          </w:tcPr>
          <w:p w14:paraId="68D9ED12"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61.7%</w:t>
            </w:r>
          </w:p>
        </w:tc>
        <w:tc>
          <w:tcPr>
            <w:tcW w:w="848" w:type="dxa"/>
            <w:tcBorders>
              <w:top w:val="nil"/>
              <w:left w:val="nil"/>
              <w:bottom w:val="nil"/>
              <w:right w:val="nil"/>
            </w:tcBorders>
            <w:shd w:val="clear" w:color="000000" w:fill="FFFFFF"/>
            <w:noWrap/>
            <w:vAlign w:val="bottom"/>
            <w:hideMark/>
          </w:tcPr>
          <w:p w14:paraId="0B68BE08"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3009</w:t>
            </w:r>
          </w:p>
        </w:tc>
        <w:tc>
          <w:tcPr>
            <w:tcW w:w="849" w:type="dxa"/>
            <w:tcBorders>
              <w:top w:val="nil"/>
              <w:left w:val="nil"/>
              <w:bottom w:val="nil"/>
              <w:right w:val="single" w:sz="4" w:space="0" w:color="auto"/>
            </w:tcBorders>
            <w:shd w:val="clear" w:color="000000" w:fill="FFFFFF"/>
            <w:noWrap/>
            <w:vAlign w:val="bottom"/>
            <w:hideMark/>
          </w:tcPr>
          <w:p w14:paraId="4C4F015D"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89.0%</w:t>
            </w:r>
          </w:p>
        </w:tc>
      </w:tr>
      <w:tr w:rsidR="00D267B9" w:rsidRPr="000655C6" w14:paraId="491F95B8" w14:textId="77777777" w:rsidTr="00D267B9">
        <w:trPr>
          <w:trHeight w:val="302"/>
        </w:trPr>
        <w:tc>
          <w:tcPr>
            <w:tcW w:w="4705" w:type="dxa"/>
            <w:tcBorders>
              <w:top w:val="nil"/>
              <w:left w:val="single" w:sz="4" w:space="0" w:color="auto"/>
              <w:bottom w:val="nil"/>
              <w:right w:val="nil"/>
            </w:tcBorders>
            <w:shd w:val="clear" w:color="000000" w:fill="FFFFFF"/>
            <w:noWrap/>
            <w:vAlign w:val="bottom"/>
            <w:hideMark/>
          </w:tcPr>
          <w:p w14:paraId="68725134" w14:textId="77777777" w:rsidR="000655C6" w:rsidRPr="000655C6" w:rsidRDefault="000655C6" w:rsidP="000655C6">
            <w:pPr>
              <w:spacing w:after="0" w:line="240" w:lineRule="auto"/>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Prefer not to say</w:t>
            </w:r>
          </w:p>
        </w:tc>
        <w:tc>
          <w:tcPr>
            <w:tcW w:w="848" w:type="dxa"/>
            <w:tcBorders>
              <w:top w:val="nil"/>
              <w:left w:val="single" w:sz="4" w:space="0" w:color="auto"/>
              <w:bottom w:val="nil"/>
              <w:right w:val="nil"/>
            </w:tcBorders>
            <w:shd w:val="clear" w:color="000000" w:fill="FFFFFF"/>
            <w:noWrap/>
            <w:vAlign w:val="bottom"/>
            <w:hideMark/>
          </w:tcPr>
          <w:p w14:paraId="04A2224B"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113</w:t>
            </w:r>
          </w:p>
        </w:tc>
        <w:tc>
          <w:tcPr>
            <w:tcW w:w="849" w:type="dxa"/>
            <w:tcBorders>
              <w:top w:val="nil"/>
              <w:left w:val="nil"/>
              <w:bottom w:val="nil"/>
              <w:right w:val="single" w:sz="4" w:space="0" w:color="auto"/>
            </w:tcBorders>
            <w:shd w:val="clear" w:color="000000" w:fill="FFFFFF"/>
            <w:noWrap/>
            <w:vAlign w:val="bottom"/>
            <w:hideMark/>
          </w:tcPr>
          <w:p w14:paraId="5B0A4806"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6.1%</w:t>
            </w:r>
          </w:p>
        </w:tc>
        <w:tc>
          <w:tcPr>
            <w:tcW w:w="848" w:type="dxa"/>
            <w:tcBorders>
              <w:top w:val="nil"/>
              <w:left w:val="nil"/>
              <w:bottom w:val="nil"/>
              <w:right w:val="nil"/>
            </w:tcBorders>
            <w:shd w:val="clear" w:color="000000" w:fill="FFFFFF"/>
            <w:noWrap/>
            <w:vAlign w:val="bottom"/>
            <w:hideMark/>
          </w:tcPr>
          <w:p w14:paraId="3479F189"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104</w:t>
            </w:r>
          </w:p>
        </w:tc>
        <w:tc>
          <w:tcPr>
            <w:tcW w:w="849" w:type="dxa"/>
            <w:tcBorders>
              <w:top w:val="nil"/>
              <w:left w:val="nil"/>
              <w:bottom w:val="nil"/>
              <w:right w:val="single" w:sz="4" w:space="0" w:color="auto"/>
            </w:tcBorders>
            <w:shd w:val="clear" w:color="000000" w:fill="FFFFFF"/>
            <w:noWrap/>
            <w:vAlign w:val="bottom"/>
            <w:hideMark/>
          </w:tcPr>
          <w:p w14:paraId="4533E910"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10.4%</w:t>
            </w:r>
          </w:p>
        </w:tc>
        <w:tc>
          <w:tcPr>
            <w:tcW w:w="848" w:type="dxa"/>
            <w:tcBorders>
              <w:top w:val="nil"/>
              <w:left w:val="nil"/>
              <w:bottom w:val="nil"/>
              <w:right w:val="nil"/>
            </w:tcBorders>
            <w:shd w:val="clear" w:color="000000" w:fill="FFFFFF"/>
            <w:noWrap/>
            <w:vAlign w:val="bottom"/>
            <w:hideMark/>
          </w:tcPr>
          <w:p w14:paraId="7380F1E9"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150</w:t>
            </w:r>
          </w:p>
        </w:tc>
        <w:tc>
          <w:tcPr>
            <w:tcW w:w="849" w:type="dxa"/>
            <w:tcBorders>
              <w:top w:val="nil"/>
              <w:left w:val="nil"/>
              <w:bottom w:val="nil"/>
              <w:right w:val="single" w:sz="4" w:space="0" w:color="auto"/>
            </w:tcBorders>
            <w:shd w:val="clear" w:color="000000" w:fill="FFFFFF"/>
            <w:noWrap/>
            <w:vAlign w:val="bottom"/>
            <w:hideMark/>
          </w:tcPr>
          <w:p w14:paraId="34CD7573"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4.4%</w:t>
            </w:r>
          </w:p>
        </w:tc>
      </w:tr>
      <w:tr w:rsidR="00D267B9" w:rsidRPr="000655C6" w14:paraId="6C910837" w14:textId="77777777" w:rsidTr="00D267B9">
        <w:trPr>
          <w:trHeight w:val="318"/>
        </w:trPr>
        <w:tc>
          <w:tcPr>
            <w:tcW w:w="4705" w:type="dxa"/>
            <w:tcBorders>
              <w:top w:val="dotted" w:sz="4" w:space="0" w:color="auto"/>
              <w:left w:val="single" w:sz="4" w:space="0" w:color="auto"/>
              <w:bottom w:val="double" w:sz="6" w:space="0" w:color="auto"/>
              <w:right w:val="nil"/>
            </w:tcBorders>
            <w:shd w:val="clear" w:color="000000" w:fill="FFFFFF"/>
            <w:noWrap/>
            <w:vAlign w:val="bottom"/>
            <w:hideMark/>
          </w:tcPr>
          <w:p w14:paraId="5BBF7E9F" w14:textId="77777777" w:rsidR="000655C6" w:rsidRPr="000655C6" w:rsidRDefault="000655C6" w:rsidP="000655C6">
            <w:pPr>
              <w:spacing w:after="0" w:line="240" w:lineRule="auto"/>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All colleagues</w:t>
            </w:r>
          </w:p>
        </w:tc>
        <w:tc>
          <w:tcPr>
            <w:tcW w:w="848" w:type="dxa"/>
            <w:tcBorders>
              <w:top w:val="dotted" w:sz="4" w:space="0" w:color="auto"/>
              <w:left w:val="single" w:sz="4" w:space="0" w:color="auto"/>
              <w:bottom w:val="double" w:sz="6" w:space="0" w:color="auto"/>
              <w:right w:val="nil"/>
            </w:tcBorders>
            <w:shd w:val="clear" w:color="000000" w:fill="FFFFFF"/>
            <w:noWrap/>
            <w:vAlign w:val="bottom"/>
            <w:hideMark/>
          </w:tcPr>
          <w:p w14:paraId="5C697E3D"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1860</w:t>
            </w:r>
          </w:p>
        </w:tc>
        <w:tc>
          <w:tcPr>
            <w:tcW w:w="849" w:type="dxa"/>
            <w:tcBorders>
              <w:top w:val="dotted" w:sz="4" w:space="0" w:color="auto"/>
              <w:left w:val="nil"/>
              <w:bottom w:val="double" w:sz="6" w:space="0" w:color="auto"/>
              <w:right w:val="single" w:sz="4" w:space="0" w:color="auto"/>
            </w:tcBorders>
            <w:shd w:val="clear" w:color="000000" w:fill="FFFFFF"/>
            <w:noWrap/>
            <w:vAlign w:val="bottom"/>
            <w:hideMark/>
          </w:tcPr>
          <w:p w14:paraId="561CDA40"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w:t>
            </w:r>
          </w:p>
        </w:tc>
        <w:tc>
          <w:tcPr>
            <w:tcW w:w="848" w:type="dxa"/>
            <w:tcBorders>
              <w:top w:val="dotted" w:sz="4" w:space="0" w:color="auto"/>
              <w:left w:val="nil"/>
              <w:bottom w:val="double" w:sz="6" w:space="0" w:color="auto"/>
              <w:right w:val="nil"/>
            </w:tcBorders>
            <w:shd w:val="clear" w:color="000000" w:fill="FFFFFF"/>
            <w:noWrap/>
            <w:vAlign w:val="bottom"/>
            <w:hideMark/>
          </w:tcPr>
          <w:p w14:paraId="2BEDBF43"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1000</w:t>
            </w:r>
          </w:p>
        </w:tc>
        <w:tc>
          <w:tcPr>
            <w:tcW w:w="849" w:type="dxa"/>
            <w:tcBorders>
              <w:top w:val="dotted" w:sz="4" w:space="0" w:color="auto"/>
              <w:left w:val="nil"/>
              <w:bottom w:val="double" w:sz="6" w:space="0" w:color="auto"/>
              <w:right w:val="single" w:sz="4" w:space="0" w:color="auto"/>
            </w:tcBorders>
            <w:shd w:val="clear" w:color="000000" w:fill="FFFFFF"/>
            <w:noWrap/>
            <w:vAlign w:val="bottom"/>
            <w:hideMark/>
          </w:tcPr>
          <w:p w14:paraId="5ACF4A66"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w:t>
            </w:r>
          </w:p>
        </w:tc>
        <w:tc>
          <w:tcPr>
            <w:tcW w:w="848" w:type="dxa"/>
            <w:tcBorders>
              <w:top w:val="dotted" w:sz="4" w:space="0" w:color="auto"/>
              <w:left w:val="nil"/>
              <w:bottom w:val="double" w:sz="6" w:space="0" w:color="auto"/>
              <w:right w:val="nil"/>
            </w:tcBorders>
            <w:shd w:val="clear" w:color="000000" w:fill="FFFFFF"/>
            <w:noWrap/>
            <w:vAlign w:val="bottom"/>
            <w:hideMark/>
          </w:tcPr>
          <w:p w14:paraId="5D661BD2"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3381</w:t>
            </w:r>
          </w:p>
        </w:tc>
        <w:tc>
          <w:tcPr>
            <w:tcW w:w="849" w:type="dxa"/>
            <w:tcBorders>
              <w:top w:val="dotted" w:sz="4" w:space="0" w:color="auto"/>
              <w:left w:val="nil"/>
              <w:bottom w:val="double" w:sz="6" w:space="0" w:color="auto"/>
              <w:right w:val="single" w:sz="4" w:space="0" w:color="auto"/>
            </w:tcBorders>
            <w:shd w:val="clear" w:color="000000" w:fill="FFFFFF"/>
            <w:noWrap/>
            <w:vAlign w:val="bottom"/>
            <w:hideMark/>
          </w:tcPr>
          <w:p w14:paraId="31462F4A"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w:t>
            </w:r>
          </w:p>
        </w:tc>
      </w:tr>
    </w:tbl>
    <w:p w14:paraId="52B51FAE" w14:textId="77777777" w:rsidR="0096239C" w:rsidRDefault="0096239C" w:rsidP="006D4B2B">
      <w:pPr>
        <w:rPr>
          <w:rFonts w:asciiTheme="minorHAnsi" w:hAnsiTheme="minorHAnsi"/>
          <w:b/>
          <w:bCs/>
          <w:szCs w:val="22"/>
        </w:rPr>
      </w:pPr>
    </w:p>
    <w:p w14:paraId="2561AB2D" w14:textId="77777777" w:rsidR="00D267B9" w:rsidRPr="007E2527" w:rsidRDefault="00D267B9" w:rsidP="006D4B2B">
      <w:pPr>
        <w:rPr>
          <w:rFonts w:asciiTheme="minorHAnsi" w:hAnsiTheme="minorHAnsi"/>
          <w:b/>
          <w:bCs/>
          <w:szCs w:val="22"/>
        </w:rPr>
      </w:pPr>
    </w:p>
    <w:p w14:paraId="61949C97" w14:textId="7C47D52A" w:rsidR="00333D83" w:rsidRPr="007E2527" w:rsidRDefault="00333D83" w:rsidP="00333D83">
      <w:pPr>
        <w:pStyle w:val="ListParagraph"/>
        <w:numPr>
          <w:ilvl w:val="2"/>
          <w:numId w:val="11"/>
        </w:numPr>
        <w:rPr>
          <w:rFonts w:asciiTheme="minorHAnsi" w:hAnsiTheme="minorHAnsi"/>
          <w:b/>
          <w:bCs/>
          <w:szCs w:val="22"/>
        </w:rPr>
      </w:pPr>
      <w:r w:rsidRPr="007E2527">
        <w:rPr>
          <w:rFonts w:asciiTheme="minorHAnsi" w:hAnsiTheme="minorHAnsi"/>
          <w:b/>
          <w:bCs/>
          <w:szCs w:val="22"/>
        </w:rPr>
        <w:t>PS colleagues only by ethnicity and job family, 2025 (n=3,381)</w:t>
      </w:r>
    </w:p>
    <w:tbl>
      <w:tblPr>
        <w:tblW w:w="10820" w:type="dxa"/>
        <w:tblLayout w:type="fixed"/>
        <w:tblLook w:val="04A0" w:firstRow="1" w:lastRow="0" w:firstColumn="1" w:lastColumn="0" w:noHBand="0" w:noVBand="1"/>
      </w:tblPr>
      <w:tblGrid>
        <w:gridCol w:w="3140"/>
        <w:gridCol w:w="960"/>
        <w:gridCol w:w="960"/>
        <w:gridCol w:w="960"/>
        <w:gridCol w:w="960"/>
        <w:gridCol w:w="960"/>
        <w:gridCol w:w="960"/>
        <w:gridCol w:w="960"/>
        <w:gridCol w:w="960"/>
      </w:tblGrid>
      <w:tr w:rsidR="000655C6" w:rsidRPr="000655C6" w14:paraId="6B07DFC7" w14:textId="77777777" w:rsidTr="000655C6">
        <w:trPr>
          <w:trHeight w:val="300"/>
        </w:trPr>
        <w:tc>
          <w:tcPr>
            <w:tcW w:w="3140" w:type="dxa"/>
            <w:tcBorders>
              <w:top w:val="single" w:sz="4" w:space="0" w:color="auto"/>
              <w:left w:val="single" w:sz="4" w:space="0" w:color="auto"/>
              <w:bottom w:val="nil"/>
              <w:right w:val="nil"/>
            </w:tcBorders>
            <w:shd w:val="clear" w:color="000000" w:fill="FFFFFF"/>
            <w:noWrap/>
            <w:vAlign w:val="bottom"/>
            <w:hideMark/>
          </w:tcPr>
          <w:p w14:paraId="038C8C79" w14:textId="77777777" w:rsidR="000655C6" w:rsidRPr="000655C6" w:rsidRDefault="000655C6" w:rsidP="000655C6">
            <w:pPr>
              <w:spacing w:after="0" w:line="240" w:lineRule="auto"/>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1F5B69A" w14:textId="77777777" w:rsidR="000655C6" w:rsidRPr="000655C6" w:rsidRDefault="000655C6" w:rsidP="0006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Administrative</w:t>
            </w:r>
          </w:p>
        </w:tc>
        <w:tc>
          <w:tcPr>
            <w:tcW w:w="1920" w:type="dxa"/>
            <w:gridSpan w:val="2"/>
            <w:tcBorders>
              <w:top w:val="single" w:sz="4" w:space="0" w:color="auto"/>
              <w:left w:val="nil"/>
              <w:bottom w:val="nil"/>
              <w:right w:val="nil"/>
            </w:tcBorders>
            <w:shd w:val="clear" w:color="000000" w:fill="FFFFFF"/>
            <w:noWrap/>
            <w:vAlign w:val="bottom"/>
            <w:hideMark/>
          </w:tcPr>
          <w:p w14:paraId="0A6B1813" w14:textId="77777777" w:rsidR="000655C6" w:rsidRPr="000655C6" w:rsidRDefault="000655C6" w:rsidP="0006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Maintenance</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9875A7B" w14:textId="77777777" w:rsidR="000655C6" w:rsidRPr="000655C6" w:rsidRDefault="000655C6" w:rsidP="0006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Operational</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8A708C2" w14:textId="77777777" w:rsidR="000655C6" w:rsidRPr="000655C6" w:rsidRDefault="000655C6" w:rsidP="0006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Specialist</w:t>
            </w:r>
          </w:p>
        </w:tc>
      </w:tr>
      <w:tr w:rsidR="000655C6" w:rsidRPr="007E2527" w14:paraId="0B142E95" w14:textId="77777777" w:rsidTr="000655C6">
        <w:trPr>
          <w:trHeight w:val="300"/>
        </w:trPr>
        <w:tc>
          <w:tcPr>
            <w:tcW w:w="3140" w:type="dxa"/>
            <w:tcBorders>
              <w:top w:val="nil"/>
              <w:left w:val="single" w:sz="4" w:space="0" w:color="auto"/>
              <w:bottom w:val="single" w:sz="4" w:space="0" w:color="auto"/>
              <w:right w:val="nil"/>
            </w:tcBorders>
            <w:shd w:val="clear" w:color="000000" w:fill="FFFFFF"/>
            <w:noWrap/>
            <w:vAlign w:val="bottom"/>
            <w:hideMark/>
          </w:tcPr>
          <w:p w14:paraId="2820C550" w14:textId="77777777" w:rsidR="000655C6" w:rsidRPr="000655C6" w:rsidRDefault="000655C6" w:rsidP="000655C6">
            <w:pPr>
              <w:spacing w:after="0" w:line="240" w:lineRule="auto"/>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0C3E56D2"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E957813"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72C5D2C"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BFF4CE1"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C354327"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25E3331"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2DEBABE"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5AEB9A1" w14:textId="77777777" w:rsidR="000655C6" w:rsidRPr="000655C6" w:rsidRDefault="000655C6" w:rsidP="000655C6">
            <w:pPr>
              <w:spacing w:after="0" w:line="240" w:lineRule="auto"/>
              <w:jc w:val="center"/>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r>
      <w:tr w:rsidR="000655C6" w:rsidRPr="007E2527" w14:paraId="35ED038D" w14:textId="77777777" w:rsidTr="000655C6">
        <w:trPr>
          <w:trHeight w:val="300"/>
        </w:trPr>
        <w:tc>
          <w:tcPr>
            <w:tcW w:w="3140" w:type="dxa"/>
            <w:tcBorders>
              <w:top w:val="nil"/>
              <w:left w:val="single" w:sz="4" w:space="0" w:color="auto"/>
              <w:bottom w:val="nil"/>
              <w:right w:val="nil"/>
            </w:tcBorders>
            <w:shd w:val="clear" w:color="000000" w:fill="FFFFFF"/>
            <w:noWrap/>
            <w:vAlign w:val="bottom"/>
            <w:hideMark/>
          </w:tcPr>
          <w:p w14:paraId="204BD37C" w14:textId="77777777" w:rsidR="000655C6" w:rsidRPr="000655C6" w:rsidRDefault="000655C6" w:rsidP="000655C6">
            <w:pPr>
              <w:spacing w:after="0" w:line="240" w:lineRule="auto"/>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17FD0F38"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137</w:t>
            </w:r>
          </w:p>
        </w:tc>
        <w:tc>
          <w:tcPr>
            <w:tcW w:w="960" w:type="dxa"/>
            <w:tcBorders>
              <w:top w:val="nil"/>
              <w:left w:val="nil"/>
              <w:bottom w:val="nil"/>
              <w:right w:val="single" w:sz="4" w:space="0" w:color="auto"/>
            </w:tcBorders>
            <w:shd w:val="clear" w:color="000000" w:fill="FFFFFF"/>
            <w:noWrap/>
            <w:vAlign w:val="bottom"/>
            <w:hideMark/>
          </w:tcPr>
          <w:p w14:paraId="623DA2A5"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nil"/>
            </w:tcBorders>
            <w:shd w:val="clear" w:color="000000" w:fill="FFFFFF"/>
            <w:noWrap/>
            <w:vAlign w:val="bottom"/>
            <w:hideMark/>
          </w:tcPr>
          <w:p w14:paraId="719582D5"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0FC91EFE"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31B6A242"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467B895B"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3.8%</w:t>
            </w:r>
          </w:p>
        </w:tc>
        <w:tc>
          <w:tcPr>
            <w:tcW w:w="960" w:type="dxa"/>
            <w:tcBorders>
              <w:top w:val="nil"/>
              <w:left w:val="nil"/>
              <w:bottom w:val="nil"/>
              <w:right w:val="nil"/>
            </w:tcBorders>
            <w:shd w:val="clear" w:color="000000" w:fill="FFFFFF"/>
            <w:noWrap/>
            <w:vAlign w:val="bottom"/>
            <w:hideMark/>
          </w:tcPr>
          <w:p w14:paraId="0C513790"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63</w:t>
            </w:r>
          </w:p>
        </w:tc>
        <w:tc>
          <w:tcPr>
            <w:tcW w:w="960" w:type="dxa"/>
            <w:tcBorders>
              <w:top w:val="nil"/>
              <w:left w:val="nil"/>
              <w:bottom w:val="nil"/>
              <w:right w:val="single" w:sz="4" w:space="0" w:color="auto"/>
            </w:tcBorders>
            <w:shd w:val="clear" w:color="000000" w:fill="FFFFFF"/>
            <w:noWrap/>
            <w:vAlign w:val="bottom"/>
            <w:hideMark/>
          </w:tcPr>
          <w:p w14:paraId="22CD3813"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11.2%</w:t>
            </w:r>
          </w:p>
        </w:tc>
      </w:tr>
      <w:tr w:rsidR="000655C6" w:rsidRPr="007E2527" w14:paraId="7B9DAC53" w14:textId="77777777" w:rsidTr="000655C6">
        <w:trPr>
          <w:trHeight w:val="300"/>
        </w:trPr>
        <w:tc>
          <w:tcPr>
            <w:tcW w:w="3140" w:type="dxa"/>
            <w:tcBorders>
              <w:top w:val="nil"/>
              <w:left w:val="single" w:sz="4" w:space="0" w:color="auto"/>
              <w:bottom w:val="nil"/>
              <w:right w:val="nil"/>
            </w:tcBorders>
            <w:shd w:val="clear" w:color="000000" w:fill="FFFFFF"/>
            <w:noWrap/>
            <w:vAlign w:val="bottom"/>
            <w:hideMark/>
          </w:tcPr>
          <w:p w14:paraId="60ADF91C" w14:textId="77777777" w:rsidR="000655C6" w:rsidRPr="000655C6" w:rsidRDefault="000655C6" w:rsidP="000655C6">
            <w:pPr>
              <w:spacing w:after="0" w:line="240" w:lineRule="auto"/>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0D3A8C8E"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2030</w:t>
            </w:r>
          </w:p>
        </w:tc>
        <w:tc>
          <w:tcPr>
            <w:tcW w:w="960" w:type="dxa"/>
            <w:tcBorders>
              <w:top w:val="nil"/>
              <w:left w:val="nil"/>
              <w:bottom w:val="nil"/>
              <w:right w:val="single" w:sz="4" w:space="0" w:color="auto"/>
            </w:tcBorders>
            <w:shd w:val="clear" w:color="000000" w:fill="FFFFFF"/>
            <w:noWrap/>
            <w:vAlign w:val="bottom"/>
            <w:hideMark/>
          </w:tcPr>
          <w:p w14:paraId="1A2ECDD9"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89.7%</w:t>
            </w:r>
          </w:p>
        </w:tc>
        <w:tc>
          <w:tcPr>
            <w:tcW w:w="960" w:type="dxa"/>
            <w:tcBorders>
              <w:top w:val="nil"/>
              <w:left w:val="nil"/>
              <w:bottom w:val="nil"/>
              <w:right w:val="nil"/>
            </w:tcBorders>
            <w:shd w:val="clear" w:color="000000" w:fill="FFFFFF"/>
            <w:noWrap/>
            <w:vAlign w:val="bottom"/>
            <w:hideMark/>
          </w:tcPr>
          <w:p w14:paraId="109BC265"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54</w:t>
            </w:r>
          </w:p>
        </w:tc>
        <w:tc>
          <w:tcPr>
            <w:tcW w:w="960" w:type="dxa"/>
            <w:tcBorders>
              <w:top w:val="nil"/>
              <w:left w:val="nil"/>
              <w:bottom w:val="nil"/>
              <w:right w:val="nil"/>
            </w:tcBorders>
            <w:shd w:val="clear" w:color="000000" w:fill="FFFFFF"/>
            <w:noWrap/>
            <w:vAlign w:val="bottom"/>
            <w:hideMark/>
          </w:tcPr>
          <w:p w14:paraId="427D57E3"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88.5%</w:t>
            </w:r>
          </w:p>
        </w:tc>
        <w:tc>
          <w:tcPr>
            <w:tcW w:w="960" w:type="dxa"/>
            <w:tcBorders>
              <w:top w:val="nil"/>
              <w:left w:val="single" w:sz="4" w:space="0" w:color="auto"/>
              <w:bottom w:val="nil"/>
              <w:right w:val="nil"/>
            </w:tcBorders>
            <w:shd w:val="clear" w:color="000000" w:fill="FFFFFF"/>
            <w:noWrap/>
            <w:vAlign w:val="bottom"/>
            <w:hideMark/>
          </w:tcPr>
          <w:p w14:paraId="5DA165F9"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463</w:t>
            </w:r>
          </w:p>
        </w:tc>
        <w:tc>
          <w:tcPr>
            <w:tcW w:w="960" w:type="dxa"/>
            <w:tcBorders>
              <w:top w:val="nil"/>
              <w:left w:val="nil"/>
              <w:bottom w:val="nil"/>
              <w:right w:val="single" w:sz="4" w:space="0" w:color="auto"/>
            </w:tcBorders>
            <w:shd w:val="clear" w:color="000000" w:fill="FFFFFF"/>
            <w:noWrap/>
            <w:vAlign w:val="bottom"/>
            <w:hideMark/>
          </w:tcPr>
          <w:p w14:paraId="13D1D860"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93.5%</w:t>
            </w:r>
          </w:p>
        </w:tc>
        <w:tc>
          <w:tcPr>
            <w:tcW w:w="960" w:type="dxa"/>
            <w:tcBorders>
              <w:top w:val="nil"/>
              <w:left w:val="nil"/>
              <w:bottom w:val="nil"/>
              <w:right w:val="nil"/>
            </w:tcBorders>
            <w:shd w:val="clear" w:color="000000" w:fill="FFFFFF"/>
            <w:noWrap/>
            <w:vAlign w:val="bottom"/>
            <w:hideMark/>
          </w:tcPr>
          <w:p w14:paraId="7466A952"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462</w:t>
            </w:r>
          </w:p>
        </w:tc>
        <w:tc>
          <w:tcPr>
            <w:tcW w:w="960" w:type="dxa"/>
            <w:tcBorders>
              <w:top w:val="nil"/>
              <w:left w:val="nil"/>
              <w:bottom w:val="nil"/>
              <w:right w:val="single" w:sz="4" w:space="0" w:color="auto"/>
            </w:tcBorders>
            <w:shd w:val="clear" w:color="000000" w:fill="FFFFFF"/>
            <w:noWrap/>
            <w:vAlign w:val="bottom"/>
            <w:hideMark/>
          </w:tcPr>
          <w:p w14:paraId="217AB5D0"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82.2%</w:t>
            </w:r>
          </w:p>
        </w:tc>
      </w:tr>
      <w:tr w:rsidR="000655C6" w:rsidRPr="007E2527" w14:paraId="467426BE" w14:textId="77777777" w:rsidTr="000655C6">
        <w:trPr>
          <w:trHeight w:val="300"/>
        </w:trPr>
        <w:tc>
          <w:tcPr>
            <w:tcW w:w="3140" w:type="dxa"/>
            <w:tcBorders>
              <w:top w:val="nil"/>
              <w:left w:val="single" w:sz="4" w:space="0" w:color="auto"/>
              <w:bottom w:val="nil"/>
              <w:right w:val="nil"/>
            </w:tcBorders>
            <w:shd w:val="clear" w:color="000000" w:fill="FFFFFF"/>
            <w:noWrap/>
            <w:vAlign w:val="bottom"/>
            <w:hideMark/>
          </w:tcPr>
          <w:p w14:paraId="6AE8DC18" w14:textId="77777777" w:rsidR="000655C6" w:rsidRPr="000655C6" w:rsidRDefault="000655C6" w:rsidP="000655C6">
            <w:pPr>
              <w:spacing w:after="0" w:line="240" w:lineRule="auto"/>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2506CF3"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96</w:t>
            </w:r>
          </w:p>
        </w:tc>
        <w:tc>
          <w:tcPr>
            <w:tcW w:w="960" w:type="dxa"/>
            <w:tcBorders>
              <w:top w:val="nil"/>
              <w:left w:val="nil"/>
              <w:bottom w:val="nil"/>
              <w:right w:val="single" w:sz="4" w:space="0" w:color="auto"/>
            </w:tcBorders>
            <w:shd w:val="clear" w:color="000000" w:fill="FFFFFF"/>
            <w:noWrap/>
            <w:vAlign w:val="bottom"/>
            <w:hideMark/>
          </w:tcPr>
          <w:p w14:paraId="62704CDD"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nil"/>
            </w:tcBorders>
            <w:shd w:val="clear" w:color="000000" w:fill="FFFFFF"/>
            <w:noWrap/>
            <w:vAlign w:val="bottom"/>
            <w:hideMark/>
          </w:tcPr>
          <w:p w14:paraId="0941A909"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36FE7438"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5ABD59CA"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single" w:sz="4" w:space="0" w:color="auto"/>
            </w:tcBorders>
            <w:shd w:val="clear" w:color="000000" w:fill="FFFFFF"/>
            <w:noWrap/>
            <w:vAlign w:val="bottom"/>
            <w:hideMark/>
          </w:tcPr>
          <w:p w14:paraId="2D2A853B"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nil"/>
            </w:tcBorders>
            <w:shd w:val="clear" w:color="000000" w:fill="FFFFFF"/>
            <w:noWrap/>
            <w:vAlign w:val="bottom"/>
            <w:hideMark/>
          </w:tcPr>
          <w:p w14:paraId="53460305"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37</w:t>
            </w:r>
          </w:p>
        </w:tc>
        <w:tc>
          <w:tcPr>
            <w:tcW w:w="960" w:type="dxa"/>
            <w:tcBorders>
              <w:top w:val="nil"/>
              <w:left w:val="nil"/>
              <w:bottom w:val="nil"/>
              <w:right w:val="single" w:sz="4" w:space="0" w:color="auto"/>
            </w:tcBorders>
            <w:shd w:val="clear" w:color="000000" w:fill="FFFFFF"/>
            <w:noWrap/>
            <w:vAlign w:val="bottom"/>
            <w:hideMark/>
          </w:tcPr>
          <w:p w14:paraId="3FEEC7CF" w14:textId="77777777" w:rsidR="000655C6" w:rsidRPr="000655C6" w:rsidRDefault="000655C6" w:rsidP="000655C6">
            <w:pPr>
              <w:spacing w:after="0" w:line="240" w:lineRule="auto"/>
              <w:jc w:val="right"/>
              <w:rPr>
                <w:rFonts w:asciiTheme="minorHAnsi" w:eastAsia="Times New Roman" w:hAnsiTheme="minorHAnsi" w:cs="Times New Roman"/>
                <w:color w:val="000000"/>
                <w:kern w:val="0"/>
                <w:szCs w:val="22"/>
                <w:lang w:eastAsia="en-GB"/>
                <w14:ligatures w14:val="none"/>
              </w:rPr>
            </w:pPr>
            <w:r w:rsidRPr="000655C6">
              <w:rPr>
                <w:rFonts w:asciiTheme="minorHAnsi" w:eastAsia="Times New Roman" w:hAnsiTheme="minorHAnsi" w:cs="Times New Roman"/>
                <w:color w:val="000000"/>
                <w:kern w:val="0"/>
                <w:szCs w:val="22"/>
                <w:lang w:eastAsia="en-GB"/>
                <w14:ligatures w14:val="none"/>
              </w:rPr>
              <w:t>6.6%</w:t>
            </w:r>
          </w:p>
        </w:tc>
      </w:tr>
      <w:tr w:rsidR="000655C6" w:rsidRPr="007E2527" w14:paraId="3A498F2A" w14:textId="77777777" w:rsidTr="000655C6">
        <w:trPr>
          <w:trHeight w:val="315"/>
        </w:trPr>
        <w:tc>
          <w:tcPr>
            <w:tcW w:w="3140" w:type="dxa"/>
            <w:tcBorders>
              <w:top w:val="dotted" w:sz="4" w:space="0" w:color="auto"/>
              <w:left w:val="single" w:sz="4" w:space="0" w:color="auto"/>
              <w:bottom w:val="double" w:sz="6" w:space="0" w:color="auto"/>
              <w:right w:val="nil"/>
            </w:tcBorders>
            <w:shd w:val="clear" w:color="000000" w:fill="FFFFFF"/>
            <w:noWrap/>
            <w:vAlign w:val="bottom"/>
            <w:hideMark/>
          </w:tcPr>
          <w:p w14:paraId="70FF18FE" w14:textId="77777777" w:rsidR="000655C6" w:rsidRPr="000655C6" w:rsidRDefault="000655C6" w:rsidP="000655C6">
            <w:pPr>
              <w:spacing w:after="0" w:line="240" w:lineRule="auto"/>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56EBD8A"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2263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46A14F4"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4B2827E"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61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F452244"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A408CB5"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495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962B4ED"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AC3B247"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562</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09B20E3" w14:textId="77777777" w:rsidR="000655C6" w:rsidRPr="000655C6" w:rsidRDefault="000655C6" w:rsidP="0006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655C6">
              <w:rPr>
                <w:rFonts w:asciiTheme="minorHAnsi" w:eastAsia="Times New Roman" w:hAnsiTheme="minorHAnsi" w:cs="Times New Roman"/>
                <w:b/>
                <w:bCs/>
                <w:color w:val="000000"/>
                <w:kern w:val="0"/>
                <w:szCs w:val="22"/>
                <w:lang w:eastAsia="en-GB"/>
                <w14:ligatures w14:val="none"/>
              </w:rPr>
              <w:t>100%</w:t>
            </w:r>
          </w:p>
        </w:tc>
      </w:tr>
    </w:tbl>
    <w:p w14:paraId="52AB4210" w14:textId="072222B3" w:rsidR="00333D83" w:rsidRPr="007E2527" w:rsidRDefault="00333D83" w:rsidP="00333D83">
      <w:pPr>
        <w:rPr>
          <w:rFonts w:asciiTheme="minorHAnsi" w:hAnsiTheme="minorHAnsi"/>
          <w:b/>
          <w:bCs/>
          <w:szCs w:val="22"/>
        </w:rPr>
      </w:pPr>
    </w:p>
    <w:p w14:paraId="4498EBBE" w14:textId="77777777" w:rsidR="000655C6" w:rsidRPr="007E2527" w:rsidRDefault="000655C6" w:rsidP="00333D83">
      <w:pPr>
        <w:rPr>
          <w:rFonts w:asciiTheme="minorHAnsi" w:hAnsiTheme="minorHAnsi"/>
          <w:b/>
          <w:bCs/>
          <w:szCs w:val="22"/>
        </w:rPr>
      </w:pPr>
    </w:p>
    <w:p w14:paraId="2AEF93E2" w14:textId="77777777" w:rsidR="00333D83" w:rsidRPr="007E2527" w:rsidRDefault="00333D83" w:rsidP="00333D83">
      <w:pPr>
        <w:rPr>
          <w:rFonts w:asciiTheme="minorHAnsi" w:hAnsiTheme="minorHAnsi"/>
          <w:b/>
          <w:bCs/>
          <w:szCs w:val="22"/>
        </w:rPr>
      </w:pPr>
    </w:p>
    <w:p w14:paraId="29922C37" w14:textId="668BDF88" w:rsidR="00333D83" w:rsidRPr="007E2527" w:rsidRDefault="00333D83" w:rsidP="00333D83">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Colleagues on academic contracts (R&amp;I, T&amp;R or T&amp;S) by ethnicity and contract type, 2025 (n=2,865)</w:t>
      </w:r>
    </w:p>
    <w:tbl>
      <w:tblPr>
        <w:tblW w:w="8900" w:type="dxa"/>
        <w:tblLayout w:type="fixed"/>
        <w:tblLook w:val="04A0" w:firstRow="1" w:lastRow="0" w:firstColumn="1" w:lastColumn="0" w:noHBand="0" w:noVBand="1"/>
      </w:tblPr>
      <w:tblGrid>
        <w:gridCol w:w="3140"/>
        <w:gridCol w:w="960"/>
        <w:gridCol w:w="960"/>
        <w:gridCol w:w="960"/>
        <w:gridCol w:w="960"/>
        <w:gridCol w:w="960"/>
        <w:gridCol w:w="960"/>
      </w:tblGrid>
      <w:tr w:rsidR="0024490A" w:rsidRPr="0024490A" w14:paraId="049F3A63" w14:textId="77777777" w:rsidTr="0024490A">
        <w:trPr>
          <w:trHeight w:val="300"/>
        </w:trPr>
        <w:tc>
          <w:tcPr>
            <w:tcW w:w="3140" w:type="dxa"/>
            <w:tcBorders>
              <w:top w:val="single" w:sz="4" w:space="0" w:color="auto"/>
              <w:left w:val="single" w:sz="4" w:space="0" w:color="auto"/>
              <w:bottom w:val="nil"/>
              <w:right w:val="nil"/>
            </w:tcBorders>
            <w:shd w:val="clear" w:color="000000" w:fill="FFFFFF"/>
            <w:noWrap/>
            <w:vAlign w:val="bottom"/>
            <w:hideMark/>
          </w:tcPr>
          <w:p w14:paraId="08F3952B"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3AE4341" w14:textId="77777777" w:rsidR="0024490A" w:rsidRPr="0024490A" w:rsidRDefault="0024490A" w:rsidP="002449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R&amp;I</w:t>
            </w:r>
          </w:p>
        </w:tc>
        <w:tc>
          <w:tcPr>
            <w:tcW w:w="1920" w:type="dxa"/>
            <w:gridSpan w:val="2"/>
            <w:tcBorders>
              <w:top w:val="single" w:sz="4" w:space="0" w:color="auto"/>
              <w:left w:val="nil"/>
              <w:bottom w:val="nil"/>
              <w:right w:val="nil"/>
            </w:tcBorders>
            <w:shd w:val="clear" w:color="000000" w:fill="FFFFFF"/>
            <w:noWrap/>
            <w:vAlign w:val="bottom"/>
            <w:hideMark/>
          </w:tcPr>
          <w:p w14:paraId="4F56C3AB" w14:textId="77777777" w:rsidR="0024490A" w:rsidRPr="0024490A" w:rsidRDefault="0024490A" w:rsidP="002449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T&amp;R</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E9D53A8" w14:textId="77777777" w:rsidR="0024490A" w:rsidRPr="0024490A" w:rsidRDefault="0024490A" w:rsidP="002449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T&amp;S</w:t>
            </w:r>
          </w:p>
        </w:tc>
      </w:tr>
      <w:tr w:rsidR="0024490A" w:rsidRPr="0024490A" w14:paraId="039C8548" w14:textId="77777777" w:rsidTr="0024490A">
        <w:trPr>
          <w:trHeight w:val="300"/>
        </w:trPr>
        <w:tc>
          <w:tcPr>
            <w:tcW w:w="3140" w:type="dxa"/>
            <w:tcBorders>
              <w:top w:val="nil"/>
              <w:left w:val="single" w:sz="4" w:space="0" w:color="auto"/>
              <w:bottom w:val="single" w:sz="4" w:space="0" w:color="auto"/>
              <w:right w:val="nil"/>
            </w:tcBorders>
            <w:shd w:val="clear" w:color="000000" w:fill="FFFFFF"/>
            <w:noWrap/>
            <w:vAlign w:val="bottom"/>
            <w:hideMark/>
          </w:tcPr>
          <w:p w14:paraId="6B8FA015" w14:textId="77777777" w:rsidR="0024490A" w:rsidRPr="0024490A" w:rsidRDefault="0024490A" w:rsidP="0024490A">
            <w:pPr>
              <w:spacing w:after="0" w:line="240" w:lineRule="auto"/>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7FFD47B3"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2B4AAD2"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809F974"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1B3B5B4"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64E76B5"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B2CE00E"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r>
      <w:tr w:rsidR="0024490A" w:rsidRPr="0024490A" w14:paraId="4DE9326E" w14:textId="77777777" w:rsidTr="0024490A">
        <w:trPr>
          <w:trHeight w:val="300"/>
        </w:trPr>
        <w:tc>
          <w:tcPr>
            <w:tcW w:w="3140" w:type="dxa"/>
            <w:tcBorders>
              <w:top w:val="nil"/>
              <w:left w:val="single" w:sz="4" w:space="0" w:color="auto"/>
              <w:bottom w:val="nil"/>
              <w:right w:val="nil"/>
            </w:tcBorders>
            <w:shd w:val="clear" w:color="000000" w:fill="FFFFFF"/>
            <w:noWrap/>
            <w:vAlign w:val="bottom"/>
            <w:hideMark/>
          </w:tcPr>
          <w:p w14:paraId="26B1C8F0" w14:textId="77777777" w:rsidR="0024490A" w:rsidRPr="0024490A" w:rsidRDefault="0024490A" w:rsidP="0024490A">
            <w:pPr>
              <w:spacing w:after="0" w:line="240" w:lineRule="auto"/>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0D76785B"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279</w:t>
            </w:r>
          </w:p>
        </w:tc>
        <w:tc>
          <w:tcPr>
            <w:tcW w:w="960" w:type="dxa"/>
            <w:tcBorders>
              <w:top w:val="nil"/>
              <w:left w:val="nil"/>
              <w:bottom w:val="nil"/>
              <w:right w:val="single" w:sz="4" w:space="0" w:color="auto"/>
            </w:tcBorders>
            <w:shd w:val="clear" w:color="000000" w:fill="FFFFFF"/>
            <w:noWrap/>
            <w:vAlign w:val="bottom"/>
            <w:hideMark/>
          </w:tcPr>
          <w:p w14:paraId="14F3F46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27.7%</w:t>
            </w:r>
          </w:p>
        </w:tc>
        <w:tc>
          <w:tcPr>
            <w:tcW w:w="960" w:type="dxa"/>
            <w:tcBorders>
              <w:top w:val="nil"/>
              <w:left w:val="nil"/>
              <w:bottom w:val="nil"/>
              <w:right w:val="nil"/>
            </w:tcBorders>
            <w:shd w:val="clear" w:color="000000" w:fill="FFFFFF"/>
            <w:noWrap/>
            <w:vAlign w:val="bottom"/>
            <w:hideMark/>
          </w:tcPr>
          <w:p w14:paraId="6DF3055A"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253</w:t>
            </w:r>
          </w:p>
        </w:tc>
        <w:tc>
          <w:tcPr>
            <w:tcW w:w="960" w:type="dxa"/>
            <w:tcBorders>
              <w:top w:val="nil"/>
              <w:left w:val="nil"/>
              <w:bottom w:val="nil"/>
              <w:right w:val="nil"/>
            </w:tcBorders>
            <w:shd w:val="clear" w:color="000000" w:fill="FFFFFF"/>
            <w:noWrap/>
            <w:vAlign w:val="bottom"/>
            <w:hideMark/>
          </w:tcPr>
          <w:p w14:paraId="1F213EEA"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18.0%</w:t>
            </w:r>
          </w:p>
        </w:tc>
        <w:tc>
          <w:tcPr>
            <w:tcW w:w="960" w:type="dxa"/>
            <w:tcBorders>
              <w:top w:val="nil"/>
              <w:left w:val="single" w:sz="4" w:space="0" w:color="auto"/>
              <w:bottom w:val="nil"/>
              <w:right w:val="nil"/>
            </w:tcBorders>
            <w:shd w:val="clear" w:color="000000" w:fill="FFFFFF"/>
            <w:noWrap/>
            <w:vAlign w:val="bottom"/>
            <w:hideMark/>
          </w:tcPr>
          <w:p w14:paraId="59775C2A"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82</w:t>
            </w:r>
          </w:p>
        </w:tc>
        <w:tc>
          <w:tcPr>
            <w:tcW w:w="960" w:type="dxa"/>
            <w:tcBorders>
              <w:top w:val="nil"/>
              <w:left w:val="nil"/>
              <w:bottom w:val="nil"/>
              <w:right w:val="single" w:sz="4" w:space="0" w:color="auto"/>
            </w:tcBorders>
            <w:shd w:val="clear" w:color="000000" w:fill="FFFFFF"/>
            <w:noWrap/>
            <w:vAlign w:val="bottom"/>
            <w:hideMark/>
          </w:tcPr>
          <w:p w14:paraId="5317AA3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18.2%</w:t>
            </w:r>
          </w:p>
        </w:tc>
      </w:tr>
      <w:tr w:rsidR="0024490A" w:rsidRPr="0024490A" w14:paraId="587C47E2" w14:textId="77777777" w:rsidTr="0024490A">
        <w:trPr>
          <w:trHeight w:val="300"/>
        </w:trPr>
        <w:tc>
          <w:tcPr>
            <w:tcW w:w="3140" w:type="dxa"/>
            <w:tcBorders>
              <w:top w:val="nil"/>
              <w:left w:val="single" w:sz="4" w:space="0" w:color="auto"/>
              <w:bottom w:val="nil"/>
              <w:right w:val="nil"/>
            </w:tcBorders>
            <w:shd w:val="clear" w:color="000000" w:fill="FFFFFF"/>
            <w:noWrap/>
            <w:vAlign w:val="bottom"/>
            <w:hideMark/>
          </w:tcPr>
          <w:p w14:paraId="06407FE1" w14:textId="77777777" w:rsidR="0024490A" w:rsidRPr="0024490A" w:rsidRDefault="0024490A" w:rsidP="0024490A">
            <w:pPr>
              <w:spacing w:after="0" w:line="240" w:lineRule="auto"/>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73768D0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623</w:t>
            </w:r>
          </w:p>
        </w:tc>
        <w:tc>
          <w:tcPr>
            <w:tcW w:w="960" w:type="dxa"/>
            <w:tcBorders>
              <w:top w:val="nil"/>
              <w:left w:val="nil"/>
              <w:bottom w:val="nil"/>
              <w:right w:val="single" w:sz="4" w:space="0" w:color="auto"/>
            </w:tcBorders>
            <w:shd w:val="clear" w:color="000000" w:fill="FFFFFF"/>
            <w:noWrap/>
            <w:vAlign w:val="bottom"/>
            <w:hideMark/>
          </w:tcPr>
          <w:p w14:paraId="260CA7B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61.9%</w:t>
            </w:r>
          </w:p>
        </w:tc>
        <w:tc>
          <w:tcPr>
            <w:tcW w:w="960" w:type="dxa"/>
            <w:tcBorders>
              <w:top w:val="nil"/>
              <w:left w:val="nil"/>
              <w:bottom w:val="nil"/>
              <w:right w:val="nil"/>
            </w:tcBorders>
            <w:shd w:val="clear" w:color="000000" w:fill="FFFFFF"/>
            <w:noWrap/>
            <w:vAlign w:val="bottom"/>
            <w:hideMark/>
          </w:tcPr>
          <w:p w14:paraId="4E8B32F5"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1068</w:t>
            </w:r>
          </w:p>
        </w:tc>
        <w:tc>
          <w:tcPr>
            <w:tcW w:w="960" w:type="dxa"/>
            <w:tcBorders>
              <w:top w:val="nil"/>
              <w:left w:val="nil"/>
              <w:bottom w:val="nil"/>
              <w:right w:val="nil"/>
            </w:tcBorders>
            <w:shd w:val="clear" w:color="000000" w:fill="FFFFFF"/>
            <w:noWrap/>
            <w:vAlign w:val="bottom"/>
            <w:hideMark/>
          </w:tcPr>
          <w:p w14:paraId="4D2EB72C"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75.9%</w:t>
            </w:r>
          </w:p>
        </w:tc>
        <w:tc>
          <w:tcPr>
            <w:tcW w:w="960" w:type="dxa"/>
            <w:tcBorders>
              <w:top w:val="nil"/>
              <w:left w:val="single" w:sz="4" w:space="0" w:color="auto"/>
              <w:bottom w:val="nil"/>
              <w:right w:val="nil"/>
            </w:tcBorders>
            <w:shd w:val="clear" w:color="000000" w:fill="FFFFFF"/>
            <w:noWrap/>
            <w:vAlign w:val="bottom"/>
            <w:hideMark/>
          </w:tcPr>
          <w:p w14:paraId="1435E87B"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343</w:t>
            </w:r>
          </w:p>
        </w:tc>
        <w:tc>
          <w:tcPr>
            <w:tcW w:w="960" w:type="dxa"/>
            <w:tcBorders>
              <w:top w:val="nil"/>
              <w:left w:val="nil"/>
              <w:bottom w:val="nil"/>
              <w:right w:val="single" w:sz="4" w:space="0" w:color="auto"/>
            </w:tcBorders>
            <w:shd w:val="clear" w:color="000000" w:fill="FFFFFF"/>
            <w:noWrap/>
            <w:vAlign w:val="bottom"/>
            <w:hideMark/>
          </w:tcPr>
          <w:p w14:paraId="732473D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76.1%</w:t>
            </w:r>
          </w:p>
        </w:tc>
      </w:tr>
      <w:tr w:rsidR="0024490A" w:rsidRPr="0024490A" w14:paraId="324338F3" w14:textId="77777777" w:rsidTr="0024490A">
        <w:trPr>
          <w:trHeight w:val="300"/>
        </w:trPr>
        <w:tc>
          <w:tcPr>
            <w:tcW w:w="3140" w:type="dxa"/>
            <w:tcBorders>
              <w:top w:val="nil"/>
              <w:left w:val="single" w:sz="4" w:space="0" w:color="auto"/>
              <w:bottom w:val="nil"/>
              <w:right w:val="nil"/>
            </w:tcBorders>
            <w:shd w:val="clear" w:color="000000" w:fill="FFFFFF"/>
            <w:noWrap/>
            <w:vAlign w:val="bottom"/>
            <w:hideMark/>
          </w:tcPr>
          <w:p w14:paraId="32DE8809" w14:textId="77777777" w:rsidR="0024490A" w:rsidRPr="0024490A" w:rsidRDefault="0024490A" w:rsidP="0024490A">
            <w:pPr>
              <w:spacing w:after="0" w:line="240" w:lineRule="auto"/>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E15A06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105</w:t>
            </w:r>
          </w:p>
        </w:tc>
        <w:tc>
          <w:tcPr>
            <w:tcW w:w="960" w:type="dxa"/>
            <w:tcBorders>
              <w:top w:val="nil"/>
              <w:left w:val="nil"/>
              <w:bottom w:val="nil"/>
              <w:right w:val="single" w:sz="4" w:space="0" w:color="auto"/>
            </w:tcBorders>
            <w:shd w:val="clear" w:color="000000" w:fill="FFFFFF"/>
            <w:noWrap/>
            <w:vAlign w:val="bottom"/>
            <w:hideMark/>
          </w:tcPr>
          <w:p w14:paraId="3EB869A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10.4%</w:t>
            </w:r>
          </w:p>
        </w:tc>
        <w:tc>
          <w:tcPr>
            <w:tcW w:w="960" w:type="dxa"/>
            <w:tcBorders>
              <w:top w:val="nil"/>
              <w:left w:val="nil"/>
              <w:bottom w:val="nil"/>
              <w:right w:val="nil"/>
            </w:tcBorders>
            <w:shd w:val="clear" w:color="000000" w:fill="FFFFFF"/>
            <w:noWrap/>
            <w:vAlign w:val="bottom"/>
            <w:hideMark/>
          </w:tcPr>
          <w:p w14:paraId="43BA601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86</w:t>
            </w:r>
          </w:p>
        </w:tc>
        <w:tc>
          <w:tcPr>
            <w:tcW w:w="960" w:type="dxa"/>
            <w:tcBorders>
              <w:top w:val="nil"/>
              <w:left w:val="nil"/>
              <w:bottom w:val="nil"/>
              <w:right w:val="nil"/>
            </w:tcBorders>
            <w:shd w:val="clear" w:color="000000" w:fill="FFFFFF"/>
            <w:noWrap/>
            <w:vAlign w:val="bottom"/>
            <w:hideMark/>
          </w:tcPr>
          <w:p w14:paraId="6005618B"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6.1%</w:t>
            </w:r>
          </w:p>
        </w:tc>
        <w:tc>
          <w:tcPr>
            <w:tcW w:w="960" w:type="dxa"/>
            <w:tcBorders>
              <w:top w:val="nil"/>
              <w:left w:val="single" w:sz="4" w:space="0" w:color="auto"/>
              <w:bottom w:val="nil"/>
              <w:right w:val="nil"/>
            </w:tcBorders>
            <w:shd w:val="clear" w:color="000000" w:fill="FFFFFF"/>
            <w:noWrap/>
            <w:vAlign w:val="bottom"/>
            <w:hideMark/>
          </w:tcPr>
          <w:p w14:paraId="497BEFC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single" w:sz="4" w:space="0" w:color="auto"/>
            </w:tcBorders>
            <w:shd w:val="clear" w:color="000000" w:fill="FFFFFF"/>
            <w:noWrap/>
            <w:vAlign w:val="bottom"/>
            <w:hideMark/>
          </w:tcPr>
          <w:p w14:paraId="32A9AC4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5.8%</w:t>
            </w:r>
          </w:p>
        </w:tc>
      </w:tr>
      <w:tr w:rsidR="0024490A" w:rsidRPr="0024490A" w14:paraId="5EBEF679" w14:textId="77777777" w:rsidTr="0024490A">
        <w:trPr>
          <w:trHeight w:val="315"/>
        </w:trPr>
        <w:tc>
          <w:tcPr>
            <w:tcW w:w="3140" w:type="dxa"/>
            <w:tcBorders>
              <w:top w:val="dotted" w:sz="4" w:space="0" w:color="auto"/>
              <w:left w:val="single" w:sz="4" w:space="0" w:color="auto"/>
              <w:bottom w:val="double" w:sz="6" w:space="0" w:color="auto"/>
              <w:right w:val="nil"/>
            </w:tcBorders>
            <w:shd w:val="clear" w:color="000000" w:fill="FFFFFF"/>
            <w:noWrap/>
            <w:vAlign w:val="bottom"/>
            <w:hideMark/>
          </w:tcPr>
          <w:p w14:paraId="57EC803E"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2700ACAE"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FED671A"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1992CC2"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1407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C56DFEC"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BD94B96"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451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A356DB8"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r>
    </w:tbl>
    <w:p w14:paraId="0F904F58" w14:textId="34E1BC71" w:rsidR="00333D83" w:rsidRPr="007E2527" w:rsidRDefault="00333D83" w:rsidP="00333D83">
      <w:pPr>
        <w:rPr>
          <w:rFonts w:asciiTheme="minorHAnsi" w:hAnsiTheme="minorHAnsi"/>
          <w:b/>
          <w:bCs/>
          <w:szCs w:val="22"/>
        </w:rPr>
      </w:pPr>
    </w:p>
    <w:p w14:paraId="6D3A0493" w14:textId="2FA25014" w:rsidR="004C0D0E" w:rsidRPr="007E2527" w:rsidRDefault="004C0D0E" w:rsidP="00333D83">
      <w:pPr>
        <w:rPr>
          <w:rFonts w:asciiTheme="minorHAnsi" w:hAnsiTheme="minorHAnsi"/>
          <w:szCs w:val="22"/>
        </w:rPr>
      </w:pPr>
      <w:r w:rsidRPr="007E2527">
        <w:rPr>
          <w:rFonts w:asciiTheme="minorHAnsi" w:hAnsiTheme="minorHAnsi"/>
          <w:szCs w:val="22"/>
        </w:rPr>
        <w:t>Note. There are 9 PS colleagues on T&amp;R contracts included in these numbers.</w:t>
      </w:r>
    </w:p>
    <w:p w14:paraId="313C9403" w14:textId="77777777" w:rsidR="004C0D0E" w:rsidRPr="007E2527" w:rsidRDefault="004C0D0E" w:rsidP="00333D83">
      <w:pPr>
        <w:rPr>
          <w:rFonts w:asciiTheme="minorHAnsi" w:hAnsiTheme="minorHAnsi"/>
          <w:szCs w:val="22"/>
        </w:rPr>
      </w:pPr>
    </w:p>
    <w:p w14:paraId="10E55A77" w14:textId="77777777" w:rsidR="004C0D0E" w:rsidRPr="007E2527" w:rsidRDefault="004C0D0E" w:rsidP="00333D83">
      <w:pPr>
        <w:rPr>
          <w:rFonts w:asciiTheme="minorHAnsi" w:hAnsiTheme="minorHAnsi"/>
          <w:szCs w:val="22"/>
        </w:rPr>
      </w:pPr>
    </w:p>
    <w:p w14:paraId="39207882" w14:textId="77777777" w:rsidR="004C0D0E" w:rsidRPr="007E2527" w:rsidRDefault="004C0D0E" w:rsidP="00333D83">
      <w:pPr>
        <w:rPr>
          <w:rFonts w:asciiTheme="minorHAnsi" w:hAnsiTheme="minorHAnsi"/>
          <w:szCs w:val="22"/>
        </w:rPr>
      </w:pPr>
    </w:p>
    <w:p w14:paraId="1A9FB816" w14:textId="77777777" w:rsidR="004C0D0E" w:rsidRPr="007E2527" w:rsidRDefault="004C0D0E" w:rsidP="00333D83">
      <w:pPr>
        <w:rPr>
          <w:rFonts w:asciiTheme="minorHAnsi" w:hAnsiTheme="minorHAnsi"/>
          <w:szCs w:val="22"/>
        </w:rPr>
      </w:pPr>
    </w:p>
    <w:p w14:paraId="6D74A0D2" w14:textId="77777777" w:rsidR="004C0D0E" w:rsidRPr="007E2527" w:rsidRDefault="004C0D0E" w:rsidP="00333D83">
      <w:pPr>
        <w:rPr>
          <w:rFonts w:asciiTheme="minorHAnsi" w:hAnsiTheme="minorHAnsi"/>
          <w:szCs w:val="22"/>
        </w:rPr>
      </w:pPr>
    </w:p>
    <w:p w14:paraId="782B3210" w14:textId="77777777" w:rsidR="00731959" w:rsidRPr="007E2527" w:rsidRDefault="00731959" w:rsidP="00333D83">
      <w:pPr>
        <w:rPr>
          <w:rFonts w:asciiTheme="minorHAnsi" w:hAnsiTheme="minorHAnsi"/>
          <w:szCs w:val="22"/>
        </w:rPr>
      </w:pPr>
    </w:p>
    <w:p w14:paraId="1F5D4BDF" w14:textId="77777777" w:rsidR="0024490A" w:rsidRPr="007E2527" w:rsidRDefault="0024490A" w:rsidP="00333D83">
      <w:pPr>
        <w:rPr>
          <w:rFonts w:asciiTheme="minorHAnsi" w:hAnsiTheme="minorHAnsi"/>
          <w:szCs w:val="22"/>
        </w:rPr>
      </w:pPr>
    </w:p>
    <w:p w14:paraId="4B1E1D1F" w14:textId="77777777" w:rsidR="0024490A" w:rsidRPr="007E2527" w:rsidRDefault="0024490A" w:rsidP="00333D83">
      <w:pPr>
        <w:rPr>
          <w:rFonts w:asciiTheme="minorHAnsi" w:hAnsiTheme="minorHAnsi"/>
          <w:szCs w:val="22"/>
        </w:rPr>
      </w:pPr>
    </w:p>
    <w:p w14:paraId="63CC2E2C" w14:textId="77777777" w:rsidR="0024490A" w:rsidRPr="007E2527" w:rsidRDefault="0024490A" w:rsidP="00333D83">
      <w:pPr>
        <w:rPr>
          <w:rFonts w:asciiTheme="minorHAnsi" w:hAnsiTheme="minorHAnsi"/>
          <w:szCs w:val="22"/>
        </w:rPr>
      </w:pPr>
    </w:p>
    <w:p w14:paraId="448CBEAC" w14:textId="77777777" w:rsidR="0024490A" w:rsidRPr="007E2527" w:rsidRDefault="0024490A" w:rsidP="00333D83">
      <w:pPr>
        <w:rPr>
          <w:rFonts w:asciiTheme="minorHAnsi" w:hAnsiTheme="minorHAnsi"/>
          <w:szCs w:val="22"/>
        </w:rPr>
      </w:pPr>
    </w:p>
    <w:p w14:paraId="2E66C9D2" w14:textId="77777777" w:rsidR="0024490A" w:rsidRPr="007E2527" w:rsidRDefault="0024490A" w:rsidP="00333D83">
      <w:pPr>
        <w:rPr>
          <w:rFonts w:asciiTheme="minorHAnsi" w:hAnsiTheme="minorHAnsi"/>
          <w:szCs w:val="22"/>
        </w:rPr>
      </w:pPr>
    </w:p>
    <w:p w14:paraId="54065A77" w14:textId="77777777" w:rsidR="0024490A" w:rsidRPr="007E2527" w:rsidRDefault="0024490A" w:rsidP="00333D83">
      <w:pPr>
        <w:rPr>
          <w:rFonts w:asciiTheme="minorHAnsi" w:hAnsiTheme="minorHAnsi"/>
          <w:szCs w:val="22"/>
        </w:rPr>
      </w:pPr>
    </w:p>
    <w:p w14:paraId="36E1EEF8" w14:textId="7D6D1744" w:rsidR="004C0D0E" w:rsidRPr="007E2527" w:rsidRDefault="004C0D0E" w:rsidP="004C0D0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and ethnicity, and occupation, 2025 (N=6,241)</w:t>
      </w:r>
    </w:p>
    <w:tbl>
      <w:tblPr>
        <w:tblW w:w="9105" w:type="dxa"/>
        <w:tblLayout w:type="fixed"/>
        <w:tblLook w:val="04A0" w:firstRow="1" w:lastRow="0" w:firstColumn="1" w:lastColumn="0" w:noHBand="0" w:noVBand="1"/>
      </w:tblPr>
      <w:tblGrid>
        <w:gridCol w:w="3345"/>
        <w:gridCol w:w="960"/>
        <w:gridCol w:w="960"/>
        <w:gridCol w:w="960"/>
        <w:gridCol w:w="960"/>
        <w:gridCol w:w="960"/>
        <w:gridCol w:w="960"/>
      </w:tblGrid>
      <w:tr w:rsidR="0024490A" w:rsidRPr="0024490A" w14:paraId="2FC1BAE3" w14:textId="77777777" w:rsidTr="00E97FCD">
        <w:trPr>
          <w:trHeight w:val="300"/>
        </w:trPr>
        <w:tc>
          <w:tcPr>
            <w:tcW w:w="3345" w:type="dxa"/>
            <w:tcBorders>
              <w:top w:val="single" w:sz="4" w:space="0" w:color="auto"/>
              <w:left w:val="single" w:sz="4" w:space="0" w:color="auto"/>
              <w:bottom w:val="nil"/>
              <w:right w:val="nil"/>
            </w:tcBorders>
            <w:shd w:val="clear" w:color="000000" w:fill="FFFFFF"/>
            <w:noWrap/>
            <w:vAlign w:val="bottom"/>
            <w:hideMark/>
          </w:tcPr>
          <w:p w14:paraId="56D717D0"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4B9625A" w14:textId="77777777" w:rsidR="0024490A" w:rsidRPr="0024490A" w:rsidRDefault="0024490A" w:rsidP="002449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nil"/>
            </w:tcBorders>
            <w:shd w:val="clear" w:color="000000" w:fill="FFFFFF"/>
            <w:noWrap/>
            <w:vAlign w:val="bottom"/>
            <w:hideMark/>
          </w:tcPr>
          <w:p w14:paraId="26FEDDBB" w14:textId="77777777" w:rsidR="0024490A" w:rsidRPr="0024490A" w:rsidRDefault="0024490A" w:rsidP="002449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A8D09E8" w14:textId="77777777" w:rsidR="0024490A" w:rsidRPr="0024490A" w:rsidRDefault="0024490A" w:rsidP="0024490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PS</w:t>
            </w:r>
          </w:p>
        </w:tc>
      </w:tr>
      <w:tr w:rsidR="00E97FCD" w:rsidRPr="0024490A" w14:paraId="311E59E5" w14:textId="77777777" w:rsidTr="00E97FCD">
        <w:trPr>
          <w:trHeight w:val="300"/>
        </w:trPr>
        <w:tc>
          <w:tcPr>
            <w:tcW w:w="3345" w:type="dxa"/>
            <w:tcBorders>
              <w:top w:val="nil"/>
              <w:left w:val="single" w:sz="4" w:space="0" w:color="auto"/>
              <w:bottom w:val="single" w:sz="4" w:space="0" w:color="auto"/>
              <w:right w:val="nil"/>
            </w:tcBorders>
            <w:shd w:val="clear" w:color="000000" w:fill="FFFFFF"/>
            <w:noWrap/>
            <w:vAlign w:val="bottom"/>
            <w:hideMark/>
          </w:tcPr>
          <w:p w14:paraId="362B5362" w14:textId="77777777" w:rsidR="0024490A" w:rsidRPr="0024490A" w:rsidRDefault="0024490A" w:rsidP="0024490A">
            <w:pPr>
              <w:spacing w:after="0" w:line="240" w:lineRule="auto"/>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372AA3EE"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9DFA651"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3FC6EDC"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5635A418"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62E51312"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9197807" w14:textId="77777777" w:rsidR="0024490A" w:rsidRPr="0024490A" w:rsidRDefault="0024490A" w:rsidP="0024490A">
            <w:pPr>
              <w:spacing w:after="0" w:line="240" w:lineRule="auto"/>
              <w:jc w:val="center"/>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r>
      <w:tr w:rsidR="00E97FCD" w:rsidRPr="0024490A" w14:paraId="13004E55"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746B6641"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24490A">
              <w:rPr>
                <w:rFonts w:asciiTheme="minorHAnsi" w:eastAsia="Times New Roman" w:hAnsiTheme="minorHAnsi" w:cs="Times New Roman"/>
                <w:b/>
                <w:bCs/>
                <w:color w:val="000000"/>
                <w:kern w:val="0"/>
                <w:szCs w:val="22"/>
                <w:lang w:eastAsia="en-GB"/>
                <w14:ligatures w14:val="none"/>
              </w:rPr>
              <w:t>HaSS</w:t>
            </w:r>
            <w:proofErr w:type="spellEnd"/>
          </w:p>
        </w:tc>
        <w:tc>
          <w:tcPr>
            <w:tcW w:w="960" w:type="dxa"/>
            <w:tcBorders>
              <w:top w:val="nil"/>
              <w:left w:val="single" w:sz="4" w:space="0" w:color="auto"/>
              <w:bottom w:val="nil"/>
              <w:right w:val="nil"/>
            </w:tcBorders>
            <w:shd w:val="clear" w:color="000000" w:fill="FFFFFF"/>
            <w:noWrap/>
            <w:vAlign w:val="bottom"/>
            <w:hideMark/>
          </w:tcPr>
          <w:p w14:paraId="573EB111"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809</w:t>
            </w:r>
          </w:p>
        </w:tc>
        <w:tc>
          <w:tcPr>
            <w:tcW w:w="960" w:type="dxa"/>
            <w:tcBorders>
              <w:top w:val="nil"/>
              <w:left w:val="nil"/>
              <w:bottom w:val="nil"/>
              <w:right w:val="single" w:sz="4" w:space="0" w:color="auto"/>
            </w:tcBorders>
            <w:shd w:val="clear" w:color="000000" w:fill="FFFFFF"/>
            <w:noWrap/>
            <w:vAlign w:val="bottom"/>
            <w:hideMark/>
          </w:tcPr>
          <w:p w14:paraId="1B1BB0EB"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nil"/>
              <w:bottom w:val="nil"/>
              <w:right w:val="nil"/>
            </w:tcBorders>
            <w:shd w:val="clear" w:color="000000" w:fill="FFFFFF"/>
            <w:noWrap/>
            <w:vAlign w:val="bottom"/>
            <w:hideMark/>
          </w:tcPr>
          <w:p w14:paraId="105EF5C0"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89</w:t>
            </w:r>
          </w:p>
        </w:tc>
        <w:tc>
          <w:tcPr>
            <w:tcW w:w="960" w:type="dxa"/>
            <w:tcBorders>
              <w:top w:val="nil"/>
              <w:left w:val="nil"/>
              <w:bottom w:val="nil"/>
              <w:right w:val="nil"/>
            </w:tcBorders>
            <w:shd w:val="clear" w:color="000000" w:fill="FFFFFF"/>
            <w:noWrap/>
            <w:vAlign w:val="bottom"/>
            <w:hideMark/>
          </w:tcPr>
          <w:p w14:paraId="26067A14"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single" w:sz="4" w:space="0" w:color="auto"/>
              <w:bottom w:val="nil"/>
              <w:right w:val="nil"/>
            </w:tcBorders>
            <w:shd w:val="clear" w:color="000000" w:fill="FFFFFF"/>
            <w:noWrap/>
            <w:vAlign w:val="bottom"/>
            <w:hideMark/>
          </w:tcPr>
          <w:p w14:paraId="61861500"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297</w:t>
            </w:r>
          </w:p>
        </w:tc>
        <w:tc>
          <w:tcPr>
            <w:tcW w:w="960" w:type="dxa"/>
            <w:tcBorders>
              <w:top w:val="nil"/>
              <w:left w:val="nil"/>
              <w:bottom w:val="nil"/>
              <w:right w:val="single" w:sz="4" w:space="0" w:color="auto"/>
            </w:tcBorders>
            <w:shd w:val="clear" w:color="000000" w:fill="FFFFFF"/>
            <w:noWrap/>
            <w:vAlign w:val="bottom"/>
            <w:hideMark/>
          </w:tcPr>
          <w:p w14:paraId="6FE082A1"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r>
      <w:tr w:rsidR="00E97FCD" w:rsidRPr="0024490A" w14:paraId="069162F3"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0DC9BF77"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0FC2EEA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148</w:t>
            </w:r>
          </w:p>
        </w:tc>
        <w:tc>
          <w:tcPr>
            <w:tcW w:w="960" w:type="dxa"/>
            <w:tcBorders>
              <w:top w:val="nil"/>
              <w:left w:val="nil"/>
              <w:bottom w:val="nil"/>
              <w:right w:val="single" w:sz="4" w:space="0" w:color="auto"/>
            </w:tcBorders>
            <w:shd w:val="clear" w:color="000000" w:fill="FFFFFF"/>
            <w:noWrap/>
            <w:vAlign w:val="bottom"/>
            <w:hideMark/>
          </w:tcPr>
          <w:p w14:paraId="44496B6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18.3%</w:t>
            </w:r>
          </w:p>
        </w:tc>
        <w:tc>
          <w:tcPr>
            <w:tcW w:w="960" w:type="dxa"/>
            <w:tcBorders>
              <w:top w:val="nil"/>
              <w:left w:val="nil"/>
              <w:bottom w:val="nil"/>
              <w:right w:val="nil"/>
            </w:tcBorders>
            <w:shd w:val="clear" w:color="000000" w:fill="FFFFFF"/>
            <w:noWrap/>
            <w:vAlign w:val="bottom"/>
            <w:hideMark/>
          </w:tcPr>
          <w:p w14:paraId="4FA960B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2FF0760B"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23.6%</w:t>
            </w:r>
          </w:p>
        </w:tc>
        <w:tc>
          <w:tcPr>
            <w:tcW w:w="960" w:type="dxa"/>
            <w:tcBorders>
              <w:top w:val="nil"/>
              <w:left w:val="single" w:sz="4" w:space="0" w:color="auto"/>
              <w:bottom w:val="nil"/>
              <w:right w:val="nil"/>
            </w:tcBorders>
            <w:shd w:val="clear" w:color="000000" w:fill="FFFFFF"/>
            <w:noWrap/>
            <w:vAlign w:val="bottom"/>
            <w:hideMark/>
          </w:tcPr>
          <w:p w14:paraId="36ED5FDC"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22</w:t>
            </w:r>
          </w:p>
        </w:tc>
        <w:tc>
          <w:tcPr>
            <w:tcW w:w="960" w:type="dxa"/>
            <w:tcBorders>
              <w:top w:val="nil"/>
              <w:left w:val="nil"/>
              <w:bottom w:val="nil"/>
              <w:right w:val="single" w:sz="4" w:space="0" w:color="auto"/>
            </w:tcBorders>
            <w:shd w:val="clear" w:color="000000" w:fill="FFFFFF"/>
            <w:noWrap/>
            <w:vAlign w:val="bottom"/>
            <w:hideMark/>
          </w:tcPr>
          <w:p w14:paraId="4B8348EC"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7.4%</w:t>
            </w:r>
          </w:p>
        </w:tc>
      </w:tr>
      <w:tr w:rsidR="00E97FCD" w:rsidRPr="0024490A" w14:paraId="078B4CC8"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128DB642"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6195BB5F"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603</w:t>
            </w:r>
          </w:p>
        </w:tc>
        <w:tc>
          <w:tcPr>
            <w:tcW w:w="960" w:type="dxa"/>
            <w:tcBorders>
              <w:top w:val="nil"/>
              <w:left w:val="nil"/>
              <w:bottom w:val="nil"/>
              <w:right w:val="single" w:sz="4" w:space="0" w:color="auto"/>
            </w:tcBorders>
            <w:shd w:val="clear" w:color="000000" w:fill="FFFFFF"/>
            <w:noWrap/>
            <w:vAlign w:val="bottom"/>
            <w:hideMark/>
          </w:tcPr>
          <w:p w14:paraId="48420A9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74.5%</w:t>
            </w:r>
          </w:p>
        </w:tc>
        <w:tc>
          <w:tcPr>
            <w:tcW w:w="960" w:type="dxa"/>
            <w:tcBorders>
              <w:top w:val="nil"/>
              <w:left w:val="nil"/>
              <w:bottom w:val="nil"/>
              <w:right w:val="nil"/>
            </w:tcBorders>
            <w:shd w:val="clear" w:color="000000" w:fill="FFFFFF"/>
            <w:noWrap/>
            <w:vAlign w:val="bottom"/>
            <w:hideMark/>
          </w:tcPr>
          <w:p w14:paraId="289D565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62</w:t>
            </w:r>
          </w:p>
        </w:tc>
        <w:tc>
          <w:tcPr>
            <w:tcW w:w="960" w:type="dxa"/>
            <w:tcBorders>
              <w:top w:val="nil"/>
              <w:left w:val="nil"/>
              <w:bottom w:val="nil"/>
              <w:right w:val="nil"/>
            </w:tcBorders>
            <w:shd w:val="clear" w:color="000000" w:fill="FFFFFF"/>
            <w:noWrap/>
            <w:vAlign w:val="bottom"/>
            <w:hideMark/>
          </w:tcPr>
          <w:p w14:paraId="370526E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69.7%</w:t>
            </w:r>
          </w:p>
        </w:tc>
        <w:tc>
          <w:tcPr>
            <w:tcW w:w="960" w:type="dxa"/>
            <w:tcBorders>
              <w:top w:val="nil"/>
              <w:left w:val="single" w:sz="4" w:space="0" w:color="auto"/>
              <w:bottom w:val="nil"/>
              <w:right w:val="nil"/>
            </w:tcBorders>
            <w:shd w:val="clear" w:color="000000" w:fill="FFFFFF"/>
            <w:noWrap/>
            <w:vAlign w:val="bottom"/>
            <w:hideMark/>
          </w:tcPr>
          <w:p w14:paraId="5BB1948D"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265</w:t>
            </w:r>
          </w:p>
        </w:tc>
        <w:tc>
          <w:tcPr>
            <w:tcW w:w="960" w:type="dxa"/>
            <w:tcBorders>
              <w:top w:val="nil"/>
              <w:left w:val="nil"/>
              <w:bottom w:val="nil"/>
              <w:right w:val="single" w:sz="4" w:space="0" w:color="auto"/>
            </w:tcBorders>
            <w:shd w:val="clear" w:color="000000" w:fill="FFFFFF"/>
            <w:noWrap/>
            <w:vAlign w:val="bottom"/>
            <w:hideMark/>
          </w:tcPr>
          <w:p w14:paraId="469CC70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89.2%</w:t>
            </w:r>
          </w:p>
        </w:tc>
      </w:tr>
      <w:tr w:rsidR="00E97FCD" w:rsidRPr="0024490A" w14:paraId="24CBC9E2"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060D38DA"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444AAC6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58</w:t>
            </w:r>
          </w:p>
        </w:tc>
        <w:tc>
          <w:tcPr>
            <w:tcW w:w="960" w:type="dxa"/>
            <w:tcBorders>
              <w:top w:val="nil"/>
              <w:left w:val="nil"/>
              <w:bottom w:val="nil"/>
              <w:right w:val="single" w:sz="4" w:space="0" w:color="auto"/>
            </w:tcBorders>
            <w:shd w:val="clear" w:color="000000" w:fill="FFFFFF"/>
            <w:noWrap/>
            <w:vAlign w:val="bottom"/>
            <w:hideMark/>
          </w:tcPr>
          <w:p w14:paraId="7FC4E7DF"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7.2%</w:t>
            </w:r>
          </w:p>
        </w:tc>
        <w:tc>
          <w:tcPr>
            <w:tcW w:w="960" w:type="dxa"/>
            <w:tcBorders>
              <w:top w:val="nil"/>
              <w:left w:val="nil"/>
              <w:bottom w:val="nil"/>
              <w:right w:val="nil"/>
            </w:tcBorders>
            <w:shd w:val="clear" w:color="000000" w:fill="FFFFFF"/>
            <w:noWrap/>
            <w:vAlign w:val="bottom"/>
            <w:hideMark/>
          </w:tcPr>
          <w:p w14:paraId="40004AE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6646412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303F639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single" w:sz="4" w:space="0" w:color="auto"/>
            </w:tcBorders>
            <w:shd w:val="clear" w:color="000000" w:fill="FFFFFF"/>
            <w:noWrap/>
            <w:vAlign w:val="bottom"/>
            <w:hideMark/>
          </w:tcPr>
          <w:p w14:paraId="0ADB940F"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3.4%</w:t>
            </w:r>
          </w:p>
        </w:tc>
      </w:tr>
      <w:tr w:rsidR="00E97FCD" w:rsidRPr="0024490A" w14:paraId="53B4E253" w14:textId="77777777" w:rsidTr="00E97FCD">
        <w:trPr>
          <w:trHeight w:val="300"/>
        </w:trPr>
        <w:tc>
          <w:tcPr>
            <w:tcW w:w="3345" w:type="dxa"/>
            <w:tcBorders>
              <w:top w:val="dotted" w:sz="4" w:space="0" w:color="auto"/>
              <w:left w:val="single" w:sz="4" w:space="0" w:color="auto"/>
              <w:bottom w:val="nil"/>
              <w:right w:val="nil"/>
            </w:tcBorders>
            <w:shd w:val="clear" w:color="000000" w:fill="FFFFFF"/>
            <w:noWrap/>
            <w:vAlign w:val="bottom"/>
            <w:hideMark/>
          </w:tcPr>
          <w:p w14:paraId="390CB30D"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FMS</w:t>
            </w:r>
          </w:p>
        </w:tc>
        <w:tc>
          <w:tcPr>
            <w:tcW w:w="960" w:type="dxa"/>
            <w:tcBorders>
              <w:top w:val="dotted" w:sz="4" w:space="0" w:color="auto"/>
              <w:left w:val="single" w:sz="4" w:space="0" w:color="auto"/>
              <w:bottom w:val="nil"/>
              <w:right w:val="nil"/>
            </w:tcBorders>
            <w:shd w:val="clear" w:color="000000" w:fill="FFFFFF"/>
            <w:noWrap/>
            <w:vAlign w:val="bottom"/>
            <w:hideMark/>
          </w:tcPr>
          <w:p w14:paraId="373DCC4B"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572</w:t>
            </w:r>
          </w:p>
        </w:tc>
        <w:tc>
          <w:tcPr>
            <w:tcW w:w="960" w:type="dxa"/>
            <w:tcBorders>
              <w:top w:val="dotted" w:sz="4" w:space="0" w:color="auto"/>
              <w:left w:val="nil"/>
              <w:bottom w:val="nil"/>
              <w:right w:val="single" w:sz="4" w:space="0" w:color="auto"/>
            </w:tcBorders>
            <w:shd w:val="clear" w:color="000000" w:fill="FFFFFF"/>
            <w:noWrap/>
            <w:vAlign w:val="bottom"/>
            <w:hideMark/>
          </w:tcPr>
          <w:p w14:paraId="58D33987"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3A52D98B"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620</w:t>
            </w:r>
          </w:p>
        </w:tc>
        <w:tc>
          <w:tcPr>
            <w:tcW w:w="960" w:type="dxa"/>
            <w:tcBorders>
              <w:top w:val="dotted" w:sz="4" w:space="0" w:color="auto"/>
              <w:left w:val="nil"/>
              <w:bottom w:val="nil"/>
              <w:right w:val="nil"/>
            </w:tcBorders>
            <w:shd w:val="clear" w:color="000000" w:fill="FFFFFF"/>
            <w:noWrap/>
            <w:vAlign w:val="bottom"/>
            <w:hideMark/>
          </w:tcPr>
          <w:p w14:paraId="177079BF"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50FB5C78"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683</w:t>
            </w:r>
          </w:p>
        </w:tc>
        <w:tc>
          <w:tcPr>
            <w:tcW w:w="960" w:type="dxa"/>
            <w:tcBorders>
              <w:top w:val="dotted" w:sz="4" w:space="0" w:color="auto"/>
              <w:left w:val="nil"/>
              <w:bottom w:val="nil"/>
              <w:right w:val="single" w:sz="4" w:space="0" w:color="auto"/>
            </w:tcBorders>
            <w:shd w:val="clear" w:color="000000" w:fill="FFFFFF"/>
            <w:noWrap/>
            <w:vAlign w:val="bottom"/>
            <w:hideMark/>
          </w:tcPr>
          <w:p w14:paraId="56173764"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r>
      <w:tr w:rsidR="00E97FCD" w:rsidRPr="0024490A" w14:paraId="5B50E7E9"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5D5B72AD"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184B3F9A"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69</w:t>
            </w:r>
          </w:p>
        </w:tc>
        <w:tc>
          <w:tcPr>
            <w:tcW w:w="960" w:type="dxa"/>
            <w:tcBorders>
              <w:top w:val="nil"/>
              <w:left w:val="nil"/>
              <w:bottom w:val="nil"/>
              <w:right w:val="single" w:sz="4" w:space="0" w:color="auto"/>
            </w:tcBorders>
            <w:shd w:val="clear" w:color="000000" w:fill="FFFFFF"/>
            <w:noWrap/>
            <w:vAlign w:val="bottom"/>
            <w:hideMark/>
          </w:tcPr>
          <w:p w14:paraId="19D3A7E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12.1%</w:t>
            </w:r>
          </w:p>
        </w:tc>
        <w:tc>
          <w:tcPr>
            <w:tcW w:w="960" w:type="dxa"/>
            <w:tcBorders>
              <w:top w:val="nil"/>
              <w:left w:val="nil"/>
              <w:bottom w:val="nil"/>
              <w:right w:val="nil"/>
            </w:tcBorders>
            <w:shd w:val="clear" w:color="000000" w:fill="FFFFFF"/>
            <w:noWrap/>
            <w:vAlign w:val="bottom"/>
            <w:hideMark/>
          </w:tcPr>
          <w:p w14:paraId="67DC074D"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146</w:t>
            </w:r>
          </w:p>
        </w:tc>
        <w:tc>
          <w:tcPr>
            <w:tcW w:w="960" w:type="dxa"/>
            <w:tcBorders>
              <w:top w:val="nil"/>
              <w:left w:val="nil"/>
              <w:bottom w:val="nil"/>
              <w:right w:val="nil"/>
            </w:tcBorders>
            <w:shd w:val="clear" w:color="000000" w:fill="FFFFFF"/>
            <w:noWrap/>
            <w:vAlign w:val="bottom"/>
            <w:hideMark/>
          </w:tcPr>
          <w:p w14:paraId="7F11076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23.5%</w:t>
            </w:r>
          </w:p>
        </w:tc>
        <w:tc>
          <w:tcPr>
            <w:tcW w:w="960" w:type="dxa"/>
            <w:tcBorders>
              <w:top w:val="nil"/>
              <w:left w:val="single" w:sz="4" w:space="0" w:color="auto"/>
              <w:bottom w:val="nil"/>
              <w:right w:val="nil"/>
            </w:tcBorders>
            <w:shd w:val="clear" w:color="000000" w:fill="FFFFFF"/>
            <w:noWrap/>
            <w:vAlign w:val="bottom"/>
            <w:hideMark/>
          </w:tcPr>
          <w:p w14:paraId="4B5548D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60</w:t>
            </w:r>
          </w:p>
        </w:tc>
        <w:tc>
          <w:tcPr>
            <w:tcW w:w="960" w:type="dxa"/>
            <w:tcBorders>
              <w:top w:val="nil"/>
              <w:left w:val="nil"/>
              <w:bottom w:val="nil"/>
              <w:right w:val="single" w:sz="4" w:space="0" w:color="auto"/>
            </w:tcBorders>
            <w:shd w:val="clear" w:color="000000" w:fill="FFFFFF"/>
            <w:noWrap/>
            <w:vAlign w:val="bottom"/>
            <w:hideMark/>
          </w:tcPr>
          <w:p w14:paraId="21D74A7A"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8.8%</w:t>
            </w:r>
          </w:p>
        </w:tc>
      </w:tr>
      <w:tr w:rsidR="00E97FCD" w:rsidRPr="0024490A" w14:paraId="2E39FA52"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49DDBB52"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5A68254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478</w:t>
            </w:r>
          </w:p>
        </w:tc>
        <w:tc>
          <w:tcPr>
            <w:tcW w:w="960" w:type="dxa"/>
            <w:tcBorders>
              <w:top w:val="nil"/>
              <w:left w:val="nil"/>
              <w:bottom w:val="nil"/>
              <w:right w:val="single" w:sz="4" w:space="0" w:color="auto"/>
            </w:tcBorders>
            <w:shd w:val="clear" w:color="000000" w:fill="FFFFFF"/>
            <w:noWrap/>
            <w:vAlign w:val="bottom"/>
            <w:hideMark/>
          </w:tcPr>
          <w:p w14:paraId="686B3BF5"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83.6%</w:t>
            </w:r>
          </w:p>
        </w:tc>
        <w:tc>
          <w:tcPr>
            <w:tcW w:w="960" w:type="dxa"/>
            <w:tcBorders>
              <w:top w:val="nil"/>
              <w:left w:val="nil"/>
              <w:bottom w:val="nil"/>
              <w:right w:val="nil"/>
            </w:tcBorders>
            <w:shd w:val="clear" w:color="000000" w:fill="FFFFFF"/>
            <w:noWrap/>
            <w:vAlign w:val="bottom"/>
            <w:hideMark/>
          </w:tcPr>
          <w:p w14:paraId="74E8090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414</w:t>
            </w:r>
          </w:p>
        </w:tc>
        <w:tc>
          <w:tcPr>
            <w:tcW w:w="960" w:type="dxa"/>
            <w:tcBorders>
              <w:top w:val="nil"/>
              <w:left w:val="nil"/>
              <w:bottom w:val="nil"/>
              <w:right w:val="nil"/>
            </w:tcBorders>
            <w:shd w:val="clear" w:color="000000" w:fill="FFFFFF"/>
            <w:noWrap/>
            <w:vAlign w:val="bottom"/>
            <w:hideMark/>
          </w:tcPr>
          <w:p w14:paraId="04B0633D"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66.8%</w:t>
            </w:r>
          </w:p>
        </w:tc>
        <w:tc>
          <w:tcPr>
            <w:tcW w:w="960" w:type="dxa"/>
            <w:tcBorders>
              <w:top w:val="nil"/>
              <w:left w:val="single" w:sz="4" w:space="0" w:color="auto"/>
              <w:bottom w:val="nil"/>
              <w:right w:val="nil"/>
            </w:tcBorders>
            <w:shd w:val="clear" w:color="000000" w:fill="FFFFFF"/>
            <w:noWrap/>
            <w:vAlign w:val="bottom"/>
            <w:hideMark/>
          </w:tcPr>
          <w:p w14:paraId="7DDBC617"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594</w:t>
            </w:r>
          </w:p>
        </w:tc>
        <w:tc>
          <w:tcPr>
            <w:tcW w:w="960" w:type="dxa"/>
            <w:tcBorders>
              <w:top w:val="nil"/>
              <w:left w:val="nil"/>
              <w:bottom w:val="nil"/>
              <w:right w:val="single" w:sz="4" w:space="0" w:color="auto"/>
            </w:tcBorders>
            <w:shd w:val="clear" w:color="000000" w:fill="FFFFFF"/>
            <w:noWrap/>
            <w:vAlign w:val="bottom"/>
            <w:hideMark/>
          </w:tcPr>
          <w:p w14:paraId="734B63A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87.0%</w:t>
            </w:r>
          </w:p>
        </w:tc>
      </w:tr>
      <w:tr w:rsidR="00E97FCD" w:rsidRPr="0024490A" w14:paraId="24C3C28F"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0144E5BF"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4B2E8E94"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single" w:sz="4" w:space="0" w:color="auto"/>
            </w:tcBorders>
            <w:shd w:val="clear" w:color="000000" w:fill="FFFFFF"/>
            <w:noWrap/>
            <w:vAlign w:val="bottom"/>
            <w:hideMark/>
          </w:tcPr>
          <w:p w14:paraId="54209477"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nil"/>
            </w:tcBorders>
            <w:shd w:val="clear" w:color="000000" w:fill="FFFFFF"/>
            <w:noWrap/>
            <w:vAlign w:val="bottom"/>
            <w:hideMark/>
          </w:tcPr>
          <w:p w14:paraId="00EC703A"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60</w:t>
            </w:r>
          </w:p>
        </w:tc>
        <w:tc>
          <w:tcPr>
            <w:tcW w:w="960" w:type="dxa"/>
            <w:tcBorders>
              <w:top w:val="nil"/>
              <w:left w:val="nil"/>
              <w:bottom w:val="nil"/>
              <w:right w:val="nil"/>
            </w:tcBorders>
            <w:shd w:val="clear" w:color="000000" w:fill="FFFFFF"/>
            <w:noWrap/>
            <w:vAlign w:val="bottom"/>
            <w:hideMark/>
          </w:tcPr>
          <w:p w14:paraId="099A102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9.7%</w:t>
            </w:r>
          </w:p>
        </w:tc>
        <w:tc>
          <w:tcPr>
            <w:tcW w:w="960" w:type="dxa"/>
            <w:tcBorders>
              <w:top w:val="nil"/>
              <w:left w:val="single" w:sz="4" w:space="0" w:color="auto"/>
              <w:bottom w:val="nil"/>
              <w:right w:val="nil"/>
            </w:tcBorders>
            <w:shd w:val="clear" w:color="000000" w:fill="FFFFFF"/>
            <w:noWrap/>
            <w:vAlign w:val="bottom"/>
            <w:hideMark/>
          </w:tcPr>
          <w:p w14:paraId="7669782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29</w:t>
            </w:r>
          </w:p>
        </w:tc>
        <w:tc>
          <w:tcPr>
            <w:tcW w:w="960" w:type="dxa"/>
            <w:tcBorders>
              <w:top w:val="nil"/>
              <w:left w:val="nil"/>
              <w:bottom w:val="nil"/>
              <w:right w:val="single" w:sz="4" w:space="0" w:color="auto"/>
            </w:tcBorders>
            <w:shd w:val="clear" w:color="000000" w:fill="FFFFFF"/>
            <w:noWrap/>
            <w:vAlign w:val="bottom"/>
            <w:hideMark/>
          </w:tcPr>
          <w:p w14:paraId="4733AEBF"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4.2%</w:t>
            </w:r>
          </w:p>
        </w:tc>
      </w:tr>
      <w:tr w:rsidR="00E97FCD" w:rsidRPr="0024490A" w14:paraId="2B30F80A" w14:textId="77777777" w:rsidTr="00E97FCD">
        <w:trPr>
          <w:trHeight w:val="300"/>
        </w:trPr>
        <w:tc>
          <w:tcPr>
            <w:tcW w:w="3345" w:type="dxa"/>
            <w:tcBorders>
              <w:top w:val="dotted" w:sz="4" w:space="0" w:color="auto"/>
              <w:left w:val="single" w:sz="4" w:space="0" w:color="auto"/>
              <w:bottom w:val="nil"/>
              <w:right w:val="nil"/>
            </w:tcBorders>
            <w:shd w:val="clear" w:color="000000" w:fill="FFFFFF"/>
            <w:noWrap/>
            <w:vAlign w:val="bottom"/>
            <w:hideMark/>
          </w:tcPr>
          <w:p w14:paraId="050BB461"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24490A">
              <w:rPr>
                <w:rFonts w:asciiTheme="minorHAnsi" w:eastAsia="Times New Roman" w:hAnsiTheme="minorHAnsi" w:cs="Times New Roman"/>
                <w:b/>
                <w:bCs/>
                <w:color w:val="000000"/>
                <w:kern w:val="0"/>
                <w:szCs w:val="22"/>
                <w:lang w:eastAsia="en-GB"/>
                <w14:ligatures w14:val="none"/>
              </w:rPr>
              <w:t>SAgE</w:t>
            </w:r>
            <w:proofErr w:type="spellEnd"/>
          </w:p>
        </w:tc>
        <w:tc>
          <w:tcPr>
            <w:tcW w:w="960" w:type="dxa"/>
            <w:tcBorders>
              <w:top w:val="dotted" w:sz="4" w:space="0" w:color="auto"/>
              <w:left w:val="single" w:sz="4" w:space="0" w:color="auto"/>
              <w:bottom w:val="nil"/>
              <w:right w:val="nil"/>
            </w:tcBorders>
            <w:shd w:val="clear" w:color="000000" w:fill="FFFFFF"/>
            <w:noWrap/>
            <w:vAlign w:val="bottom"/>
            <w:hideMark/>
          </w:tcPr>
          <w:p w14:paraId="2D13AB35"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477</w:t>
            </w:r>
          </w:p>
        </w:tc>
        <w:tc>
          <w:tcPr>
            <w:tcW w:w="960" w:type="dxa"/>
            <w:tcBorders>
              <w:top w:val="dotted" w:sz="4" w:space="0" w:color="auto"/>
              <w:left w:val="nil"/>
              <w:bottom w:val="nil"/>
              <w:right w:val="single" w:sz="4" w:space="0" w:color="auto"/>
            </w:tcBorders>
            <w:shd w:val="clear" w:color="000000" w:fill="FFFFFF"/>
            <w:noWrap/>
            <w:vAlign w:val="bottom"/>
            <w:hideMark/>
          </w:tcPr>
          <w:p w14:paraId="669BCC0B"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01EFC041"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289</w:t>
            </w:r>
          </w:p>
        </w:tc>
        <w:tc>
          <w:tcPr>
            <w:tcW w:w="960" w:type="dxa"/>
            <w:tcBorders>
              <w:top w:val="dotted" w:sz="4" w:space="0" w:color="auto"/>
              <w:left w:val="nil"/>
              <w:bottom w:val="nil"/>
              <w:right w:val="nil"/>
            </w:tcBorders>
            <w:shd w:val="clear" w:color="000000" w:fill="FFFFFF"/>
            <w:noWrap/>
            <w:vAlign w:val="bottom"/>
            <w:hideMark/>
          </w:tcPr>
          <w:p w14:paraId="65AF338F"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0D59ECC4"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368</w:t>
            </w:r>
          </w:p>
        </w:tc>
        <w:tc>
          <w:tcPr>
            <w:tcW w:w="960" w:type="dxa"/>
            <w:tcBorders>
              <w:top w:val="dotted" w:sz="4" w:space="0" w:color="auto"/>
              <w:left w:val="nil"/>
              <w:bottom w:val="nil"/>
              <w:right w:val="single" w:sz="4" w:space="0" w:color="auto"/>
            </w:tcBorders>
            <w:shd w:val="clear" w:color="000000" w:fill="FFFFFF"/>
            <w:noWrap/>
            <w:vAlign w:val="bottom"/>
            <w:hideMark/>
          </w:tcPr>
          <w:p w14:paraId="4DDCD054"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r>
      <w:tr w:rsidR="00E97FCD" w:rsidRPr="0024490A" w14:paraId="72CA8BFC"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10A86317"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26EE197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117</w:t>
            </w:r>
          </w:p>
        </w:tc>
        <w:tc>
          <w:tcPr>
            <w:tcW w:w="960" w:type="dxa"/>
            <w:tcBorders>
              <w:top w:val="nil"/>
              <w:left w:val="nil"/>
              <w:bottom w:val="nil"/>
              <w:right w:val="single" w:sz="4" w:space="0" w:color="auto"/>
            </w:tcBorders>
            <w:shd w:val="clear" w:color="000000" w:fill="FFFFFF"/>
            <w:noWrap/>
            <w:vAlign w:val="bottom"/>
            <w:hideMark/>
          </w:tcPr>
          <w:p w14:paraId="17538EE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24.5%</w:t>
            </w:r>
          </w:p>
        </w:tc>
        <w:tc>
          <w:tcPr>
            <w:tcW w:w="960" w:type="dxa"/>
            <w:tcBorders>
              <w:top w:val="nil"/>
              <w:left w:val="nil"/>
              <w:bottom w:val="nil"/>
              <w:right w:val="nil"/>
            </w:tcBorders>
            <w:shd w:val="clear" w:color="000000" w:fill="FFFFFF"/>
            <w:noWrap/>
            <w:vAlign w:val="bottom"/>
            <w:hideMark/>
          </w:tcPr>
          <w:p w14:paraId="7B9CD407"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111</w:t>
            </w:r>
          </w:p>
        </w:tc>
        <w:tc>
          <w:tcPr>
            <w:tcW w:w="960" w:type="dxa"/>
            <w:tcBorders>
              <w:top w:val="nil"/>
              <w:left w:val="nil"/>
              <w:bottom w:val="nil"/>
              <w:right w:val="nil"/>
            </w:tcBorders>
            <w:shd w:val="clear" w:color="000000" w:fill="FFFFFF"/>
            <w:noWrap/>
            <w:vAlign w:val="bottom"/>
            <w:hideMark/>
          </w:tcPr>
          <w:p w14:paraId="4A7F1AA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38.4%</w:t>
            </w:r>
          </w:p>
        </w:tc>
        <w:tc>
          <w:tcPr>
            <w:tcW w:w="960" w:type="dxa"/>
            <w:tcBorders>
              <w:top w:val="nil"/>
              <w:left w:val="single" w:sz="4" w:space="0" w:color="auto"/>
              <w:bottom w:val="nil"/>
              <w:right w:val="nil"/>
            </w:tcBorders>
            <w:shd w:val="clear" w:color="000000" w:fill="FFFFFF"/>
            <w:noWrap/>
            <w:vAlign w:val="bottom"/>
            <w:hideMark/>
          </w:tcPr>
          <w:p w14:paraId="092DB01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17</w:t>
            </w:r>
          </w:p>
        </w:tc>
        <w:tc>
          <w:tcPr>
            <w:tcW w:w="960" w:type="dxa"/>
            <w:tcBorders>
              <w:top w:val="nil"/>
              <w:left w:val="nil"/>
              <w:bottom w:val="nil"/>
              <w:right w:val="single" w:sz="4" w:space="0" w:color="auto"/>
            </w:tcBorders>
            <w:shd w:val="clear" w:color="000000" w:fill="FFFFFF"/>
            <w:noWrap/>
            <w:vAlign w:val="bottom"/>
            <w:hideMark/>
          </w:tcPr>
          <w:p w14:paraId="38C82F47"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4.6%</w:t>
            </w:r>
          </w:p>
        </w:tc>
      </w:tr>
      <w:tr w:rsidR="00E97FCD" w:rsidRPr="0024490A" w14:paraId="094AC2D8"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5F69308A"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617810D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330</w:t>
            </w:r>
          </w:p>
        </w:tc>
        <w:tc>
          <w:tcPr>
            <w:tcW w:w="960" w:type="dxa"/>
            <w:tcBorders>
              <w:top w:val="nil"/>
              <w:left w:val="nil"/>
              <w:bottom w:val="nil"/>
              <w:right w:val="single" w:sz="4" w:space="0" w:color="auto"/>
            </w:tcBorders>
            <w:shd w:val="clear" w:color="000000" w:fill="FFFFFF"/>
            <w:noWrap/>
            <w:vAlign w:val="bottom"/>
            <w:hideMark/>
          </w:tcPr>
          <w:p w14:paraId="562B323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69.2%</w:t>
            </w:r>
          </w:p>
        </w:tc>
        <w:tc>
          <w:tcPr>
            <w:tcW w:w="960" w:type="dxa"/>
            <w:tcBorders>
              <w:top w:val="nil"/>
              <w:left w:val="nil"/>
              <w:bottom w:val="nil"/>
              <w:right w:val="nil"/>
            </w:tcBorders>
            <w:shd w:val="clear" w:color="000000" w:fill="FFFFFF"/>
            <w:noWrap/>
            <w:vAlign w:val="bottom"/>
            <w:hideMark/>
          </w:tcPr>
          <w:p w14:paraId="52316814"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140</w:t>
            </w:r>
          </w:p>
        </w:tc>
        <w:tc>
          <w:tcPr>
            <w:tcW w:w="960" w:type="dxa"/>
            <w:tcBorders>
              <w:top w:val="nil"/>
              <w:left w:val="nil"/>
              <w:bottom w:val="nil"/>
              <w:right w:val="nil"/>
            </w:tcBorders>
            <w:shd w:val="clear" w:color="000000" w:fill="FFFFFF"/>
            <w:noWrap/>
            <w:vAlign w:val="bottom"/>
            <w:hideMark/>
          </w:tcPr>
          <w:p w14:paraId="4C729EC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48.4%</w:t>
            </w:r>
          </w:p>
        </w:tc>
        <w:tc>
          <w:tcPr>
            <w:tcW w:w="960" w:type="dxa"/>
            <w:tcBorders>
              <w:top w:val="nil"/>
              <w:left w:val="single" w:sz="4" w:space="0" w:color="auto"/>
              <w:bottom w:val="nil"/>
              <w:right w:val="nil"/>
            </w:tcBorders>
            <w:shd w:val="clear" w:color="000000" w:fill="FFFFFF"/>
            <w:noWrap/>
            <w:vAlign w:val="bottom"/>
            <w:hideMark/>
          </w:tcPr>
          <w:p w14:paraId="64423E7D"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332</w:t>
            </w:r>
          </w:p>
        </w:tc>
        <w:tc>
          <w:tcPr>
            <w:tcW w:w="960" w:type="dxa"/>
            <w:tcBorders>
              <w:top w:val="nil"/>
              <w:left w:val="nil"/>
              <w:bottom w:val="nil"/>
              <w:right w:val="single" w:sz="4" w:space="0" w:color="auto"/>
            </w:tcBorders>
            <w:shd w:val="clear" w:color="000000" w:fill="FFFFFF"/>
            <w:noWrap/>
            <w:vAlign w:val="bottom"/>
            <w:hideMark/>
          </w:tcPr>
          <w:p w14:paraId="5C64277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90.2%</w:t>
            </w:r>
          </w:p>
        </w:tc>
      </w:tr>
      <w:tr w:rsidR="00E97FCD" w:rsidRPr="0024490A" w14:paraId="6BE0D491"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14219E4E"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8C2D4E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single" w:sz="4" w:space="0" w:color="auto"/>
            </w:tcBorders>
            <w:shd w:val="clear" w:color="000000" w:fill="FFFFFF"/>
            <w:noWrap/>
            <w:vAlign w:val="bottom"/>
            <w:hideMark/>
          </w:tcPr>
          <w:p w14:paraId="156E6F1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6.3%</w:t>
            </w:r>
          </w:p>
        </w:tc>
        <w:tc>
          <w:tcPr>
            <w:tcW w:w="960" w:type="dxa"/>
            <w:tcBorders>
              <w:top w:val="nil"/>
              <w:left w:val="nil"/>
              <w:bottom w:val="nil"/>
              <w:right w:val="nil"/>
            </w:tcBorders>
            <w:shd w:val="clear" w:color="000000" w:fill="FFFFFF"/>
            <w:noWrap/>
            <w:vAlign w:val="bottom"/>
            <w:hideMark/>
          </w:tcPr>
          <w:p w14:paraId="48A8C90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38</w:t>
            </w:r>
          </w:p>
        </w:tc>
        <w:tc>
          <w:tcPr>
            <w:tcW w:w="960" w:type="dxa"/>
            <w:tcBorders>
              <w:top w:val="nil"/>
              <w:left w:val="nil"/>
              <w:bottom w:val="nil"/>
              <w:right w:val="nil"/>
            </w:tcBorders>
            <w:shd w:val="clear" w:color="000000" w:fill="FFFFFF"/>
            <w:noWrap/>
            <w:vAlign w:val="bottom"/>
            <w:hideMark/>
          </w:tcPr>
          <w:p w14:paraId="0E340AAD"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13.1%</w:t>
            </w:r>
          </w:p>
        </w:tc>
        <w:tc>
          <w:tcPr>
            <w:tcW w:w="960" w:type="dxa"/>
            <w:tcBorders>
              <w:top w:val="nil"/>
              <w:left w:val="single" w:sz="4" w:space="0" w:color="auto"/>
              <w:bottom w:val="nil"/>
              <w:right w:val="nil"/>
            </w:tcBorders>
            <w:shd w:val="clear" w:color="000000" w:fill="FFFFFF"/>
            <w:noWrap/>
            <w:vAlign w:val="bottom"/>
            <w:hideMark/>
          </w:tcPr>
          <w:p w14:paraId="7D8A441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3C6438B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5.2%</w:t>
            </w:r>
          </w:p>
        </w:tc>
      </w:tr>
      <w:tr w:rsidR="00E97FCD" w:rsidRPr="0024490A" w14:paraId="2E8A9AAC" w14:textId="77777777" w:rsidTr="00E97FCD">
        <w:trPr>
          <w:trHeight w:val="300"/>
        </w:trPr>
        <w:tc>
          <w:tcPr>
            <w:tcW w:w="3345" w:type="dxa"/>
            <w:tcBorders>
              <w:top w:val="dotted" w:sz="4" w:space="0" w:color="auto"/>
              <w:left w:val="single" w:sz="4" w:space="0" w:color="auto"/>
              <w:bottom w:val="nil"/>
              <w:right w:val="nil"/>
            </w:tcBorders>
            <w:shd w:val="clear" w:color="000000" w:fill="FFFFFF"/>
            <w:noWrap/>
            <w:vAlign w:val="bottom"/>
            <w:hideMark/>
          </w:tcPr>
          <w:p w14:paraId="2B47A3D5"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Academic Hub</w:t>
            </w:r>
          </w:p>
        </w:tc>
        <w:tc>
          <w:tcPr>
            <w:tcW w:w="960" w:type="dxa"/>
            <w:tcBorders>
              <w:top w:val="dotted" w:sz="4" w:space="0" w:color="auto"/>
              <w:left w:val="single" w:sz="4" w:space="0" w:color="auto"/>
              <w:bottom w:val="nil"/>
              <w:right w:val="nil"/>
            </w:tcBorders>
            <w:shd w:val="clear" w:color="000000" w:fill="FFFFFF"/>
            <w:noWrap/>
            <w:vAlign w:val="bottom"/>
            <w:hideMark/>
          </w:tcPr>
          <w:p w14:paraId="7664DE3E"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single" w:sz="4" w:space="0" w:color="auto"/>
            </w:tcBorders>
            <w:shd w:val="clear" w:color="000000" w:fill="FFFFFF"/>
            <w:noWrap/>
            <w:vAlign w:val="bottom"/>
            <w:hideMark/>
          </w:tcPr>
          <w:p w14:paraId="16AEF5C0"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nil"/>
              <w:bottom w:val="nil"/>
              <w:right w:val="nil"/>
            </w:tcBorders>
            <w:shd w:val="clear" w:color="000000" w:fill="FFFFFF"/>
            <w:noWrap/>
            <w:vAlign w:val="bottom"/>
            <w:hideMark/>
          </w:tcPr>
          <w:p w14:paraId="511678BA"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nil"/>
            </w:tcBorders>
            <w:shd w:val="clear" w:color="000000" w:fill="FFFFFF"/>
            <w:noWrap/>
            <w:vAlign w:val="bottom"/>
            <w:hideMark/>
          </w:tcPr>
          <w:p w14:paraId="66225754"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single" w:sz="4" w:space="0" w:color="auto"/>
              <w:bottom w:val="nil"/>
              <w:right w:val="nil"/>
            </w:tcBorders>
            <w:shd w:val="clear" w:color="000000" w:fill="FFFFFF"/>
            <w:noWrap/>
            <w:vAlign w:val="bottom"/>
            <w:hideMark/>
          </w:tcPr>
          <w:p w14:paraId="4E7D1099"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871</w:t>
            </w:r>
          </w:p>
        </w:tc>
        <w:tc>
          <w:tcPr>
            <w:tcW w:w="960" w:type="dxa"/>
            <w:tcBorders>
              <w:top w:val="dotted" w:sz="4" w:space="0" w:color="auto"/>
              <w:left w:val="nil"/>
              <w:bottom w:val="nil"/>
              <w:right w:val="single" w:sz="4" w:space="0" w:color="auto"/>
            </w:tcBorders>
            <w:shd w:val="clear" w:color="000000" w:fill="FFFFFF"/>
            <w:noWrap/>
            <w:vAlign w:val="bottom"/>
            <w:hideMark/>
          </w:tcPr>
          <w:p w14:paraId="2EF2AAAE"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r>
      <w:tr w:rsidR="00E97FCD" w:rsidRPr="0024490A" w14:paraId="47CC370E"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165C7A93"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74D714D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A4697B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1369EF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77C799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D50665F"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52</w:t>
            </w:r>
          </w:p>
        </w:tc>
        <w:tc>
          <w:tcPr>
            <w:tcW w:w="960" w:type="dxa"/>
            <w:tcBorders>
              <w:top w:val="nil"/>
              <w:left w:val="nil"/>
              <w:bottom w:val="nil"/>
              <w:right w:val="single" w:sz="4" w:space="0" w:color="auto"/>
            </w:tcBorders>
            <w:shd w:val="clear" w:color="000000" w:fill="FFFFFF"/>
            <w:noWrap/>
            <w:vAlign w:val="bottom"/>
            <w:hideMark/>
          </w:tcPr>
          <w:p w14:paraId="407446C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6.0%</w:t>
            </w:r>
          </w:p>
        </w:tc>
      </w:tr>
      <w:tr w:rsidR="00E97FCD" w:rsidRPr="0024490A" w14:paraId="33F9E8C4"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0068EA1C"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53E9D55D"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4CAB3C8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03E1D4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49F5E78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79C05C3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776</w:t>
            </w:r>
          </w:p>
        </w:tc>
        <w:tc>
          <w:tcPr>
            <w:tcW w:w="960" w:type="dxa"/>
            <w:tcBorders>
              <w:top w:val="nil"/>
              <w:left w:val="nil"/>
              <w:bottom w:val="nil"/>
              <w:right w:val="single" w:sz="4" w:space="0" w:color="auto"/>
            </w:tcBorders>
            <w:shd w:val="clear" w:color="000000" w:fill="FFFFFF"/>
            <w:noWrap/>
            <w:vAlign w:val="bottom"/>
            <w:hideMark/>
          </w:tcPr>
          <w:p w14:paraId="639DB37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89.1%</w:t>
            </w:r>
          </w:p>
        </w:tc>
      </w:tr>
      <w:tr w:rsidR="00E97FCD" w:rsidRPr="0024490A" w14:paraId="3CD9BB7A"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15638491"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25E16E97"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45C6E5F"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903125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5E3A00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087EC8F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43</w:t>
            </w:r>
          </w:p>
        </w:tc>
        <w:tc>
          <w:tcPr>
            <w:tcW w:w="960" w:type="dxa"/>
            <w:tcBorders>
              <w:top w:val="nil"/>
              <w:left w:val="nil"/>
              <w:bottom w:val="nil"/>
              <w:right w:val="single" w:sz="4" w:space="0" w:color="auto"/>
            </w:tcBorders>
            <w:shd w:val="clear" w:color="000000" w:fill="FFFFFF"/>
            <w:noWrap/>
            <w:vAlign w:val="bottom"/>
            <w:hideMark/>
          </w:tcPr>
          <w:p w14:paraId="02EF995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4.9%</w:t>
            </w:r>
          </w:p>
        </w:tc>
      </w:tr>
      <w:tr w:rsidR="00E97FCD" w:rsidRPr="0024490A" w14:paraId="4D65457D" w14:textId="77777777" w:rsidTr="00E97FCD">
        <w:trPr>
          <w:trHeight w:val="300"/>
        </w:trPr>
        <w:tc>
          <w:tcPr>
            <w:tcW w:w="3345" w:type="dxa"/>
            <w:tcBorders>
              <w:top w:val="dotted" w:sz="4" w:space="0" w:color="auto"/>
              <w:left w:val="single" w:sz="4" w:space="0" w:color="auto"/>
              <w:bottom w:val="nil"/>
              <w:right w:val="nil"/>
            </w:tcBorders>
            <w:shd w:val="clear" w:color="000000" w:fill="FFFFFF"/>
            <w:noWrap/>
            <w:vAlign w:val="bottom"/>
            <w:hideMark/>
          </w:tcPr>
          <w:p w14:paraId="07FA0540"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Finance &amp; Operations Hub</w:t>
            </w:r>
          </w:p>
        </w:tc>
        <w:tc>
          <w:tcPr>
            <w:tcW w:w="960" w:type="dxa"/>
            <w:tcBorders>
              <w:top w:val="dotted" w:sz="4" w:space="0" w:color="auto"/>
              <w:left w:val="single" w:sz="4" w:space="0" w:color="auto"/>
              <w:bottom w:val="nil"/>
              <w:right w:val="nil"/>
            </w:tcBorders>
            <w:shd w:val="clear" w:color="000000" w:fill="FFFFFF"/>
            <w:noWrap/>
            <w:vAlign w:val="bottom"/>
            <w:hideMark/>
          </w:tcPr>
          <w:p w14:paraId="1DA82F22"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5824FEBF"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1E4DC599"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28A23AC0"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72B4AC1E"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1051</w:t>
            </w:r>
          </w:p>
        </w:tc>
        <w:tc>
          <w:tcPr>
            <w:tcW w:w="960" w:type="dxa"/>
            <w:tcBorders>
              <w:top w:val="dotted" w:sz="4" w:space="0" w:color="auto"/>
              <w:left w:val="nil"/>
              <w:bottom w:val="nil"/>
              <w:right w:val="single" w:sz="4" w:space="0" w:color="auto"/>
            </w:tcBorders>
            <w:shd w:val="clear" w:color="000000" w:fill="FFFFFF"/>
            <w:noWrap/>
            <w:vAlign w:val="bottom"/>
            <w:hideMark/>
          </w:tcPr>
          <w:p w14:paraId="183BE8F9"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r>
      <w:tr w:rsidR="00E97FCD" w:rsidRPr="0024490A" w14:paraId="3AB2FB1F"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4127AC9E"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2A160BE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AD47DD5"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4EC1C1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0FE4B5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169C154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single" w:sz="4" w:space="0" w:color="auto"/>
            </w:tcBorders>
            <w:shd w:val="clear" w:color="000000" w:fill="FFFFFF"/>
            <w:noWrap/>
            <w:vAlign w:val="bottom"/>
            <w:hideMark/>
          </w:tcPr>
          <w:p w14:paraId="7CEA119F"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5.8%</w:t>
            </w:r>
          </w:p>
        </w:tc>
      </w:tr>
      <w:tr w:rsidR="00E97FCD" w:rsidRPr="0024490A" w14:paraId="7F0F7EEA"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7F589F90"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05EE463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108328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2862AC5"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023B25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747D873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945</w:t>
            </w:r>
          </w:p>
        </w:tc>
        <w:tc>
          <w:tcPr>
            <w:tcW w:w="960" w:type="dxa"/>
            <w:tcBorders>
              <w:top w:val="nil"/>
              <w:left w:val="nil"/>
              <w:bottom w:val="nil"/>
              <w:right w:val="single" w:sz="4" w:space="0" w:color="auto"/>
            </w:tcBorders>
            <w:shd w:val="clear" w:color="000000" w:fill="FFFFFF"/>
            <w:noWrap/>
            <w:vAlign w:val="bottom"/>
            <w:hideMark/>
          </w:tcPr>
          <w:p w14:paraId="0EB98AD3"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89.9%</w:t>
            </w:r>
          </w:p>
        </w:tc>
      </w:tr>
      <w:tr w:rsidR="00E97FCD" w:rsidRPr="0024490A" w14:paraId="281364CF"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1084D50A"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2EDA83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25A253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7515D8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77EF67D"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0CC30B74"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45</w:t>
            </w:r>
          </w:p>
        </w:tc>
        <w:tc>
          <w:tcPr>
            <w:tcW w:w="960" w:type="dxa"/>
            <w:tcBorders>
              <w:top w:val="nil"/>
              <w:left w:val="nil"/>
              <w:bottom w:val="nil"/>
              <w:right w:val="single" w:sz="4" w:space="0" w:color="auto"/>
            </w:tcBorders>
            <w:shd w:val="clear" w:color="000000" w:fill="FFFFFF"/>
            <w:noWrap/>
            <w:vAlign w:val="bottom"/>
            <w:hideMark/>
          </w:tcPr>
          <w:p w14:paraId="319B2627"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4.3%</w:t>
            </w:r>
          </w:p>
        </w:tc>
      </w:tr>
      <w:tr w:rsidR="00E97FCD" w:rsidRPr="0024490A" w14:paraId="378E86F7" w14:textId="77777777" w:rsidTr="00E97FCD">
        <w:trPr>
          <w:trHeight w:val="300"/>
        </w:trPr>
        <w:tc>
          <w:tcPr>
            <w:tcW w:w="3345" w:type="dxa"/>
            <w:tcBorders>
              <w:top w:val="dotted" w:sz="4" w:space="0" w:color="auto"/>
              <w:left w:val="single" w:sz="4" w:space="0" w:color="auto"/>
              <w:bottom w:val="nil"/>
              <w:right w:val="nil"/>
            </w:tcBorders>
            <w:shd w:val="clear" w:color="000000" w:fill="FFFFFF"/>
            <w:noWrap/>
            <w:vAlign w:val="bottom"/>
            <w:hideMark/>
          </w:tcPr>
          <w:p w14:paraId="0B0F2D59" w14:textId="77777777" w:rsidR="0024490A" w:rsidRPr="0024490A" w:rsidRDefault="0024490A" w:rsidP="0024490A">
            <w:pPr>
              <w:spacing w:after="0" w:line="240" w:lineRule="auto"/>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People Services</w:t>
            </w:r>
          </w:p>
        </w:tc>
        <w:tc>
          <w:tcPr>
            <w:tcW w:w="960" w:type="dxa"/>
            <w:tcBorders>
              <w:top w:val="dotted" w:sz="4" w:space="0" w:color="auto"/>
              <w:left w:val="single" w:sz="4" w:space="0" w:color="auto"/>
              <w:bottom w:val="nil"/>
              <w:right w:val="nil"/>
            </w:tcBorders>
            <w:shd w:val="clear" w:color="000000" w:fill="FFFFFF"/>
            <w:noWrap/>
            <w:vAlign w:val="bottom"/>
            <w:hideMark/>
          </w:tcPr>
          <w:p w14:paraId="604B6222"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47009209"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7BEF3B62"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23C60FD2"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0059B074"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111</w:t>
            </w:r>
          </w:p>
        </w:tc>
        <w:tc>
          <w:tcPr>
            <w:tcW w:w="960" w:type="dxa"/>
            <w:tcBorders>
              <w:top w:val="dotted" w:sz="4" w:space="0" w:color="auto"/>
              <w:left w:val="nil"/>
              <w:bottom w:val="nil"/>
              <w:right w:val="single" w:sz="4" w:space="0" w:color="auto"/>
            </w:tcBorders>
            <w:shd w:val="clear" w:color="000000" w:fill="FFFFFF"/>
            <w:noWrap/>
            <w:vAlign w:val="bottom"/>
            <w:hideMark/>
          </w:tcPr>
          <w:p w14:paraId="0BD2F85C" w14:textId="77777777" w:rsidR="0024490A" w:rsidRPr="0024490A" w:rsidRDefault="0024490A" w:rsidP="0024490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24490A">
              <w:rPr>
                <w:rFonts w:asciiTheme="minorHAnsi" w:eastAsia="Times New Roman" w:hAnsiTheme="minorHAnsi" w:cs="Times New Roman"/>
                <w:b/>
                <w:bCs/>
                <w:color w:val="000000"/>
                <w:kern w:val="0"/>
                <w:szCs w:val="22"/>
                <w:lang w:eastAsia="en-GB"/>
                <w14:ligatures w14:val="none"/>
              </w:rPr>
              <w:t>100%</w:t>
            </w:r>
          </w:p>
        </w:tc>
      </w:tr>
      <w:tr w:rsidR="00E97FCD" w:rsidRPr="0024490A" w14:paraId="436DB925"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71DC73A8"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314DDEF5"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136F1846"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80302E8"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16935114"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C9A3B17"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single" w:sz="4" w:space="0" w:color="auto"/>
            </w:tcBorders>
            <w:shd w:val="clear" w:color="000000" w:fill="FFFFFF"/>
            <w:noWrap/>
            <w:vAlign w:val="bottom"/>
            <w:hideMark/>
          </w:tcPr>
          <w:p w14:paraId="33D9BE7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9.0%</w:t>
            </w:r>
          </w:p>
        </w:tc>
      </w:tr>
      <w:tr w:rsidR="00E97FCD" w:rsidRPr="0024490A" w14:paraId="03019103" w14:textId="77777777" w:rsidTr="00E97FCD">
        <w:trPr>
          <w:trHeight w:val="300"/>
        </w:trPr>
        <w:tc>
          <w:tcPr>
            <w:tcW w:w="3345" w:type="dxa"/>
            <w:tcBorders>
              <w:top w:val="nil"/>
              <w:left w:val="single" w:sz="4" w:space="0" w:color="auto"/>
              <w:bottom w:val="nil"/>
              <w:right w:val="nil"/>
            </w:tcBorders>
            <w:shd w:val="clear" w:color="000000" w:fill="FFFFFF"/>
            <w:noWrap/>
            <w:vAlign w:val="bottom"/>
            <w:hideMark/>
          </w:tcPr>
          <w:p w14:paraId="6364A452"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2700BC8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624C44C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2F67A2E"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4B9F6EC"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4D42AF20"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97</w:t>
            </w:r>
          </w:p>
        </w:tc>
        <w:tc>
          <w:tcPr>
            <w:tcW w:w="960" w:type="dxa"/>
            <w:tcBorders>
              <w:top w:val="nil"/>
              <w:left w:val="nil"/>
              <w:bottom w:val="nil"/>
              <w:right w:val="single" w:sz="4" w:space="0" w:color="auto"/>
            </w:tcBorders>
            <w:shd w:val="clear" w:color="000000" w:fill="FFFFFF"/>
            <w:noWrap/>
            <w:vAlign w:val="bottom"/>
            <w:hideMark/>
          </w:tcPr>
          <w:p w14:paraId="12452DFA"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87.4%</w:t>
            </w:r>
          </w:p>
        </w:tc>
      </w:tr>
      <w:tr w:rsidR="00E97FCD" w:rsidRPr="0024490A" w14:paraId="77A33B7B" w14:textId="77777777" w:rsidTr="00E97FCD">
        <w:trPr>
          <w:trHeight w:val="315"/>
        </w:trPr>
        <w:tc>
          <w:tcPr>
            <w:tcW w:w="3345" w:type="dxa"/>
            <w:tcBorders>
              <w:top w:val="nil"/>
              <w:left w:val="single" w:sz="4" w:space="0" w:color="auto"/>
              <w:bottom w:val="double" w:sz="6" w:space="0" w:color="auto"/>
              <w:right w:val="nil"/>
            </w:tcBorders>
            <w:shd w:val="clear" w:color="000000" w:fill="FFFFFF"/>
            <w:noWrap/>
            <w:vAlign w:val="bottom"/>
            <w:hideMark/>
          </w:tcPr>
          <w:p w14:paraId="6E24D49D" w14:textId="77777777" w:rsidR="0024490A" w:rsidRPr="0024490A" w:rsidRDefault="0024490A" w:rsidP="0024490A">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15FD718B"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single" w:sz="4" w:space="0" w:color="auto"/>
            </w:tcBorders>
            <w:shd w:val="clear" w:color="000000" w:fill="FFFFFF"/>
            <w:noWrap/>
            <w:vAlign w:val="bottom"/>
            <w:hideMark/>
          </w:tcPr>
          <w:p w14:paraId="36F99845"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2053607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39A78C91"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double" w:sz="6" w:space="0" w:color="auto"/>
              <w:right w:val="nil"/>
            </w:tcBorders>
            <w:shd w:val="clear" w:color="000000" w:fill="FFFFFF"/>
            <w:noWrap/>
            <w:vAlign w:val="bottom"/>
            <w:hideMark/>
          </w:tcPr>
          <w:p w14:paraId="6BC87562"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double" w:sz="6" w:space="0" w:color="auto"/>
              <w:right w:val="single" w:sz="4" w:space="0" w:color="auto"/>
            </w:tcBorders>
            <w:shd w:val="clear" w:color="000000" w:fill="FFFFFF"/>
            <w:noWrap/>
            <w:vAlign w:val="bottom"/>
            <w:hideMark/>
          </w:tcPr>
          <w:p w14:paraId="044C2139" w14:textId="77777777" w:rsidR="0024490A" w:rsidRPr="0024490A" w:rsidRDefault="0024490A" w:rsidP="0024490A">
            <w:pPr>
              <w:spacing w:after="0" w:line="240" w:lineRule="auto"/>
              <w:jc w:val="right"/>
              <w:rPr>
                <w:rFonts w:asciiTheme="minorHAnsi" w:eastAsia="Times New Roman" w:hAnsiTheme="minorHAnsi" w:cs="Times New Roman"/>
                <w:color w:val="000000"/>
                <w:kern w:val="0"/>
                <w:szCs w:val="22"/>
                <w:lang w:eastAsia="en-GB"/>
                <w14:ligatures w14:val="none"/>
              </w:rPr>
            </w:pPr>
            <w:r w:rsidRPr="0024490A">
              <w:rPr>
                <w:rFonts w:asciiTheme="minorHAnsi" w:eastAsia="Times New Roman" w:hAnsiTheme="minorHAnsi" w:cs="Times New Roman"/>
                <w:color w:val="000000"/>
                <w:kern w:val="0"/>
                <w:szCs w:val="22"/>
                <w:lang w:eastAsia="en-GB"/>
                <w14:ligatures w14:val="none"/>
              </w:rPr>
              <w:t>-</w:t>
            </w:r>
          </w:p>
        </w:tc>
      </w:tr>
    </w:tbl>
    <w:p w14:paraId="6372E2C5" w14:textId="77777777" w:rsidR="0004622A" w:rsidRPr="007E2527" w:rsidRDefault="0004622A" w:rsidP="004C0D0E">
      <w:pPr>
        <w:rPr>
          <w:rFonts w:asciiTheme="minorHAnsi" w:hAnsiTheme="minorHAnsi"/>
          <w:szCs w:val="22"/>
        </w:rPr>
      </w:pPr>
    </w:p>
    <w:p w14:paraId="4EA3FCA1" w14:textId="6ED65C52" w:rsidR="0004622A" w:rsidRPr="007E2527" w:rsidRDefault="00C50596" w:rsidP="0004622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ethnicity and mode of employment, 2025 (Full-time n=4,856; Part-time n=1,385)</w:t>
      </w:r>
    </w:p>
    <w:tbl>
      <w:tblPr>
        <w:tblW w:w="6980" w:type="dxa"/>
        <w:tblLayout w:type="fixed"/>
        <w:tblLook w:val="04A0" w:firstRow="1" w:lastRow="0" w:firstColumn="1" w:lastColumn="0" w:noHBand="0" w:noVBand="1"/>
      </w:tblPr>
      <w:tblGrid>
        <w:gridCol w:w="3140"/>
        <w:gridCol w:w="960"/>
        <w:gridCol w:w="960"/>
        <w:gridCol w:w="960"/>
        <w:gridCol w:w="960"/>
      </w:tblGrid>
      <w:tr w:rsidR="00FA6205" w:rsidRPr="00FA6205" w14:paraId="52FFB7A8" w14:textId="77777777" w:rsidTr="00FA6205">
        <w:trPr>
          <w:trHeight w:val="300"/>
        </w:trPr>
        <w:tc>
          <w:tcPr>
            <w:tcW w:w="3140" w:type="dxa"/>
            <w:tcBorders>
              <w:top w:val="single" w:sz="4" w:space="0" w:color="auto"/>
              <w:left w:val="single" w:sz="4" w:space="0" w:color="auto"/>
              <w:bottom w:val="nil"/>
              <w:right w:val="nil"/>
            </w:tcBorders>
            <w:shd w:val="clear" w:color="000000" w:fill="FFFFFF"/>
            <w:noWrap/>
            <w:vAlign w:val="bottom"/>
            <w:hideMark/>
          </w:tcPr>
          <w:p w14:paraId="562CC6C3" w14:textId="77777777" w:rsidR="00FA6205" w:rsidRPr="00FA6205" w:rsidRDefault="00FA6205" w:rsidP="00FA6205">
            <w:pPr>
              <w:spacing w:after="0" w:line="240" w:lineRule="auto"/>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ED21104"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Full-time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BE388B1"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Part-time</w:t>
            </w:r>
          </w:p>
        </w:tc>
      </w:tr>
      <w:tr w:rsidR="00FA6205" w:rsidRPr="00FA6205" w14:paraId="7E49B1C7" w14:textId="77777777" w:rsidTr="00FA6205">
        <w:trPr>
          <w:trHeight w:val="300"/>
        </w:trPr>
        <w:tc>
          <w:tcPr>
            <w:tcW w:w="3140" w:type="dxa"/>
            <w:tcBorders>
              <w:top w:val="nil"/>
              <w:left w:val="single" w:sz="4" w:space="0" w:color="auto"/>
              <w:bottom w:val="single" w:sz="4" w:space="0" w:color="auto"/>
              <w:right w:val="nil"/>
            </w:tcBorders>
            <w:shd w:val="clear" w:color="000000" w:fill="FFFFFF"/>
            <w:noWrap/>
            <w:vAlign w:val="bottom"/>
            <w:hideMark/>
          </w:tcPr>
          <w:p w14:paraId="37357B34"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19C44532"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99F57B3"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0F41AEA"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FB92EEA"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r>
      <w:tr w:rsidR="00FA6205" w:rsidRPr="00FA6205" w14:paraId="395C84B7"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6C361959"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7277677C"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712</w:t>
            </w:r>
          </w:p>
        </w:tc>
        <w:tc>
          <w:tcPr>
            <w:tcW w:w="960" w:type="dxa"/>
            <w:tcBorders>
              <w:top w:val="nil"/>
              <w:left w:val="nil"/>
              <w:bottom w:val="nil"/>
              <w:right w:val="single" w:sz="4" w:space="0" w:color="auto"/>
            </w:tcBorders>
            <w:shd w:val="clear" w:color="000000" w:fill="FFFFFF"/>
            <w:noWrap/>
            <w:vAlign w:val="bottom"/>
            <w:hideMark/>
          </w:tcPr>
          <w:p w14:paraId="69C9FF7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14.7%</w:t>
            </w:r>
          </w:p>
        </w:tc>
        <w:tc>
          <w:tcPr>
            <w:tcW w:w="960" w:type="dxa"/>
            <w:tcBorders>
              <w:top w:val="nil"/>
              <w:left w:val="nil"/>
              <w:bottom w:val="nil"/>
              <w:right w:val="nil"/>
            </w:tcBorders>
            <w:shd w:val="clear" w:color="000000" w:fill="FFFFFF"/>
            <w:noWrap/>
            <w:vAlign w:val="bottom"/>
            <w:hideMark/>
          </w:tcPr>
          <w:p w14:paraId="055BAA4B"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124</w:t>
            </w:r>
          </w:p>
        </w:tc>
        <w:tc>
          <w:tcPr>
            <w:tcW w:w="960" w:type="dxa"/>
            <w:tcBorders>
              <w:top w:val="nil"/>
              <w:left w:val="nil"/>
              <w:bottom w:val="nil"/>
              <w:right w:val="single" w:sz="4" w:space="0" w:color="auto"/>
            </w:tcBorders>
            <w:shd w:val="clear" w:color="000000" w:fill="FFFFFF"/>
            <w:noWrap/>
            <w:vAlign w:val="bottom"/>
            <w:hideMark/>
          </w:tcPr>
          <w:p w14:paraId="28A0BC17"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9.0%</w:t>
            </w:r>
          </w:p>
        </w:tc>
      </w:tr>
      <w:tr w:rsidR="00FA6205" w:rsidRPr="00FA6205" w14:paraId="6A6D5CF8"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2D5C2976"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43AF6A8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3855</w:t>
            </w:r>
          </w:p>
        </w:tc>
        <w:tc>
          <w:tcPr>
            <w:tcW w:w="960" w:type="dxa"/>
            <w:tcBorders>
              <w:top w:val="nil"/>
              <w:left w:val="nil"/>
              <w:bottom w:val="nil"/>
              <w:right w:val="single" w:sz="4" w:space="0" w:color="auto"/>
            </w:tcBorders>
            <w:shd w:val="clear" w:color="000000" w:fill="FFFFFF"/>
            <w:noWrap/>
            <w:vAlign w:val="bottom"/>
            <w:hideMark/>
          </w:tcPr>
          <w:p w14:paraId="3B97CFDC"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79.4%</w:t>
            </w:r>
          </w:p>
        </w:tc>
        <w:tc>
          <w:tcPr>
            <w:tcW w:w="960" w:type="dxa"/>
            <w:tcBorders>
              <w:top w:val="nil"/>
              <w:left w:val="nil"/>
              <w:bottom w:val="nil"/>
              <w:right w:val="nil"/>
            </w:tcBorders>
            <w:shd w:val="clear" w:color="000000" w:fill="FFFFFF"/>
            <w:noWrap/>
            <w:vAlign w:val="bottom"/>
            <w:hideMark/>
          </w:tcPr>
          <w:p w14:paraId="4A0DF194"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1183</w:t>
            </w:r>
          </w:p>
        </w:tc>
        <w:tc>
          <w:tcPr>
            <w:tcW w:w="960" w:type="dxa"/>
            <w:tcBorders>
              <w:top w:val="nil"/>
              <w:left w:val="nil"/>
              <w:bottom w:val="nil"/>
              <w:right w:val="single" w:sz="4" w:space="0" w:color="auto"/>
            </w:tcBorders>
            <w:shd w:val="clear" w:color="000000" w:fill="FFFFFF"/>
            <w:noWrap/>
            <w:vAlign w:val="bottom"/>
            <w:hideMark/>
          </w:tcPr>
          <w:p w14:paraId="13F99F9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85.4%</w:t>
            </w:r>
          </w:p>
        </w:tc>
      </w:tr>
      <w:tr w:rsidR="00FA6205" w:rsidRPr="00FA6205" w14:paraId="24DAC817"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00947781"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AB9486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289</w:t>
            </w:r>
          </w:p>
        </w:tc>
        <w:tc>
          <w:tcPr>
            <w:tcW w:w="960" w:type="dxa"/>
            <w:tcBorders>
              <w:top w:val="nil"/>
              <w:left w:val="nil"/>
              <w:bottom w:val="nil"/>
              <w:right w:val="single" w:sz="4" w:space="0" w:color="auto"/>
            </w:tcBorders>
            <w:shd w:val="clear" w:color="000000" w:fill="FFFFFF"/>
            <w:noWrap/>
            <w:vAlign w:val="bottom"/>
            <w:hideMark/>
          </w:tcPr>
          <w:p w14:paraId="111CA97D"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6.0%</w:t>
            </w:r>
          </w:p>
        </w:tc>
        <w:tc>
          <w:tcPr>
            <w:tcW w:w="960" w:type="dxa"/>
            <w:tcBorders>
              <w:top w:val="nil"/>
              <w:left w:val="nil"/>
              <w:bottom w:val="nil"/>
              <w:right w:val="nil"/>
            </w:tcBorders>
            <w:shd w:val="clear" w:color="000000" w:fill="FFFFFF"/>
            <w:noWrap/>
            <w:vAlign w:val="bottom"/>
            <w:hideMark/>
          </w:tcPr>
          <w:p w14:paraId="139ED337"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78</w:t>
            </w:r>
          </w:p>
        </w:tc>
        <w:tc>
          <w:tcPr>
            <w:tcW w:w="960" w:type="dxa"/>
            <w:tcBorders>
              <w:top w:val="nil"/>
              <w:left w:val="nil"/>
              <w:bottom w:val="nil"/>
              <w:right w:val="single" w:sz="4" w:space="0" w:color="auto"/>
            </w:tcBorders>
            <w:shd w:val="clear" w:color="000000" w:fill="FFFFFF"/>
            <w:noWrap/>
            <w:vAlign w:val="bottom"/>
            <w:hideMark/>
          </w:tcPr>
          <w:p w14:paraId="4F199E4D"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5.6%</w:t>
            </w:r>
          </w:p>
        </w:tc>
      </w:tr>
      <w:tr w:rsidR="00FA6205" w:rsidRPr="00FA6205" w14:paraId="19F51A6A" w14:textId="77777777" w:rsidTr="00FA6205">
        <w:trPr>
          <w:trHeight w:val="315"/>
        </w:trPr>
        <w:tc>
          <w:tcPr>
            <w:tcW w:w="3140" w:type="dxa"/>
            <w:tcBorders>
              <w:top w:val="dotted" w:sz="4" w:space="0" w:color="auto"/>
              <w:left w:val="single" w:sz="4" w:space="0" w:color="auto"/>
              <w:bottom w:val="double" w:sz="6" w:space="0" w:color="auto"/>
              <w:right w:val="nil"/>
            </w:tcBorders>
            <w:shd w:val="clear" w:color="000000" w:fill="FFFFFF"/>
            <w:noWrap/>
            <w:vAlign w:val="bottom"/>
            <w:hideMark/>
          </w:tcPr>
          <w:p w14:paraId="783AE535" w14:textId="77777777" w:rsidR="00FA6205" w:rsidRPr="00FA6205" w:rsidRDefault="00FA6205" w:rsidP="00FA6205">
            <w:pPr>
              <w:spacing w:after="0" w:line="240" w:lineRule="auto"/>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6780DB4"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4856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6B27826"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7B827C4"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EDA5B7F"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r>
    </w:tbl>
    <w:p w14:paraId="5497373B" w14:textId="77777777" w:rsidR="00C50596" w:rsidRDefault="00C50596" w:rsidP="00C50596">
      <w:pPr>
        <w:rPr>
          <w:rFonts w:asciiTheme="minorHAnsi" w:hAnsiTheme="minorHAnsi"/>
          <w:b/>
          <w:bCs/>
          <w:szCs w:val="22"/>
        </w:rPr>
      </w:pPr>
    </w:p>
    <w:p w14:paraId="01791146" w14:textId="77777777" w:rsidR="00E97FCD" w:rsidRPr="007E2527" w:rsidRDefault="00E97FCD" w:rsidP="00C50596">
      <w:pPr>
        <w:rPr>
          <w:rFonts w:asciiTheme="minorHAnsi" w:hAnsiTheme="minorHAnsi"/>
          <w:b/>
          <w:bCs/>
          <w:szCs w:val="22"/>
        </w:rPr>
      </w:pPr>
    </w:p>
    <w:p w14:paraId="42F27B53" w14:textId="0CE84E39" w:rsidR="00C50596" w:rsidRPr="007E2527" w:rsidRDefault="00C50596" w:rsidP="00C50596">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ethnicity and grade, 2025 (n=2,860)</w:t>
      </w:r>
    </w:p>
    <w:tbl>
      <w:tblPr>
        <w:tblW w:w="12740" w:type="dxa"/>
        <w:tblLayout w:type="fixed"/>
        <w:tblLook w:val="04A0" w:firstRow="1" w:lastRow="0" w:firstColumn="1" w:lastColumn="0" w:noHBand="0" w:noVBand="1"/>
      </w:tblPr>
      <w:tblGrid>
        <w:gridCol w:w="3140"/>
        <w:gridCol w:w="960"/>
        <w:gridCol w:w="960"/>
        <w:gridCol w:w="960"/>
        <w:gridCol w:w="960"/>
        <w:gridCol w:w="960"/>
        <w:gridCol w:w="960"/>
        <w:gridCol w:w="960"/>
        <w:gridCol w:w="960"/>
        <w:gridCol w:w="960"/>
        <w:gridCol w:w="960"/>
      </w:tblGrid>
      <w:tr w:rsidR="00FA6205" w:rsidRPr="00FA6205" w14:paraId="171CD29C" w14:textId="77777777" w:rsidTr="00FA6205">
        <w:trPr>
          <w:trHeight w:val="300"/>
        </w:trPr>
        <w:tc>
          <w:tcPr>
            <w:tcW w:w="3140" w:type="dxa"/>
            <w:tcBorders>
              <w:top w:val="single" w:sz="4" w:space="0" w:color="auto"/>
              <w:left w:val="single" w:sz="4" w:space="0" w:color="auto"/>
              <w:bottom w:val="nil"/>
              <w:right w:val="nil"/>
            </w:tcBorders>
            <w:shd w:val="clear" w:color="000000" w:fill="FFFFFF"/>
            <w:noWrap/>
            <w:vAlign w:val="bottom"/>
            <w:hideMark/>
          </w:tcPr>
          <w:p w14:paraId="4EB10F17" w14:textId="77777777" w:rsidR="00FA6205" w:rsidRPr="00FA6205" w:rsidRDefault="00FA6205" w:rsidP="00FA6205">
            <w:pPr>
              <w:spacing w:after="0" w:line="240" w:lineRule="auto"/>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99CC64F"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E</w:t>
            </w:r>
          </w:p>
        </w:tc>
        <w:tc>
          <w:tcPr>
            <w:tcW w:w="1920" w:type="dxa"/>
            <w:gridSpan w:val="2"/>
            <w:tcBorders>
              <w:top w:val="single" w:sz="4" w:space="0" w:color="auto"/>
              <w:left w:val="nil"/>
              <w:bottom w:val="nil"/>
              <w:right w:val="nil"/>
            </w:tcBorders>
            <w:shd w:val="clear" w:color="000000" w:fill="FFFFFF"/>
            <w:noWrap/>
            <w:vAlign w:val="bottom"/>
            <w:hideMark/>
          </w:tcPr>
          <w:p w14:paraId="0E70C68E"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77DE0D3"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5326AAB6"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D6FDA77"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I</w:t>
            </w:r>
          </w:p>
        </w:tc>
      </w:tr>
      <w:tr w:rsidR="00FA6205" w:rsidRPr="007E2527" w14:paraId="0A654186" w14:textId="77777777" w:rsidTr="00FA6205">
        <w:trPr>
          <w:trHeight w:val="300"/>
        </w:trPr>
        <w:tc>
          <w:tcPr>
            <w:tcW w:w="3140" w:type="dxa"/>
            <w:tcBorders>
              <w:top w:val="nil"/>
              <w:left w:val="single" w:sz="4" w:space="0" w:color="auto"/>
              <w:bottom w:val="single" w:sz="4" w:space="0" w:color="auto"/>
              <w:right w:val="nil"/>
            </w:tcBorders>
            <w:shd w:val="clear" w:color="000000" w:fill="FFFFFF"/>
            <w:noWrap/>
            <w:vAlign w:val="bottom"/>
            <w:hideMark/>
          </w:tcPr>
          <w:p w14:paraId="47C87A2C"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7103B91B"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6E139D2"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973EE40"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F87F998"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E7F2F3C"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043E3BF"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784CCC9"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CB10FEA"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FBC6484"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968F3FF"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r>
      <w:tr w:rsidR="00FA6205" w:rsidRPr="007E2527" w14:paraId="68328823"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698F7AE2"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single" w:sz="4" w:space="0" w:color="auto"/>
              <w:left w:val="single" w:sz="4" w:space="0" w:color="auto"/>
              <w:bottom w:val="nil"/>
              <w:right w:val="nil"/>
            </w:tcBorders>
            <w:shd w:val="clear" w:color="000000" w:fill="FFFFFF"/>
            <w:noWrap/>
            <w:vAlign w:val="bottom"/>
            <w:hideMark/>
          </w:tcPr>
          <w:p w14:paraId="406A1BB3"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nil"/>
            </w:tcBorders>
            <w:shd w:val="clear" w:color="000000" w:fill="FFFFFF"/>
            <w:noWrap/>
            <w:vAlign w:val="bottom"/>
            <w:hideMark/>
          </w:tcPr>
          <w:p w14:paraId="41B57593"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61.5%</w:t>
            </w:r>
          </w:p>
        </w:tc>
        <w:tc>
          <w:tcPr>
            <w:tcW w:w="960" w:type="dxa"/>
            <w:tcBorders>
              <w:top w:val="single" w:sz="4" w:space="0" w:color="auto"/>
              <w:left w:val="single" w:sz="4" w:space="0" w:color="auto"/>
              <w:bottom w:val="nil"/>
              <w:right w:val="nil"/>
            </w:tcBorders>
            <w:shd w:val="clear" w:color="000000" w:fill="FFFFFF"/>
            <w:noWrap/>
            <w:vAlign w:val="bottom"/>
            <w:hideMark/>
          </w:tcPr>
          <w:p w14:paraId="696C502E"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307</w:t>
            </w:r>
          </w:p>
        </w:tc>
        <w:tc>
          <w:tcPr>
            <w:tcW w:w="960" w:type="dxa"/>
            <w:tcBorders>
              <w:top w:val="nil"/>
              <w:left w:val="nil"/>
              <w:bottom w:val="nil"/>
              <w:right w:val="single" w:sz="4" w:space="0" w:color="auto"/>
            </w:tcBorders>
            <w:shd w:val="clear" w:color="000000" w:fill="FFFFFF"/>
            <w:noWrap/>
            <w:vAlign w:val="bottom"/>
            <w:hideMark/>
          </w:tcPr>
          <w:p w14:paraId="7B4CF55C"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32.4%</w:t>
            </w:r>
          </w:p>
        </w:tc>
        <w:tc>
          <w:tcPr>
            <w:tcW w:w="960" w:type="dxa"/>
            <w:tcBorders>
              <w:top w:val="single" w:sz="4" w:space="0" w:color="auto"/>
              <w:left w:val="nil"/>
              <w:bottom w:val="nil"/>
              <w:right w:val="nil"/>
            </w:tcBorders>
            <w:shd w:val="clear" w:color="000000" w:fill="FFFFFF"/>
            <w:noWrap/>
            <w:vAlign w:val="bottom"/>
            <w:hideMark/>
          </w:tcPr>
          <w:p w14:paraId="526DC5E7"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133</w:t>
            </w:r>
          </w:p>
        </w:tc>
        <w:tc>
          <w:tcPr>
            <w:tcW w:w="960" w:type="dxa"/>
            <w:tcBorders>
              <w:top w:val="nil"/>
              <w:left w:val="nil"/>
              <w:bottom w:val="nil"/>
              <w:right w:val="nil"/>
            </w:tcBorders>
            <w:shd w:val="clear" w:color="000000" w:fill="FFFFFF"/>
            <w:noWrap/>
            <w:vAlign w:val="bottom"/>
            <w:hideMark/>
          </w:tcPr>
          <w:p w14:paraId="584E15F1"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20.9%</w:t>
            </w:r>
          </w:p>
        </w:tc>
        <w:tc>
          <w:tcPr>
            <w:tcW w:w="960" w:type="dxa"/>
            <w:tcBorders>
              <w:top w:val="single" w:sz="4" w:space="0" w:color="auto"/>
              <w:left w:val="single" w:sz="4" w:space="0" w:color="auto"/>
              <w:bottom w:val="nil"/>
              <w:right w:val="nil"/>
            </w:tcBorders>
            <w:shd w:val="clear" w:color="000000" w:fill="FFFFFF"/>
            <w:noWrap/>
            <w:vAlign w:val="bottom"/>
            <w:hideMark/>
          </w:tcPr>
          <w:p w14:paraId="46ACB563"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78</w:t>
            </w:r>
          </w:p>
        </w:tc>
        <w:tc>
          <w:tcPr>
            <w:tcW w:w="960" w:type="dxa"/>
            <w:tcBorders>
              <w:top w:val="nil"/>
              <w:left w:val="nil"/>
              <w:bottom w:val="nil"/>
              <w:right w:val="single" w:sz="4" w:space="0" w:color="auto"/>
            </w:tcBorders>
            <w:shd w:val="clear" w:color="000000" w:fill="FFFFFF"/>
            <w:noWrap/>
            <w:vAlign w:val="bottom"/>
            <w:hideMark/>
          </w:tcPr>
          <w:p w14:paraId="6AB773F3"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15.3%</w:t>
            </w:r>
          </w:p>
        </w:tc>
        <w:tc>
          <w:tcPr>
            <w:tcW w:w="960" w:type="dxa"/>
            <w:tcBorders>
              <w:top w:val="single" w:sz="4" w:space="0" w:color="auto"/>
              <w:left w:val="nil"/>
              <w:bottom w:val="nil"/>
              <w:right w:val="nil"/>
            </w:tcBorders>
            <w:shd w:val="clear" w:color="000000" w:fill="FFFFFF"/>
            <w:noWrap/>
            <w:vAlign w:val="bottom"/>
            <w:hideMark/>
          </w:tcPr>
          <w:p w14:paraId="1AE81B14"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80</w:t>
            </w:r>
          </w:p>
        </w:tc>
        <w:tc>
          <w:tcPr>
            <w:tcW w:w="960" w:type="dxa"/>
            <w:tcBorders>
              <w:top w:val="nil"/>
              <w:left w:val="nil"/>
              <w:bottom w:val="nil"/>
              <w:right w:val="single" w:sz="4" w:space="0" w:color="auto"/>
            </w:tcBorders>
            <w:shd w:val="clear" w:color="000000" w:fill="FFFFFF"/>
            <w:noWrap/>
            <w:vAlign w:val="bottom"/>
            <w:hideMark/>
          </w:tcPr>
          <w:p w14:paraId="55639406"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10.8%</w:t>
            </w:r>
          </w:p>
        </w:tc>
      </w:tr>
      <w:tr w:rsidR="00FA6205" w:rsidRPr="007E2527" w14:paraId="7274C105"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759D9E5F"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3AD1A5C9"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nil"/>
            </w:tcBorders>
            <w:shd w:val="clear" w:color="000000" w:fill="FFFFFF"/>
            <w:noWrap/>
            <w:vAlign w:val="bottom"/>
            <w:hideMark/>
          </w:tcPr>
          <w:p w14:paraId="17D1F2DA"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26.9%</w:t>
            </w:r>
          </w:p>
        </w:tc>
        <w:tc>
          <w:tcPr>
            <w:tcW w:w="960" w:type="dxa"/>
            <w:tcBorders>
              <w:top w:val="nil"/>
              <w:left w:val="single" w:sz="4" w:space="0" w:color="auto"/>
              <w:bottom w:val="nil"/>
              <w:right w:val="nil"/>
            </w:tcBorders>
            <w:shd w:val="clear" w:color="000000" w:fill="FFFFFF"/>
            <w:noWrap/>
            <w:vAlign w:val="bottom"/>
            <w:hideMark/>
          </w:tcPr>
          <w:p w14:paraId="6C5E5F12"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543</w:t>
            </w:r>
          </w:p>
        </w:tc>
        <w:tc>
          <w:tcPr>
            <w:tcW w:w="960" w:type="dxa"/>
            <w:tcBorders>
              <w:top w:val="nil"/>
              <w:left w:val="nil"/>
              <w:bottom w:val="nil"/>
              <w:right w:val="single" w:sz="4" w:space="0" w:color="auto"/>
            </w:tcBorders>
            <w:shd w:val="clear" w:color="000000" w:fill="FFFFFF"/>
            <w:noWrap/>
            <w:vAlign w:val="bottom"/>
            <w:hideMark/>
          </w:tcPr>
          <w:p w14:paraId="7B72397C"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57.3%</w:t>
            </w:r>
          </w:p>
        </w:tc>
        <w:tc>
          <w:tcPr>
            <w:tcW w:w="960" w:type="dxa"/>
            <w:tcBorders>
              <w:top w:val="nil"/>
              <w:left w:val="nil"/>
              <w:bottom w:val="nil"/>
              <w:right w:val="nil"/>
            </w:tcBorders>
            <w:shd w:val="clear" w:color="000000" w:fill="FFFFFF"/>
            <w:noWrap/>
            <w:vAlign w:val="bottom"/>
            <w:hideMark/>
          </w:tcPr>
          <w:p w14:paraId="6814454D"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455</w:t>
            </w:r>
          </w:p>
        </w:tc>
        <w:tc>
          <w:tcPr>
            <w:tcW w:w="960" w:type="dxa"/>
            <w:tcBorders>
              <w:top w:val="nil"/>
              <w:left w:val="nil"/>
              <w:bottom w:val="nil"/>
              <w:right w:val="nil"/>
            </w:tcBorders>
            <w:shd w:val="clear" w:color="000000" w:fill="FFFFFF"/>
            <w:noWrap/>
            <w:vAlign w:val="bottom"/>
            <w:hideMark/>
          </w:tcPr>
          <w:p w14:paraId="6CB39388"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71.5%</w:t>
            </w:r>
          </w:p>
        </w:tc>
        <w:tc>
          <w:tcPr>
            <w:tcW w:w="960" w:type="dxa"/>
            <w:tcBorders>
              <w:top w:val="nil"/>
              <w:left w:val="single" w:sz="4" w:space="0" w:color="auto"/>
              <w:bottom w:val="nil"/>
              <w:right w:val="nil"/>
            </w:tcBorders>
            <w:shd w:val="clear" w:color="000000" w:fill="FFFFFF"/>
            <w:noWrap/>
            <w:vAlign w:val="bottom"/>
            <w:hideMark/>
          </w:tcPr>
          <w:p w14:paraId="402FAC36"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402</w:t>
            </w:r>
          </w:p>
        </w:tc>
        <w:tc>
          <w:tcPr>
            <w:tcW w:w="960" w:type="dxa"/>
            <w:tcBorders>
              <w:top w:val="nil"/>
              <w:left w:val="nil"/>
              <w:bottom w:val="nil"/>
              <w:right w:val="single" w:sz="4" w:space="0" w:color="auto"/>
            </w:tcBorders>
            <w:shd w:val="clear" w:color="000000" w:fill="FFFFFF"/>
            <w:noWrap/>
            <w:vAlign w:val="bottom"/>
            <w:hideMark/>
          </w:tcPr>
          <w:p w14:paraId="7FEE6B5B"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78.7%</w:t>
            </w:r>
          </w:p>
        </w:tc>
        <w:tc>
          <w:tcPr>
            <w:tcW w:w="960" w:type="dxa"/>
            <w:tcBorders>
              <w:top w:val="nil"/>
              <w:left w:val="nil"/>
              <w:bottom w:val="nil"/>
              <w:right w:val="nil"/>
            </w:tcBorders>
            <w:shd w:val="clear" w:color="000000" w:fill="FFFFFF"/>
            <w:noWrap/>
            <w:vAlign w:val="bottom"/>
            <w:hideMark/>
          </w:tcPr>
          <w:p w14:paraId="789976CB"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622</w:t>
            </w:r>
          </w:p>
        </w:tc>
        <w:tc>
          <w:tcPr>
            <w:tcW w:w="960" w:type="dxa"/>
            <w:tcBorders>
              <w:top w:val="nil"/>
              <w:left w:val="nil"/>
              <w:bottom w:val="nil"/>
              <w:right w:val="single" w:sz="4" w:space="0" w:color="auto"/>
            </w:tcBorders>
            <w:shd w:val="clear" w:color="000000" w:fill="FFFFFF"/>
            <w:noWrap/>
            <w:vAlign w:val="bottom"/>
            <w:hideMark/>
          </w:tcPr>
          <w:p w14:paraId="326F49F3"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84.1%</w:t>
            </w:r>
          </w:p>
        </w:tc>
      </w:tr>
      <w:tr w:rsidR="00FA6205" w:rsidRPr="007E2527" w14:paraId="7A8FE8AF"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041DE38B"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9AEEF64"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17228308"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22098A1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97</w:t>
            </w:r>
          </w:p>
        </w:tc>
        <w:tc>
          <w:tcPr>
            <w:tcW w:w="960" w:type="dxa"/>
            <w:tcBorders>
              <w:top w:val="nil"/>
              <w:left w:val="nil"/>
              <w:bottom w:val="nil"/>
              <w:right w:val="single" w:sz="4" w:space="0" w:color="auto"/>
            </w:tcBorders>
            <w:shd w:val="clear" w:color="000000" w:fill="FFFFFF"/>
            <w:noWrap/>
            <w:vAlign w:val="bottom"/>
            <w:hideMark/>
          </w:tcPr>
          <w:p w14:paraId="63049449"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10.2%</w:t>
            </w:r>
          </w:p>
        </w:tc>
        <w:tc>
          <w:tcPr>
            <w:tcW w:w="960" w:type="dxa"/>
            <w:tcBorders>
              <w:top w:val="nil"/>
              <w:left w:val="nil"/>
              <w:bottom w:val="nil"/>
              <w:right w:val="nil"/>
            </w:tcBorders>
            <w:shd w:val="clear" w:color="000000" w:fill="FFFFFF"/>
            <w:noWrap/>
            <w:vAlign w:val="bottom"/>
            <w:hideMark/>
          </w:tcPr>
          <w:p w14:paraId="41B9AA3B"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48</w:t>
            </w:r>
          </w:p>
        </w:tc>
        <w:tc>
          <w:tcPr>
            <w:tcW w:w="960" w:type="dxa"/>
            <w:tcBorders>
              <w:top w:val="nil"/>
              <w:left w:val="nil"/>
              <w:bottom w:val="nil"/>
              <w:right w:val="nil"/>
            </w:tcBorders>
            <w:shd w:val="clear" w:color="000000" w:fill="FFFFFF"/>
            <w:noWrap/>
            <w:vAlign w:val="bottom"/>
            <w:hideMark/>
          </w:tcPr>
          <w:p w14:paraId="0AC480FD"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7.5%</w:t>
            </w:r>
          </w:p>
        </w:tc>
        <w:tc>
          <w:tcPr>
            <w:tcW w:w="960" w:type="dxa"/>
            <w:tcBorders>
              <w:top w:val="nil"/>
              <w:left w:val="single" w:sz="4" w:space="0" w:color="auto"/>
              <w:bottom w:val="nil"/>
              <w:right w:val="nil"/>
            </w:tcBorders>
            <w:shd w:val="clear" w:color="000000" w:fill="FFFFFF"/>
            <w:noWrap/>
            <w:vAlign w:val="bottom"/>
            <w:hideMark/>
          </w:tcPr>
          <w:p w14:paraId="2F951E70"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31</w:t>
            </w:r>
          </w:p>
        </w:tc>
        <w:tc>
          <w:tcPr>
            <w:tcW w:w="960" w:type="dxa"/>
            <w:tcBorders>
              <w:top w:val="nil"/>
              <w:left w:val="nil"/>
              <w:bottom w:val="nil"/>
              <w:right w:val="single" w:sz="4" w:space="0" w:color="auto"/>
            </w:tcBorders>
            <w:shd w:val="clear" w:color="000000" w:fill="FFFFFF"/>
            <w:noWrap/>
            <w:vAlign w:val="bottom"/>
            <w:hideMark/>
          </w:tcPr>
          <w:p w14:paraId="06BD6ED4"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nil"/>
            </w:tcBorders>
            <w:shd w:val="clear" w:color="000000" w:fill="FFFFFF"/>
            <w:noWrap/>
            <w:vAlign w:val="bottom"/>
            <w:hideMark/>
          </w:tcPr>
          <w:p w14:paraId="2C518113"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38</w:t>
            </w:r>
          </w:p>
        </w:tc>
        <w:tc>
          <w:tcPr>
            <w:tcW w:w="960" w:type="dxa"/>
            <w:tcBorders>
              <w:top w:val="nil"/>
              <w:left w:val="nil"/>
              <w:bottom w:val="nil"/>
              <w:right w:val="single" w:sz="4" w:space="0" w:color="auto"/>
            </w:tcBorders>
            <w:shd w:val="clear" w:color="000000" w:fill="FFFFFF"/>
            <w:noWrap/>
            <w:vAlign w:val="bottom"/>
            <w:hideMark/>
          </w:tcPr>
          <w:p w14:paraId="4DD1895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5.1%</w:t>
            </w:r>
          </w:p>
        </w:tc>
      </w:tr>
      <w:tr w:rsidR="00FA6205" w:rsidRPr="007E2527" w14:paraId="2D4DB0CA" w14:textId="77777777" w:rsidTr="00FA6205">
        <w:trPr>
          <w:trHeight w:val="315"/>
        </w:trPr>
        <w:tc>
          <w:tcPr>
            <w:tcW w:w="3140" w:type="dxa"/>
            <w:tcBorders>
              <w:top w:val="dotted" w:sz="4" w:space="0" w:color="auto"/>
              <w:left w:val="single" w:sz="4" w:space="0" w:color="auto"/>
              <w:bottom w:val="double" w:sz="6" w:space="0" w:color="auto"/>
              <w:right w:val="nil"/>
            </w:tcBorders>
            <w:shd w:val="clear" w:color="000000" w:fill="FFFFFF"/>
            <w:noWrap/>
            <w:vAlign w:val="bottom"/>
            <w:hideMark/>
          </w:tcPr>
          <w:p w14:paraId="7DDE8658" w14:textId="77777777" w:rsidR="00FA6205" w:rsidRPr="00FA6205" w:rsidRDefault="00FA6205" w:rsidP="00FA6205">
            <w:pPr>
              <w:spacing w:after="0" w:line="240" w:lineRule="auto"/>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CD4D913"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26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C989886"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52038BA"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947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02D0EB7"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B9A3F79"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636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781D940"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B78535A"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511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2227B23"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FDAC694"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740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70105F0"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r>
    </w:tbl>
    <w:p w14:paraId="2682FC36" w14:textId="0711111E" w:rsidR="00731959" w:rsidRPr="007E2527" w:rsidRDefault="00731959" w:rsidP="00C50596">
      <w:pPr>
        <w:rPr>
          <w:rFonts w:asciiTheme="minorHAnsi" w:hAnsiTheme="minorHAnsi"/>
          <w:b/>
          <w:bCs/>
          <w:szCs w:val="22"/>
        </w:rPr>
      </w:pPr>
    </w:p>
    <w:p w14:paraId="481F5973" w14:textId="77777777" w:rsidR="00E47986" w:rsidRPr="007E2527" w:rsidRDefault="00E47986" w:rsidP="00C50596">
      <w:pPr>
        <w:rPr>
          <w:rFonts w:asciiTheme="minorHAnsi" w:hAnsiTheme="minorHAnsi"/>
          <w:b/>
          <w:bCs/>
          <w:szCs w:val="22"/>
        </w:rPr>
      </w:pPr>
    </w:p>
    <w:p w14:paraId="18540324" w14:textId="77777777" w:rsidR="00E47986" w:rsidRPr="007E2527" w:rsidRDefault="00E47986" w:rsidP="00C50596">
      <w:pPr>
        <w:rPr>
          <w:rFonts w:asciiTheme="minorHAnsi" w:hAnsiTheme="minorHAnsi"/>
          <w:b/>
          <w:bCs/>
          <w:szCs w:val="22"/>
        </w:rPr>
      </w:pPr>
    </w:p>
    <w:p w14:paraId="01887D30" w14:textId="77777777" w:rsidR="00E47986" w:rsidRPr="007E2527" w:rsidRDefault="00E47986" w:rsidP="00C50596">
      <w:pPr>
        <w:rPr>
          <w:rFonts w:asciiTheme="minorHAnsi" w:hAnsiTheme="minorHAnsi"/>
          <w:b/>
          <w:bCs/>
          <w:szCs w:val="22"/>
        </w:rPr>
      </w:pPr>
    </w:p>
    <w:p w14:paraId="200E232F" w14:textId="77777777" w:rsidR="00E47986" w:rsidRPr="007E2527" w:rsidRDefault="00E47986" w:rsidP="00C50596">
      <w:pPr>
        <w:rPr>
          <w:rFonts w:asciiTheme="minorHAnsi" w:hAnsiTheme="minorHAnsi"/>
          <w:b/>
          <w:bCs/>
          <w:szCs w:val="22"/>
        </w:rPr>
      </w:pPr>
    </w:p>
    <w:p w14:paraId="1A6F117F" w14:textId="77777777" w:rsidR="00E47986" w:rsidRPr="007E2527" w:rsidRDefault="00E47986" w:rsidP="00C50596">
      <w:pPr>
        <w:rPr>
          <w:rFonts w:asciiTheme="minorHAnsi" w:hAnsiTheme="minorHAnsi"/>
          <w:b/>
          <w:bCs/>
          <w:szCs w:val="22"/>
        </w:rPr>
      </w:pPr>
    </w:p>
    <w:p w14:paraId="0D377620" w14:textId="77777777" w:rsidR="00E47986" w:rsidRPr="007E2527" w:rsidRDefault="00E47986" w:rsidP="00C50596">
      <w:pPr>
        <w:rPr>
          <w:rFonts w:asciiTheme="minorHAnsi" w:hAnsiTheme="minorHAnsi"/>
          <w:b/>
          <w:bCs/>
          <w:szCs w:val="22"/>
        </w:rPr>
      </w:pPr>
    </w:p>
    <w:p w14:paraId="0E7E49DB" w14:textId="451F21E6" w:rsidR="008A2A5A" w:rsidRPr="007E2527" w:rsidRDefault="000C319A" w:rsidP="000C319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ethnicity and grade, 2025 (n=3,381)</w:t>
      </w:r>
    </w:p>
    <w:tbl>
      <w:tblPr>
        <w:tblW w:w="12740" w:type="dxa"/>
        <w:tblLayout w:type="fixed"/>
        <w:tblLook w:val="04A0" w:firstRow="1" w:lastRow="0" w:firstColumn="1" w:lastColumn="0" w:noHBand="0" w:noVBand="1"/>
      </w:tblPr>
      <w:tblGrid>
        <w:gridCol w:w="3140"/>
        <w:gridCol w:w="960"/>
        <w:gridCol w:w="960"/>
        <w:gridCol w:w="960"/>
        <w:gridCol w:w="960"/>
        <w:gridCol w:w="960"/>
        <w:gridCol w:w="960"/>
        <w:gridCol w:w="960"/>
        <w:gridCol w:w="960"/>
        <w:gridCol w:w="960"/>
        <w:gridCol w:w="960"/>
      </w:tblGrid>
      <w:tr w:rsidR="00FA6205" w:rsidRPr="00FA6205" w14:paraId="649C2E42" w14:textId="77777777" w:rsidTr="00FA6205">
        <w:trPr>
          <w:trHeight w:val="300"/>
        </w:trPr>
        <w:tc>
          <w:tcPr>
            <w:tcW w:w="3140" w:type="dxa"/>
            <w:tcBorders>
              <w:top w:val="single" w:sz="4" w:space="0" w:color="auto"/>
              <w:left w:val="single" w:sz="4" w:space="0" w:color="auto"/>
              <w:bottom w:val="nil"/>
              <w:right w:val="nil"/>
            </w:tcBorders>
            <w:shd w:val="clear" w:color="000000" w:fill="FFFFFF"/>
            <w:noWrap/>
            <w:vAlign w:val="bottom"/>
            <w:hideMark/>
          </w:tcPr>
          <w:p w14:paraId="76688DD4" w14:textId="77777777" w:rsidR="00FA6205" w:rsidRPr="00FA6205" w:rsidRDefault="00FA6205" w:rsidP="00FA6205">
            <w:pPr>
              <w:spacing w:after="0" w:line="240" w:lineRule="auto"/>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4160809"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A</w:t>
            </w:r>
          </w:p>
        </w:tc>
        <w:tc>
          <w:tcPr>
            <w:tcW w:w="1920" w:type="dxa"/>
            <w:gridSpan w:val="2"/>
            <w:tcBorders>
              <w:top w:val="single" w:sz="4" w:space="0" w:color="auto"/>
              <w:left w:val="nil"/>
              <w:bottom w:val="nil"/>
              <w:right w:val="nil"/>
            </w:tcBorders>
            <w:shd w:val="clear" w:color="000000" w:fill="FFFFFF"/>
            <w:noWrap/>
            <w:vAlign w:val="bottom"/>
            <w:hideMark/>
          </w:tcPr>
          <w:p w14:paraId="7C3F0B38"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B</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99E6E43"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C</w:t>
            </w:r>
          </w:p>
        </w:tc>
        <w:tc>
          <w:tcPr>
            <w:tcW w:w="1920" w:type="dxa"/>
            <w:gridSpan w:val="2"/>
            <w:tcBorders>
              <w:top w:val="single" w:sz="4" w:space="0" w:color="auto"/>
              <w:left w:val="nil"/>
              <w:bottom w:val="nil"/>
              <w:right w:val="nil"/>
            </w:tcBorders>
            <w:shd w:val="clear" w:color="000000" w:fill="FFFFFF"/>
            <w:noWrap/>
            <w:vAlign w:val="bottom"/>
            <w:hideMark/>
          </w:tcPr>
          <w:p w14:paraId="6DF8D12F"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D</w:t>
            </w:r>
          </w:p>
        </w:tc>
        <w:tc>
          <w:tcPr>
            <w:tcW w:w="1920"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7D7DF7E6" w14:textId="77777777" w:rsidR="00FA6205" w:rsidRPr="00FA6205" w:rsidRDefault="00FA6205" w:rsidP="00FA620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Grade E</w:t>
            </w:r>
          </w:p>
        </w:tc>
      </w:tr>
      <w:tr w:rsidR="00FA6205" w:rsidRPr="007E2527" w14:paraId="12883AA6" w14:textId="77777777" w:rsidTr="00FA6205">
        <w:trPr>
          <w:trHeight w:val="300"/>
        </w:trPr>
        <w:tc>
          <w:tcPr>
            <w:tcW w:w="3140" w:type="dxa"/>
            <w:tcBorders>
              <w:top w:val="nil"/>
              <w:left w:val="single" w:sz="4" w:space="0" w:color="auto"/>
              <w:bottom w:val="single" w:sz="4" w:space="0" w:color="auto"/>
              <w:right w:val="nil"/>
            </w:tcBorders>
            <w:shd w:val="clear" w:color="000000" w:fill="FFFFFF"/>
            <w:noWrap/>
            <w:vAlign w:val="bottom"/>
            <w:hideMark/>
          </w:tcPr>
          <w:p w14:paraId="56A795FB"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7631AF9F"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B2B671D"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B1FA337"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7C5738A"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CEE20AB"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668080E"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009C2F3"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188B128"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4010CF1"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75A6958" w14:textId="77777777" w:rsidR="00FA6205" w:rsidRPr="00FA6205" w:rsidRDefault="00FA6205" w:rsidP="00FA6205">
            <w:pPr>
              <w:spacing w:after="0" w:line="240" w:lineRule="auto"/>
              <w:jc w:val="center"/>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r>
      <w:tr w:rsidR="00FA6205" w:rsidRPr="007E2527" w14:paraId="68C924B9"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0F3EB871"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single" w:sz="4" w:space="0" w:color="auto"/>
              <w:left w:val="single" w:sz="4" w:space="0" w:color="auto"/>
              <w:bottom w:val="nil"/>
              <w:right w:val="nil"/>
            </w:tcBorders>
            <w:shd w:val="clear" w:color="000000" w:fill="FFFFFF"/>
            <w:noWrap/>
            <w:vAlign w:val="bottom"/>
            <w:hideMark/>
          </w:tcPr>
          <w:p w14:paraId="74367B20"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nil"/>
            </w:tcBorders>
            <w:shd w:val="clear" w:color="000000" w:fill="FFFFFF"/>
            <w:noWrap/>
            <w:vAlign w:val="bottom"/>
            <w:hideMark/>
          </w:tcPr>
          <w:p w14:paraId="691E5DAE"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4.2%</w:t>
            </w:r>
          </w:p>
        </w:tc>
        <w:tc>
          <w:tcPr>
            <w:tcW w:w="960" w:type="dxa"/>
            <w:tcBorders>
              <w:top w:val="single" w:sz="4" w:space="0" w:color="auto"/>
              <w:left w:val="single" w:sz="4" w:space="0" w:color="auto"/>
              <w:bottom w:val="nil"/>
              <w:right w:val="nil"/>
            </w:tcBorders>
            <w:shd w:val="clear" w:color="000000" w:fill="FFFFFF"/>
            <w:noWrap/>
            <w:vAlign w:val="bottom"/>
            <w:hideMark/>
          </w:tcPr>
          <w:p w14:paraId="4CFCBB25"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single" w:sz="4" w:space="0" w:color="auto"/>
            </w:tcBorders>
            <w:shd w:val="clear" w:color="000000" w:fill="FFFFFF"/>
            <w:noWrap/>
            <w:vAlign w:val="bottom"/>
            <w:hideMark/>
          </w:tcPr>
          <w:p w14:paraId="16A4599A"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5.6%</w:t>
            </w:r>
          </w:p>
        </w:tc>
        <w:tc>
          <w:tcPr>
            <w:tcW w:w="960" w:type="dxa"/>
            <w:tcBorders>
              <w:top w:val="single" w:sz="4" w:space="0" w:color="auto"/>
              <w:left w:val="nil"/>
              <w:bottom w:val="nil"/>
              <w:right w:val="nil"/>
            </w:tcBorders>
            <w:shd w:val="clear" w:color="000000" w:fill="FFFFFF"/>
            <w:noWrap/>
            <w:vAlign w:val="bottom"/>
            <w:hideMark/>
          </w:tcPr>
          <w:p w14:paraId="3A0E36A6"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nil"/>
            </w:tcBorders>
            <w:shd w:val="clear" w:color="000000" w:fill="FFFFFF"/>
            <w:noWrap/>
            <w:vAlign w:val="bottom"/>
            <w:hideMark/>
          </w:tcPr>
          <w:p w14:paraId="4E533FA4"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6.8%</w:t>
            </w:r>
          </w:p>
        </w:tc>
        <w:tc>
          <w:tcPr>
            <w:tcW w:w="960" w:type="dxa"/>
            <w:tcBorders>
              <w:top w:val="single" w:sz="4" w:space="0" w:color="auto"/>
              <w:left w:val="single" w:sz="4" w:space="0" w:color="auto"/>
              <w:bottom w:val="nil"/>
              <w:right w:val="nil"/>
            </w:tcBorders>
            <w:shd w:val="clear" w:color="000000" w:fill="FFFFFF"/>
            <w:noWrap/>
            <w:vAlign w:val="bottom"/>
            <w:hideMark/>
          </w:tcPr>
          <w:p w14:paraId="6ABD5F67"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37</w:t>
            </w:r>
          </w:p>
        </w:tc>
        <w:tc>
          <w:tcPr>
            <w:tcW w:w="960" w:type="dxa"/>
            <w:tcBorders>
              <w:top w:val="nil"/>
              <w:left w:val="nil"/>
              <w:bottom w:val="nil"/>
              <w:right w:val="single" w:sz="4" w:space="0" w:color="auto"/>
            </w:tcBorders>
            <w:shd w:val="clear" w:color="000000" w:fill="FFFFFF"/>
            <w:noWrap/>
            <w:vAlign w:val="bottom"/>
            <w:hideMark/>
          </w:tcPr>
          <w:p w14:paraId="7E01D0AD"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6.2%</w:t>
            </w:r>
          </w:p>
        </w:tc>
        <w:tc>
          <w:tcPr>
            <w:tcW w:w="960" w:type="dxa"/>
            <w:tcBorders>
              <w:top w:val="single" w:sz="4" w:space="0" w:color="auto"/>
              <w:left w:val="nil"/>
              <w:bottom w:val="nil"/>
              <w:right w:val="nil"/>
            </w:tcBorders>
            <w:shd w:val="clear" w:color="000000" w:fill="FFFFFF"/>
            <w:noWrap/>
            <w:vAlign w:val="bottom"/>
            <w:hideMark/>
          </w:tcPr>
          <w:p w14:paraId="26AF6A05"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43</w:t>
            </w:r>
          </w:p>
        </w:tc>
        <w:tc>
          <w:tcPr>
            <w:tcW w:w="960" w:type="dxa"/>
            <w:tcBorders>
              <w:top w:val="nil"/>
              <w:left w:val="nil"/>
              <w:bottom w:val="nil"/>
              <w:right w:val="single" w:sz="4" w:space="0" w:color="auto"/>
            </w:tcBorders>
            <w:shd w:val="clear" w:color="000000" w:fill="FFFFFF"/>
            <w:noWrap/>
            <w:vAlign w:val="bottom"/>
            <w:hideMark/>
          </w:tcPr>
          <w:p w14:paraId="32830E52"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6.9%</w:t>
            </w:r>
          </w:p>
        </w:tc>
      </w:tr>
      <w:tr w:rsidR="00FA6205" w:rsidRPr="007E2527" w14:paraId="1512BD39"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0792AB3F"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20C041CB"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265</w:t>
            </w:r>
          </w:p>
        </w:tc>
        <w:tc>
          <w:tcPr>
            <w:tcW w:w="960" w:type="dxa"/>
            <w:tcBorders>
              <w:top w:val="nil"/>
              <w:left w:val="nil"/>
              <w:bottom w:val="nil"/>
              <w:right w:val="nil"/>
            </w:tcBorders>
            <w:shd w:val="clear" w:color="000000" w:fill="FFFFFF"/>
            <w:noWrap/>
            <w:vAlign w:val="bottom"/>
            <w:hideMark/>
          </w:tcPr>
          <w:p w14:paraId="0AA8BB2D"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92.7%</w:t>
            </w:r>
          </w:p>
        </w:tc>
        <w:tc>
          <w:tcPr>
            <w:tcW w:w="960" w:type="dxa"/>
            <w:tcBorders>
              <w:top w:val="nil"/>
              <w:left w:val="single" w:sz="4" w:space="0" w:color="auto"/>
              <w:bottom w:val="nil"/>
              <w:right w:val="nil"/>
            </w:tcBorders>
            <w:shd w:val="clear" w:color="000000" w:fill="FFFFFF"/>
            <w:noWrap/>
            <w:vAlign w:val="bottom"/>
            <w:hideMark/>
          </w:tcPr>
          <w:p w14:paraId="06216A31"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112</w:t>
            </w:r>
          </w:p>
        </w:tc>
        <w:tc>
          <w:tcPr>
            <w:tcW w:w="960" w:type="dxa"/>
            <w:tcBorders>
              <w:top w:val="nil"/>
              <w:left w:val="nil"/>
              <w:bottom w:val="nil"/>
              <w:right w:val="single" w:sz="4" w:space="0" w:color="auto"/>
            </w:tcBorders>
            <w:shd w:val="clear" w:color="000000" w:fill="FFFFFF"/>
            <w:noWrap/>
            <w:vAlign w:val="bottom"/>
            <w:hideMark/>
          </w:tcPr>
          <w:p w14:paraId="4AF3A028"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89.6%</w:t>
            </w:r>
          </w:p>
        </w:tc>
        <w:tc>
          <w:tcPr>
            <w:tcW w:w="960" w:type="dxa"/>
            <w:tcBorders>
              <w:top w:val="nil"/>
              <w:left w:val="nil"/>
              <w:bottom w:val="nil"/>
              <w:right w:val="nil"/>
            </w:tcBorders>
            <w:shd w:val="clear" w:color="000000" w:fill="FFFFFF"/>
            <w:noWrap/>
            <w:vAlign w:val="bottom"/>
            <w:hideMark/>
          </w:tcPr>
          <w:p w14:paraId="7F540DD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337</w:t>
            </w:r>
          </w:p>
        </w:tc>
        <w:tc>
          <w:tcPr>
            <w:tcW w:w="960" w:type="dxa"/>
            <w:tcBorders>
              <w:top w:val="nil"/>
              <w:left w:val="nil"/>
              <w:bottom w:val="nil"/>
              <w:right w:val="nil"/>
            </w:tcBorders>
            <w:shd w:val="clear" w:color="000000" w:fill="FFFFFF"/>
            <w:noWrap/>
            <w:vAlign w:val="bottom"/>
            <w:hideMark/>
          </w:tcPr>
          <w:p w14:paraId="56A52111"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87.5%</w:t>
            </w:r>
          </w:p>
        </w:tc>
        <w:tc>
          <w:tcPr>
            <w:tcW w:w="960" w:type="dxa"/>
            <w:tcBorders>
              <w:top w:val="nil"/>
              <w:left w:val="single" w:sz="4" w:space="0" w:color="auto"/>
              <w:bottom w:val="nil"/>
              <w:right w:val="nil"/>
            </w:tcBorders>
            <w:shd w:val="clear" w:color="000000" w:fill="FFFFFF"/>
            <w:noWrap/>
            <w:vAlign w:val="bottom"/>
            <w:hideMark/>
          </w:tcPr>
          <w:p w14:paraId="17F26929"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533</w:t>
            </w:r>
          </w:p>
        </w:tc>
        <w:tc>
          <w:tcPr>
            <w:tcW w:w="960" w:type="dxa"/>
            <w:tcBorders>
              <w:top w:val="nil"/>
              <w:left w:val="nil"/>
              <w:bottom w:val="nil"/>
              <w:right w:val="single" w:sz="4" w:space="0" w:color="auto"/>
            </w:tcBorders>
            <w:shd w:val="clear" w:color="000000" w:fill="FFFFFF"/>
            <w:noWrap/>
            <w:vAlign w:val="bottom"/>
            <w:hideMark/>
          </w:tcPr>
          <w:p w14:paraId="49B91785"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89.1%</w:t>
            </w:r>
          </w:p>
        </w:tc>
        <w:tc>
          <w:tcPr>
            <w:tcW w:w="960" w:type="dxa"/>
            <w:tcBorders>
              <w:top w:val="nil"/>
              <w:left w:val="nil"/>
              <w:bottom w:val="nil"/>
              <w:right w:val="nil"/>
            </w:tcBorders>
            <w:shd w:val="clear" w:color="000000" w:fill="FFFFFF"/>
            <w:noWrap/>
            <w:vAlign w:val="bottom"/>
            <w:hideMark/>
          </w:tcPr>
          <w:p w14:paraId="5CC82A0C"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557</w:t>
            </w:r>
          </w:p>
        </w:tc>
        <w:tc>
          <w:tcPr>
            <w:tcW w:w="960" w:type="dxa"/>
            <w:tcBorders>
              <w:top w:val="nil"/>
              <w:left w:val="nil"/>
              <w:bottom w:val="nil"/>
              <w:right w:val="single" w:sz="4" w:space="0" w:color="auto"/>
            </w:tcBorders>
            <w:shd w:val="clear" w:color="000000" w:fill="FFFFFF"/>
            <w:noWrap/>
            <w:vAlign w:val="bottom"/>
            <w:hideMark/>
          </w:tcPr>
          <w:p w14:paraId="0601FB4F"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88.8%</w:t>
            </w:r>
          </w:p>
        </w:tc>
      </w:tr>
      <w:tr w:rsidR="00FA6205" w:rsidRPr="007E2527" w14:paraId="465DD02B" w14:textId="77777777" w:rsidTr="00FA6205">
        <w:trPr>
          <w:trHeight w:val="300"/>
        </w:trPr>
        <w:tc>
          <w:tcPr>
            <w:tcW w:w="3140" w:type="dxa"/>
            <w:tcBorders>
              <w:top w:val="nil"/>
              <w:left w:val="single" w:sz="4" w:space="0" w:color="auto"/>
              <w:bottom w:val="nil"/>
              <w:right w:val="nil"/>
            </w:tcBorders>
            <w:shd w:val="clear" w:color="000000" w:fill="FFFFFF"/>
            <w:noWrap/>
            <w:vAlign w:val="bottom"/>
            <w:hideMark/>
          </w:tcPr>
          <w:p w14:paraId="0AF1FE0A" w14:textId="77777777" w:rsidR="00FA6205" w:rsidRPr="00FA6205" w:rsidRDefault="00FA6205" w:rsidP="00FA6205">
            <w:pPr>
              <w:spacing w:after="0" w:line="240" w:lineRule="auto"/>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0AB804E"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nil"/>
            </w:tcBorders>
            <w:shd w:val="clear" w:color="000000" w:fill="FFFFFF"/>
            <w:noWrap/>
            <w:vAlign w:val="bottom"/>
            <w:hideMark/>
          </w:tcPr>
          <w:p w14:paraId="4E65EC6E"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3.1%</w:t>
            </w:r>
          </w:p>
        </w:tc>
        <w:tc>
          <w:tcPr>
            <w:tcW w:w="960" w:type="dxa"/>
            <w:tcBorders>
              <w:top w:val="nil"/>
              <w:left w:val="single" w:sz="4" w:space="0" w:color="auto"/>
              <w:bottom w:val="nil"/>
              <w:right w:val="nil"/>
            </w:tcBorders>
            <w:shd w:val="clear" w:color="000000" w:fill="FFFFFF"/>
            <w:noWrap/>
            <w:vAlign w:val="bottom"/>
            <w:hideMark/>
          </w:tcPr>
          <w:p w14:paraId="372C055D"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ED69814"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9950231"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22</w:t>
            </w:r>
          </w:p>
        </w:tc>
        <w:tc>
          <w:tcPr>
            <w:tcW w:w="960" w:type="dxa"/>
            <w:tcBorders>
              <w:top w:val="nil"/>
              <w:left w:val="nil"/>
              <w:bottom w:val="nil"/>
              <w:right w:val="nil"/>
            </w:tcBorders>
            <w:shd w:val="clear" w:color="000000" w:fill="FFFFFF"/>
            <w:noWrap/>
            <w:vAlign w:val="bottom"/>
            <w:hideMark/>
          </w:tcPr>
          <w:p w14:paraId="64820437"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5.7%</w:t>
            </w:r>
          </w:p>
        </w:tc>
        <w:tc>
          <w:tcPr>
            <w:tcW w:w="960" w:type="dxa"/>
            <w:tcBorders>
              <w:top w:val="nil"/>
              <w:left w:val="single" w:sz="4" w:space="0" w:color="auto"/>
              <w:bottom w:val="nil"/>
              <w:right w:val="nil"/>
            </w:tcBorders>
            <w:shd w:val="clear" w:color="000000" w:fill="FFFFFF"/>
            <w:noWrap/>
            <w:vAlign w:val="bottom"/>
            <w:hideMark/>
          </w:tcPr>
          <w:p w14:paraId="6AE899E7"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28</w:t>
            </w:r>
          </w:p>
        </w:tc>
        <w:tc>
          <w:tcPr>
            <w:tcW w:w="960" w:type="dxa"/>
            <w:tcBorders>
              <w:top w:val="nil"/>
              <w:left w:val="nil"/>
              <w:bottom w:val="nil"/>
              <w:right w:val="single" w:sz="4" w:space="0" w:color="auto"/>
            </w:tcBorders>
            <w:shd w:val="clear" w:color="000000" w:fill="FFFFFF"/>
            <w:noWrap/>
            <w:vAlign w:val="bottom"/>
            <w:hideMark/>
          </w:tcPr>
          <w:p w14:paraId="786530A5"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nil"/>
            </w:tcBorders>
            <w:shd w:val="clear" w:color="000000" w:fill="FFFFFF"/>
            <w:noWrap/>
            <w:vAlign w:val="bottom"/>
            <w:hideMark/>
          </w:tcPr>
          <w:p w14:paraId="5D08225A"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27</w:t>
            </w:r>
          </w:p>
        </w:tc>
        <w:tc>
          <w:tcPr>
            <w:tcW w:w="960" w:type="dxa"/>
            <w:tcBorders>
              <w:top w:val="nil"/>
              <w:left w:val="nil"/>
              <w:bottom w:val="nil"/>
              <w:right w:val="single" w:sz="4" w:space="0" w:color="auto"/>
            </w:tcBorders>
            <w:shd w:val="clear" w:color="000000" w:fill="FFFFFF"/>
            <w:noWrap/>
            <w:vAlign w:val="bottom"/>
            <w:hideMark/>
          </w:tcPr>
          <w:p w14:paraId="1C1AACA4" w14:textId="77777777" w:rsidR="00FA6205" w:rsidRPr="00FA6205" w:rsidRDefault="00FA6205" w:rsidP="00FA6205">
            <w:pPr>
              <w:spacing w:after="0" w:line="240" w:lineRule="auto"/>
              <w:jc w:val="right"/>
              <w:rPr>
                <w:rFonts w:asciiTheme="minorHAnsi" w:eastAsia="Times New Roman" w:hAnsiTheme="minorHAnsi" w:cs="Times New Roman"/>
                <w:color w:val="000000"/>
                <w:kern w:val="0"/>
                <w:szCs w:val="22"/>
                <w:lang w:eastAsia="en-GB"/>
                <w14:ligatures w14:val="none"/>
              </w:rPr>
            </w:pPr>
            <w:r w:rsidRPr="00FA6205">
              <w:rPr>
                <w:rFonts w:asciiTheme="minorHAnsi" w:eastAsia="Times New Roman" w:hAnsiTheme="minorHAnsi" w:cs="Times New Roman"/>
                <w:color w:val="000000"/>
                <w:kern w:val="0"/>
                <w:szCs w:val="22"/>
                <w:lang w:eastAsia="en-GB"/>
                <w14:ligatures w14:val="none"/>
              </w:rPr>
              <w:t>4.3%</w:t>
            </w:r>
          </w:p>
        </w:tc>
      </w:tr>
      <w:tr w:rsidR="00FA6205" w:rsidRPr="007E2527" w14:paraId="6697C0D5" w14:textId="77777777" w:rsidTr="00FA6205">
        <w:trPr>
          <w:trHeight w:val="315"/>
        </w:trPr>
        <w:tc>
          <w:tcPr>
            <w:tcW w:w="3140" w:type="dxa"/>
            <w:tcBorders>
              <w:top w:val="dotted" w:sz="4" w:space="0" w:color="auto"/>
              <w:left w:val="single" w:sz="4" w:space="0" w:color="auto"/>
              <w:bottom w:val="double" w:sz="6" w:space="0" w:color="auto"/>
              <w:right w:val="nil"/>
            </w:tcBorders>
            <w:shd w:val="clear" w:color="000000" w:fill="FFFFFF"/>
            <w:noWrap/>
            <w:vAlign w:val="bottom"/>
            <w:hideMark/>
          </w:tcPr>
          <w:p w14:paraId="1807CB21" w14:textId="77777777" w:rsidR="00FA6205" w:rsidRPr="00FA6205" w:rsidRDefault="00FA6205" w:rsidP="00FA6205">
            <w:pPr>
              <w:spacing w:after="0" w:line="240" w:lineRule="auto"/>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E086BBB"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286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419CE5C"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D0E68C8"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125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D66D76"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9323988"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6D60560"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B990E16"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598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9BE5682"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6097E16"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627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536E90F" w14:textId="77777777" w:rsidR="00FA6205" w:rsidRPr="00FA6205" w:rsidRDefault="00FA6205" w:rsidP="00FA620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FA6205">
              <w:rPr>
                <w:rFonts w:asciiTheme="minorHAnsi" w:eastAsia="Times New Roman" w:hAnsiTheme="minorHAnsi" w:cs="Times New Roman"/>
                <w:b/>
                <w:bCs/>
                <w:color w:val="000000"/>
                <w:kern w:val="0"/>
                <w:szCs w:val="22"/>
                <w:lang w:eastAsia="en-GB"/>
                <w14:ligatures w14:val="none"/>
              </w:rPr>
              <w:t>100%</w:t>
            </w:r>
          </w:p>
        </w:tc>
      </w:tr>
    </w:tbl>
    <w:p w14:paraId="0EAF6FB9" w14:textId="77777777" w:rsidR="00FA6205" w:rsidRPr="007E2527" w:rsidRDefault="00FA6205" w:rsidP="00FA6205">
      <w:pPr>
        <w:rPr>
          <w:rFonts w:asciiTheme="minorHAnsi" w:hAnsiTheme="minorHAnsi"/>
          <w:b/>
          <w:bCs/>
          <w:szCs w:val="22"/>
        </w:rPr>
      </w:pPr>
    </w:p>
    <w:tbl>
      <w:tblPr>
        <w:tblW w:w="10820" w:type="dxa"/>
        <w:tblLayout w:type="fixed"/>
        <w:tblLook w:val="04A0" w:firstRow="1" w:lastRow="0" w:firstColumn="1" w:lastColumn="0" w:noHBand="0" w:noVBand="1"/>
      </w:tblPr>
      <w:tblGrid>
        <w:gridCol w:w="3140"/>
        <w:gridCol w:w="960"/>
        <w:gridCol w:w="960"/>
        <w:gridCol w:w="960"/>
        <w:gridCol w:w="960"/>
        <w:gridCol w:w="960"/>
        <w:gridCol w:w="960"/>
        <w:gridCol w:w="960"/>
        <w:gridCol w:w="960"/>
      </w:tblGrid>
      <w:tr w:rsidR="00CE6286" w:rsidRPr="00CE6286" w14:paraId="10A139E8" w14:textId="77777777" w:rsidTr="00CE6286">
        <w:trPr>
          <w:trHeight w:val="300"/>
        </w:trPr>
        <w:tc>
          <w:tcPr>
            <w:tcW w:w="3140" w:type="dxa"/>
            <w:tcBorders>
              <w:top w:val="single" w:sz="4" w:space="0" w:color="auto"/>
              <w:left w:val="single" w:sz="4" w:space="0" w:color="auto"/>
              <w:bottom w:val="nil"/>
              <w:right w:val="single" w:sz="4" w:space="0" w:color="auto"/>
            </w:tcBorders>
            <w:shd w:val="clear" w:color="000000" w:fill="FFFFFF"/>
            <w:noWrap/>
            <w:vAlign w:val="bottom"/>
            <w:hideMark/>
          </w:tcPr>
          <w:p w14:paraId="766FA528" w14:textId="77777777" w:rsidR="00CE6286" w:rsidRPr="00CE6286" w:rsidRDefault="00CE6286" w:rsidP="00CE6286">
            <w:pPr>
              <w:spacing w:after="0" w:line="240" w:lineRule="auto"/>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nil"/>
            </w:tcBorders>
            <w:shd w:val="clear" w:color="000000" w:fill="FFFFFF"/>
            <w:noWrap/>
            <w:vAlign w:val="bottom"/>
            <w:hideMark/>
          </w:tcPr>
          <w:p w14:paraId="341FD463" w14:textId="77777777" w:rsidR="00CE6286" w:rsidRPr="00CE6286" w:rsidRDefault="00CE6286" w:rsidP="00CE628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423A053" w14:textId="77777777" w:rsidR="00CE6286" w:rsidRPr="00CE6286" w:rsidRDefault="00CE6286" w:rsidP="00CE628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25CA5922" w14:textId="77777777" w:rsidR="00CE6286" w:rsidRPr="00CE6286" w:rsidRDefault="00CE6286" w:rsidP="00CE628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ECA440B" w14:textId="77777777" w:rsidR="00CE6286" w:rsidRPr="00CE6286" w:rsidRDefault="00CE6286" w:rsidP="00CE628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Grade I</w:t>
            </w:r>
          </w:p>
        </w:tc>
      </w:tr>
      <w:tr w:rsidR="00CE6286" w:rsidRPr="007E2527" w14:paraId="5B44D91B" w14:textId="77777777" w:rsidTr="00CE6286">
        <w:trPr>
          <w:trHeight w:val="300"/>
        </w:trPr>
        <w:tc>
          <w:tcPr>
            <w:tcW w:w="3140" w:type="dxa"/>
            <w:tcBorders>
              <w:top w:val="nil"/>
              <w:left w:val="single" w:sz="4" w:space="0" w:color="auto"/>
              <w:bottom w:val="single" w:sz="4" w:space="0" w:color="auto"/>
              <w:right w:val="single" w:sz="4" w:space="0" w:color="auto"/>
            </w:tcBorders>
            <w:shd w:val="clear" w:color="000000" w:fill="FFFFFF"/>
            <w:noWrap/>
            <w:vAlign w:val="bottom"/>
            <w:hideMark/>
          </w:tcPr>
          <w:p w14:paraId="14373FF1" w14:textId="77777777" w:rsidR="00CE6286" w:rsidRPr="00CE6286" w:rsidRDefault="00CE6286" w:rsidP="00CE6286">
            <w:pPr>
              <w:spacing w:after="0" w:line="240" w:lineRule="auto"/>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69CBF0B"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659CF34"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1E6EDF4D"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E79458C"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2D6DC4A8"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71E2EBB"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BF3A3A3"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CD966AE" w14:textId="77777777" w:rsidR="00CE6286" w:rsidRPr="00CE6286" w:rsidRDefault="00CE6286" w:rsidP="00CE6286">
            <w:pPr>
              <w:spacing w:after="0" w:line="240" w:lineRule="auto"/>
              <w:jc w:val="center"/>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r>
      <w:tr w:rsidR="00CE6286" w:rsidRPr="007E2527" w14:paraId="43171A63" w14:textId="77777777" w:rsidTr="00CE6286">
        <w:trPr>
          <w:trHeight w:val="300"/>
        </w:trPr>
        <w:tc>
          <w:tcPr>
            <w:tcW w:w="3140" w:type="dxa"/>
            <w:tcBorders>
              <w:top w:val="nil"/>
              <w:left w:val="single" w:sz="4" w:space="0" w:color="auto"/>
              <w:bottom w:val="nil"/>
              <w:right w:val="nil"/>
            </w:tcBorders>
            <w:shd w:val="clear" w:color="000000" w:fill="FFFFFF"/>
            <w:noWrap/>
            <w:vAlign w:val="bottom"/>
            <w:hideMark/>
          </w:tcPr>
          <w:p w14:paraId="7B49CDFA" w14:textId="77777777" w:rsidR="00CE6286" w:rsidRPr="00CE6286" w:rsidRDefault="00CE6286" w:rsidP="00CE6286">
            <w:pPr>
              <w:spacing w:after="0" w:line="240" w:lineRule="auto"/>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single" w:sz="4" w:space="0" w:color="auto"/>
              <w:left w:val="single" w:sz="4" w:space="0" w:color="auto"/>
              <w:bottom w:val="nil"/>
              <w:right w:val="nil"/>
            </w:tcBorders>
            <w:shd w:val="clear" w:color="000000" w:fill="FFFFFF"/>
            <w:noWrap/>
            <w:vAlign w:val="bottom"/>
            <w:hideMark/>
          </w:tcPr>
          <w:p w14:paraId="596FE29C"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71</w:t>
            </w:r>
          </w:p>
        </w:tc>
        <w:tc>
          <w:tcPr>
            <w:tcW w:w="960" w:type="dxa"/>
            <w:tcBorders>
              <w:top w:val="nil"/>
              <w:left w:val="nil"/>
              <w:bottom w:val="nil"/>
              <w:right w:val="single" w:sz="4" w:space="0" w:color="auto"/>
            </w:tcBorders>
            <w:shd w:val="clear" w:color="000000" w:fill="FFFFFF"/>
            <w:noWrap/>
            <w:vAlign w:val="bottom"/>
            <w:hideMark/>
          </w:tcPr>
          <w:p w14:paraId="34555F00"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8.6%</w:t>
            </w:r>
          </w:p>
        </w:tc>
        <w:tc>
          <w:tcPr>
            <w:tcW w:w="960" w:type="dxa"/>
            <w:tcBorders>
              <w:top w:val="single" w:sz="4" w:space="0" w:color="auto"/>
              <w:left w:val="nil"/>
              <w:bottom w:val="nil"/>
              <w:right w:val="nil"/>
            </w:tcBorders>
            <w:shd w:val="clear" w:color="000000" w:fill="FFFFFF"/>
            <w:noWrap/>
            <w:vAlign w:val="bottom"/>
            <w:hideMark/>
          </w:tcPr>
          <w:p w14:paraId="4A2A6528"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nil"/>
            </w:tcBorders>
            <w:shd w:val="clear" w:color="000000" w:fill="FFFFFF"/>
            <w:noWrap/>
            <w:vAlign w:val="bottom"/>
            <w:hideMark/>
          </w:tcPr>
          <w:p w14:paraId="5777876C"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6.2%</w:t>
            </w:r>
          </w:p>
        </w:tc>
        <w:tc>
          <w:tcPr>
            <w:tcW w:w="960" w:type="dxa"/>
            <w:tcBorders>
              <w:top w:val="single" w:sz="4" w:space="0" w:color="auto"/>
              <w:left w:val="single" w:sz="4" w:space="0" w:color="auto"/>
              <w:bottom w:val="nil"/>
              <w:right w:val="nil"/>
            </w:tcBorders>
            <w:shd w:val="clear" w:color="000000" w:fill="FFFFFF"/>
            <w:noWrap/>
            <w:vAlign w:val="bottom"/>
            <w:hideMark/>
          </w:tcPr>
          <w:p w14:paraId="1F93168C"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8D4CA4E"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c>
          <w:tcPr>
            <w:tcW w:w="960" w:type="dxa"/>
            <w:tcBorders>
              <w:top w:val="single" w:sz="4" w:space="0" w:color="auto"/>
              <w:left w:val="nil"/>
              <w:bottom w:val="nil"/>
              <w:right w:val="nil"/>
            </w:tcBorders>
            <w:shd w:val="clear" w:color="000000" w:fill="FFFFFF"/>
            <w:noWrap/>
            <w:vAlign w:val="bottom"/>
            <w:hideMark/>
          </w:tcPr>
          <w:p w14:paraId="4661FD2F"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83ACEAA"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r>
      <w:tr w:rsidR="00CE6286" w:rsidRPr="007E2527" w14:paraId="48066B3C" w14:textId="77777777" w:rsidTr="00CE6286">
        <w:trPr>
          <w:trHeight w:val="300"/>
        </w:trPr>
        <w:tc>
          <w:tcPr>
            <w:tcW w:w="3140" w:type="dxa"/>
            <w:tcBorders>
              <w:top w:val="nil"/>
              <w:left w:val="single" w:sz="4" w:space="0" w:color="auto"/>
              <w:bottom w:val="nil"/>
              <w:right w:val="nil"/>
            </w:tcBorders>
            <w:shd w:val="clear" w:color="000000" w:fill="FFFFFF"/>
            <w:noWrap/>
            <w:vAlign w:val="bottom"/>
            <w:hideMark/>
          </w:tcPr>
          <w:p w14:paraId="685C1E81" w14:textId="77777777" w:rsidR="00CE6286" w:rsidRPr="00CE6286" w:rsidRDefault="00CE6286" w:rsidP="00CE6286">
            <w:pPr>
              <w:spacing w:after="0" w:line="240" w:lineRule="auto"/>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310B3333"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719</w:t>
            </w:r>
          </w:p>
        </w:tc>
        <w:tc>
          <w:tcPr>
            <w:tcW w:w="960" w:type="dxa"/>
            <w:tcBorders>
              <w:top w:val="nil"/>
              <w:left w:val="nil"/>
              <w:bottom w:val="nil"/>
              <w:right w:val="single" w:sz="4" w:space="0" w:color="auto"/>
            </w:tcBorders>
            <w:shd w:val="clear" w:color="000000" w:fill="FFFFFF"/>
            <w:noWrap/>
            <w:vAlign w:val="bottom"/>
            <w:hideMark/>
          </w:tcPr>
          <w:p w14:paraId="15B7FA6E"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86.8%</w:t>
            </w:r>
          </w:p>
        </w:tc>
        <w:tc>
          <w:tcPr>
            <w:tcW w:w="960" w:type="dxa"/>
            <w:tcBorders>
              <w:top w:val="nil"/>
              <w:left w:val="nil"/>
              <w:bottom w:val="nil"/>
              <w:right w:val="nil"/>
            </w:tcBorders>
            <w:shd w:val="clear" w:color="000000" w:fill="FFFFFF"/>
            <w:noWrap/>
            <w:vAlign w:val="bottom"/>
            <w:hideMark/>
          </w:tcPr>
          <w:p w14:paraId="4E0F0BB4"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350</w:t>
            </w:r>
          </w:p>
        </w:tc>
        <w:tc>
          <w:tcPr>
            <w:tcW w:w="960" w:type="dxa"/>
            <w:tcBorders>
              <w:top w:val="nil"/>
              <w:left w:val="nil"/>
              <w:bottom w:val="nil"/>
              <w:right w:val="nil"/>
            </w:tcBorders>
            <w:shd w:val="clear" w:color="000000" w:fill="FFFFFF"/>
            <w:noWrap/>
            <w:vAlign w:val="bottom"/>
            <w:hideMark/>
          </w:tcPr>
          <w:p w14:paraId="3240C5A5"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90.2%</w:t>
            </w:r>
          </w:p>
        </w:tc>
        <w:tc>
          <w:tcPr>
            <w:tcW w:w="960" w:type="dxa"/>
            <w:tcBorders>
              <w:top w:val="nil"/>
              <w:left w:val="single" w:sz="4" w:space="0" w:color="auto"/>
              <w:bottom w:val="nil"/>
              <w:right w:val="nil"/>
            </w:tcBorders>
            <w:shd w:val="clear" w:color="000000" w:fill="FFFFFF"/>
            <w:noWrap/>
            <w:vAlign w:val="bottom"/>
            <w:hideMark/>
          </w:tcPr>
          <w:p w14:paraId="79EB08D4"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89</w:t>
            </w:r>
          </w:p>
        </w:tc>
        <w:tc>
          <w:tcPr>
            <w:tcW w:w="960" w:type="dxa"/>
            <w:tcBorders>
              <w:top w:val="nil"/>
              <w:left w:val="nil"/>
              <w:bottom w:val="nil"/>
              <w:right w:val="single" w:sz="4" w:space="0" w:color="auto"/>
            </w:tcBorders>
            <w:shd w:val="clear" w:color="000000" w:fill="FFFFFF"/>
            <w:noWrap/>
            <w:vAlign w:val="bottom"/>
            <w:hideMark/>
          </w:tcPr>
          <w:p w14:paraId="48BEAE91"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93.7%</w:t>
            </w:r>
          </w:p>
        </w:tc>
        <w:tc>
          <w:tcPr>
            <w:tcW w:w="960" w:type="dxa"/>
            <w:tcBorders>
              <w:top w:val="nil"/>
              <w:left w:val="nil"/>
              <w:bottom w:val="nil"/>
              <w:right w:val="nil"/>
            </w:tcBorders>
            <w:shd w:val="clear" w:color="000000" w:fill="FFFFFF"/>
            <w:noWrap/>
            <w:vAlign w:val="bottom"/>
            <w:hideMark/>
          </w:tcPr>
          <w:p w14:paraId="563BCCC3"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single" w:sz="4" w:space="0" w:color="auto"/>
            </w:tcBorders>
            <w:shd w:val="clear" w:color="000000" w:fill="FFFFFF"/>
            <w:noWrap/>
            <w:vAlign w:val="bottom"/>
            <w:hideMark/>
          </w:tcPr>
          <w:p w14:paraId="4F2B37BF"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95.9%</w:t>
            </w:r>
          </w:p>
        </w:tc>
      </w:tr>
      <w:tr w:rsidR="00CE6286" w:rsidRPr="007E2527" w14:paraId="2D3EDA80" w14:textId="77777777" w:rsidTr="00CE6286">
        <w:trPr>
          <w:trHeight w:val="300"/>
        </w:trPr>
        <w:tc>
          <w:tcPr>
            <w:tcW w:w="3140" w:type="dxa"/>
            <w:tcBorders>
              <w:top w:val="nil"/>
              <w:left w:val="single" w:sz="4" w:space="0" w:color="auto"/>
              <w:bottom w:val="nil"/>
              <w:right w:val="nil"/>
            </w:tcBorders>
            <w:shd w:val="clear" w:color="000000" w:fill="FFFFFF"/>
            <w:noWrap/>
            <w:vAlign w:val="bottom"/>
            <w:hideMark/>
          </w:tcPr>
          <w:p w14:paraId="394CB643" w14:textId="77777777" w:rsidR="00CE6286" w:rsidRPr="00CE6286" w:rsidRDefault="00CE6286" w:rsidP="00CE6286">
            <w:pPr>
              <w:spacing w:after="0" w:line="240" w:lineRule="auto"/>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4EF8FD88"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38</w:t>
            </w:r>
          </w:p>
        </w:tc>
        <w:tc>
          <w:tcPr>
            <w:tcW w:w="960" w:type="dxa"/>
            <w:tcBorders>
              <w:top w:val="nil"/>
              <w:left w:val="nil"/>
              <w:bottom w:val="nil"/>
              <w:right w:val="single" w:sz="4" w:space="0" w:color="auto"/>
            </w:tcBorders>
            <w:shd w:val="clear" w:color="000000" w:fill="FFFFFF"/>
            <w:noWrap/>
            <w:vAlign w:val="bottom"/>
            <w:hideMark/>
          </w:tcPr>
          <w:p w14:paraId="41233867"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4.6%</w:t>
            </w:r>
          </w:p>
        </w:tc>
        <w:tc>
          <w:tcPr>
            <w:tcW w:w="960" w:type="dxa"/>
            <w:tcBorders>
              <w:top w:val="nil"/>
              <w:left w:val="nil"/>
              <w:bottom w:val="nil"/>
              <w:right w:val="nil"/>
            </w:tcBorders>
            <w:shd w:val="clear" w:color="000000" w:fill="FFFFFF"/>
            <w:noWrap/>
            <w:vAlign w:val="bottom"/>
            <w:hideMark/>
          </w:tcPr>
          <w:p w14:paraId="7F3793C4"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14</w:t>
            </w:r>
          </w:p>
        </w:tc>
        <w:tc>
          <w:tcPr>
            <w:tcW w:w="960" w:type="dxa"/>
            <w:tcBorders>
              <w:top w:val="nil"/>
              <w:left w:val="nil"/>
              <w:bottom w:val="nil"/>
              <w:right w:val="nil"/>
            </w:tcBorders>
            <w:shd w:val="clear" w:color="000000" w:fill="FFFFFF"/>
            <w:noWrap/>
            <w:vAlign w:val="bottom"/>
            <w:hideMark/>
          </w:tcPr>
          <w:p w14:paraId="122CC9EE"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3.6%</w:t>
            </w:r>
          </w:p>
        </w:tc>
        <w:tc>
          <w:tcPr>
            <w:tcW w:w="960" w:type="dxa"/>
            <w:tcBorders>
              <w:top w:val="nil"/>
              <w:left w:val="single" w:sz="4" w:space="0" w:color="auto"/>
              <w:bottom w:val="nil"/>
              <w:right w:val="nil"/>
            </w:tcBorders>
            <w:shd w:val="clear" w:color="000000" w:fill="FFFFFF"/>
            <w:noWrap/>
            <w:vAlign w:val="bottom"/>
            <w:hideMark/>
          </w:tcPr>
          <w:p w14:paraId="5B4B6F86"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8024D21"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B55E8F2"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9D64C6D" w14:textId="77777777" w:rsidR="00CE6286" w:rsidRPr="00CE6286" w:rsidRDefault="00CE6286" w:rsidP="00CE6286">
            <w:pPr>
              <w:spacing w:after="0" w:line="240" w:lineRule="auto"/>
              <w:jc w:val="right"/>
              <w:rPr>
                <w:rFonts w:asciiTheme="minorHAnsi" w:eastAsia="Times New Roman" w:hAnsiTheme="minorHAnsi" w:cs="Times New Roman"/>
                <w:color w:val="000000"/>
                <w:kern w:val="0"/>
                <w:szCs w:val="22"/>
                <w:lang w:eastAsia="en-GB"/>
                <w14:ligatures w14:val="none"/>
              </w:rPr>
            </w:pPr>
            <w:r w:rsidRPr="00CE6286">
              <w:rPr>
                <w:rFonts w:asciiTheme="minorHAnsi" w:eastAsia="Times New Roman" w:hAnsiTheme="minorHAnsi" w:cs="Times New Roman"/>
                <w:color w:val="000000"/>
                <w:kern w:val="0"/>
                <w:szCs w:val="22"/>
                <w:lang w:eastAsia="en-GB"/>
                <w14:ligatures w14:val="none"/>
              </w:rPr>
              <w:t>-</w:t>
            </w:r>
          </w:p>
        </w:tc>
      </w:tr>
      <w:tr w:rsidR="00CE6286" w:rsidRPr="007E2527" w14:paraId="2EE98E6A" w14:textId="77777777" w:rsidTr="00CE6286">
        <w:trPr>
          <w:trHeight w:val="315"/>
        </w:trPr>
        <w:tc>
          <w:tcPr>
            <w:tcW w:w="3140" w:type="dxa"/>
            <w:tcBorders>
              <w:top w:val="dotted" w:sz="4" w:space="0" w:color="auto"/>
              <w:left w:val="single" w:sz="4" w:space="0" w:color="auto"/>
              <w:bottom w:val="double" w:sz="6" w:space="0" w:color="auto"/>
              <w:right w:val="nil"/>
            </w:tcBorders>
            <w:shd w:val="clear" w:color="000000" w:fill="FFFFFF"/>
            <w:noWrap/>
            <w:vAlign w:val="bottom"/>
            <w:hideMark/>
          </w:tcPr>
          <w:p w14:paraId="5F511F5D" w14:textId="77777777" w:rsidR="00CE6286" w:rsidRPr="00CE6286" w:rsidRDefault="00CE6286" w:rsidP="00CE6286">
            <w:pPr>
              <w:spacing w:after="0" w:line="240" w:lineRule="auto"/>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462D1BD6"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828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B91AD8B"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EBB8E4E"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388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C4F13E2"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0BAC53B"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82D334A"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91562F7"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49</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48289B4" w14:textId="77777777" w:rsidR="00CE6286" w:rsidRPr="00CE6286" w:rsidRDefault="00CE6286" w:rsidP="00CE62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E6286">
              <w:rPr>
                <w:rFonts w:asciiTheme="minorHAnsi" w:eastAsia="Times New Roman" w:hAnsiTheme="minorHAnsi" w:cs="Times New Roman"/>
                <w:b/>
                <w:bCs/>
                <w:color w:val="000000"/>
                <w:kern w:val="0"/>
                <w:szCs w:val="22"/>
                <w:lang w:eastAsia="en-GB"/>
                <w14:ligatures w14:val="none"/>
              </w:rPr>
              <w:t>100%</w:t>
            </w:r>
          </w:p>
        </w:tc>
      </w:tr>
    </w:tbl>
    <w:p w14:paraId="6AFD7AEE" w14:textId="77777777" w:rsidR="00FA6205" w:rsidRPr="007E2527" w:rsidRDefault="00FA6205" w:rsidP="00FA6205">
      <w:pPr>
        <w:rPr>
          <w:rFonts w:asciiTheme="minorHAnsi" w:hAnsiTheme="minorHAnsi"/>
          <w:b/>
          <w:bCs/>
          <w:szCs w:val="22"/>
        </w:rPr>
      </w:pPr>
    </w:p>
    <w:p w14:paraId="0BEB0B74" w14:textId="77777777" w:rsidR="00E26853" w:rsidRPr="007E2527" w:rsidRDefault="00E26853" w:rsidP="000C319A">
      <w:pPr>
        <w:rPr>
          <w:rFonts w:asciiTheme="minorHAnsi" w:hAnsiTheme="minorHAnsi"/>
          <w:b/>
          <w:bCs/>
          <w:szCs w:val="22"/>
        </w:rPr>
      </w:pPr>
    </w:p>
    <w:p w14:paraId="1466B947" w14:textId="77777777" w:rsidR="00CE6286" w:rsidRPr="007E2527" w:rsidRDefault="00CE6286" w:rsidP="000C319A">
      <w:pPr>
        <w:rPr>
          <w:rFonts w:asciiTheme="minorHAnsi" w:hAnsiTheme="minorHAnsi"/>
          <w:b/>
          <w:bCs/>
          <w:szCs w:val="22"/>
        </w:rPr>
      </w:pPr>
    </w:p>
    <w:p w14:paraId="61F2D11D" w14:textId="77777777" w:rsidR="0074217E" w:rsidRPr="007E2527" w:rsidRDefault="0074217E" w:rsidP="000C319A">
      <w:pPr>
        <w:rPr>
          <w:rFonts w:asciiTheme="minorHAnsi" w:hAnsiTheme="minorHAnsi"/>
          <w:b/>
          <w:bCs/>
          <w:szCs w:val="22"/>
        </w:rPr>
      </w:pPr>
    </w:p>
    <w:p w14:paraId="1CDB47F5" w14:textId="77777777" w:rsidR="0074217E" w:rsidRPr="007E2527" w:rsidRDefault="0074217E" w:rsidP="000C319A">
      <w:pPr>
        <w:rPr>
          <w:rFonts w:asciiTheme="minorHAnsi" w:hAnsiTheme="minorHAnsi"/>
          <w:b/>
          <w:bCs/>
          <w:szCs w:val="22"/>
        </w:rPr>
      </w:pPr>
    </w:p>
    <w:p w14:paraId="59052318" w14:textId="77777777" w:rsidR="0074217E" w:rsidRPr="007E2527" w:rsidRDefault="0074217E" w:rsidP="000C319A">
      <w:pPr>
        <w:rPr>
          <w:rFonts w:asciiTheme="minorHAnsi" w:hAnsiTheme="minorHAnsi"/>
          <w:b/>
          <w:bCs/>
          <w:szCs w:val="22"/>
        </w:rPr>
      </w:pPr>
    </w:p>
    <w:p w14:paraId="2D0CAE74" w14:textId="77777777" w:rsidR="0074217E" w:rsidRPr="007E2527" w:rsidRDefault="0074217E" w:rsidP="000C319A">
      <w:pPr>
        <w:rPr>
          <w:rFonts w:asciiTheme="minorHAnsi" w:hAnsiTheme="minorHAnsi"/>
          <w:b/>
          <w:bCs/>
          <w:szCs w:val="22"/>
        </w:rPr>
      </w:pPr>
    </w:p>
    <w:p w14:paraId="7A7AF3FB" w14:textId="77777777" w:rsidR="0074217E" w:rsidRPr="007E2527" w:rsidRDefault="0074217E" w:rsidP="000C319A">
      <w:pPr>
        <w:rPr>
          <w:rFonts w:asciiTheme="minorHAnsi" w:hAnsiTheme="minorHAnsi"/>
          <w:b/>
          <w:bCs/>
          <w:szCs w:val="22"/>
        </w:rPr>
      </w:pPr>
    </w:p>
    <w:p w14:paraId="7685CADE" w14:textId="77777777" w:rsidR="0074217E" w:rsidRPr="007E2527" w:rsidRDefault="0074217E" w:rsidP="000C319A">
      <w:pPr>
        <w:rPr>
          <w:rFonts w:asciiTheme="minorHAnsi" w:hAnsiTheme="minorHAnsi"/>
          <w:b/>
          <w:bCs/>
          <w:szCs w:val="22"/>
        </w:rPr>
      </w:pPr>
    </w:p>
    <w:p w14:paraId="14CCA65D" w14:textId="70B3CFF6" w:rsidR="00CF7A1C" w:rsidRPr="00E97FCD" w:rsidRDefault="00CF7A1C" w:rsidP="00CF7A1C">
      <w:pPr>
        <w:pStyle w:val="ListParagraph"/>
        <w:numPr>
          <w:ilvl w:val="1"/>
          <w:numId w:val="11"/>
        </w:numPr>
        <w:rPr>
          <w:rFonts w:asciiTheme="minorHAnsi" w:hAnsiTheme="minorHAnsi"/>
          <w:color w:val="0B769F" w:themeColor="accent4" w:themeShade="BF"/>
          <w:sz w:val="28"/>
          <w:szCs w:val="28"/>
        </w:rPr>
      </w:pPr>
      <w:r w:rsidRPr="00E97FCD">
        <w:rPr>
          <w:rFonts w:asciiTheme="minorHAnsi" w:hAnsiTheme="minorHAnsi"/>
          <w:color w:val="0B769F" w:themeColor="accent4" w:themeShade="BF"/>
          <w:sz w:val="28"/>
          <w:szCs w:val="28"/>
        </w:rPr>
        <w:lastRenderedPageBreak/>
        <w:t>Gender Affirmation</w:t>
      </w:r>
    </w:p>
    <w:p w14:paraId="0CD89336" w14:textId="77777777" w:rsidR="00482B2A" w:rsidRPr="007E2527" w:rsidRDefault="00482B2A" w:rsidP="00482B2A">
      <w:pPr>
        <w:pStyle w:val="ListParagraph"/>
        <w:rPr>
          <w:rFonts w:asciiTheme="minorHAnsi" w:hAnsiTheme="minorHAnsi"/>
          <w:color w:val="0B769F" w:themeColor="accent4" w:themeShade="BF"/>
          <w:szCs w:val="22"/>
        </w:rPr>
      </w:pPr>
    </w:p>
    <w:p w14:paraId="0A16F097" w14:textId="64876001" w:rsidR="00CF7A1C" w:rsidRPr="007E2527" w:rsidRDefault="00C6042B" w:rsidP="00CF7A1C">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gender affirmation over time, 2019-2025</w:t>
      </w:r>
    </w:p>
    <w:tbl>
      <w:tblPr>
        <w:tblW w:w="15152" w:type="dxa"/>
        <w:jc w:val="center"/>
        <w:tblLayout w:type="fixed"/>
        <w:tblLook w:val="04A0" w:firstRow="1" w:lastRow="0" w:firstColumn="1" w:lastColumn="0" w:noHBand="0" w:noVBand="1"/>
      </w:tblPr>
      <w:tblGrid>
        <w:gridCol w:w="4592"/>
        <w:gridCol w:w="960"/>
        <w:gridCol w:w="960"/>
        <w:gridCol w:w="960"/>
        <w:gridCol w:w="960"/>
        <w:gridCol w:w="960"/>
        <w:gridCol w:w="960"/>
        <w:gridCol w:w="960"/>
        <w:gridCol w:w="960"/>
        <w:gridCol w:w="960"/>
        <w:gridCol w:w="960"/>
        <w:gridCol w:w="960"/>
      </w:tblGrid>
      <w:tr w:rsidR="0074217E" w:rsidRPr="007E2527" w14:paraId="574D5116" w14:textId="77777777" w:rsidTr="00E97FCD">
        <w:trPr>
          <w:trHeight w:val="300"/>
          <w:jc w:val="center"/>
        </w:trPr>
        <w:tc>
          <w:tcPr>
            <w:tcW w:w="4592" w:type="dxa"/>
            <w:tcBorders>
              <w:top w:val="single" w:sz="4" w:space="0" w:color="auto"/>
              <w:left w:val="single" w:sz="4" w:space="0" w:color="auto"/>
              <w:bottom w:val="nil"/>
              <w:right w:val="nil"/>
            </w:tcBorders>
            <w:shd w:val="clear" w:color="000000" w:fill="FFFFFF"/>
            <w:noWrap/>
            <w:vAlign w:val="bottom"/>
            <w:hideMark/>
          </w:tcPr>
          <w:p w14:paraId="2A0C45CB" w14:textId="77777777" w:rsidR="0074217E" w:rsidRPr="0074217E" w:rsidRDefault="0074217E" w:rsidP="0074217E">
            <w:pPr>
              <w:spacing w:after="0" w:line="240" w:lineRule="auto"/>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33DE3AF0" w14:textId="77777777" w:rsidR="0074217E" w:rsidRPr="0074217E" w:rsidRDefault="0074217E" w:rsidP="007421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2019</w:t>
            </w:r>
          </w:p>
        </w:tc>
        <w:tc>
          <w:tcPr>
            <w:tcW w:w="960" w:type="dxa"/>
            <w:tcBorders>
              <w:top w:val="single" w:sz="4" w:space="0" w:color="auto"/>
              <w:left w:val="nil"/>
              <w:bottom w:val="nil"/>
              <w:right w:val="nil"/>
            </w:tcBorders>
            <w:shd w:val="clear" w:color="000000" w:fill="FFFFFF"/>
            <w:noWrap/>
            <w:vAlign w:val="bottom"/>
            <w:hideMark/>
          </w:tcPr>
          <w:p w14:paraId="6F87D9E2" w14:textId="77777777" w:rsidR="0074217E" w:rsidRPr="0074217E" w:rsidRDefault="0074217E" w:rsidP="007421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2020</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49BEA4FE" w14:textId="77777777" w:rsidR="0074217E" w:rsidRPr="0074217E" w:rsidRDefault="0074217E" w:rsidP="007421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1CC81B6" w14:textId="77777777" w:rsidR="0074217E" w:rsidRPr="0074217E" w:rsidRDefault="0074217E" w:rsidP="007421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D98EA01" w14:textId="77777777" w:rsidR="0074217E" w:rsidRPr="0074217E" w:rsidRDefault="0074217E" w:rsidP="007421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E55D565" w14:textId="77777777" w:rsidR="0074217E" w:rsidRPr="0074217E" w:rsidRDefault="0074217E" w:rsidP="007421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DE863E5" w14:textId="77777777" w:rsidR="0074217E" w:rsidRPr="0074217E" w:rsidRDefault="0074217E" w:rsidP="007421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2025</w:t>
            </w:r>
          </w:p>
        </w:tc>
      </w:tr>
      <w:tr w:rsidR="0074217E" w:rsidRPr="007E2527" w14:paraId="6A04625E" w14:textId="77777777" w:rsidTr="00E97FCD">
        <w:trPr>
          <w:trHeight w:val="300"/>
          <w:jc w:val="center"/>
        </w:trPr>
        <w:tc>
          <w:tcPr>
            <w:tcW w:w="4592" w:type="dxa"/>
            <w:tcBorders>
              <w:top w:val="nil"/>
              <w:left w:val="single" w:sz="4" w:space="0" w:color="auto"/>
              <w:bottom w:val="single" w:sz="4" w:space="0" w:color="auto"/>
              <w:right w:val="nil"/>
            </w:tcBorders>
            <w:shd w:val="clear" w:color="000000" w:fill="FFFFFF"/>
            <w:noWrap/>
            <w:vAlign w:val="bottom"/>
            <w:hideMark/>
          </w:tcPr>
          <w:p w14:paraId="4C2C8D70" w14:textId="77777777" w:rsidR="0074217E" w:rsidRPr="0074217E" w:rsidRDefault="0074217E" w:rsidP="0074217E">
            <w:pPr>
              <w:spacing w:after="0" w:line="240" w:lineRule="auto"/>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43AD05C"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F584EFC"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39DAF329"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FAF4F07"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23777EEF"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3A4D63ED"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5FF516A"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EE332EF"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D25FC74"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552AAE8"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F736C08" w14:textId="77777777" w:rsidR="0074217E" w:rsidRPr="0074217E" w:rsidRDefault="0074217E" w:rsidP="0074217E">
            <w:pPr>
              <w:spacing w:after="0" w:line="240" w:lineRule="auto"/>
              <w:jc w:val="center"/>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r>
      <w:tr w:rsidR="0074217E" w:rsidRPr="007E2527" w14:paraId="3A27746D" w14:textId="77777777" w:rsidTr="00E97FCD">
        <w:trPr>
          <w:trHeight w:val="300"/>
          <w:jc w:val="center"/>
        </w:trPr>
        <w:tc>
          <w:tcPr>
            <w:tcW w:w="4592" w:type="dxa"/>
            <w:tcBorders>
              <w:top w:val="nil"/>
              <w:left w:val="single" w:sz="4" w:space="0" w:color="auto"/>
              <w:bottom w:val="nil"/>
              <w:right w:val="nil"/>
            </w:tcBorders>
            <w:shd w:val="clear" w:color="000000" w:fill="FFFFFF"/>
            <w:noWrap/>
            <w:vAlign w:val="bottom"/>
            <w:hideMark/>
          </w:tcPr>
          <w:p w14:paraId="453EACD4" w14:textId="77777777" w:rsidR="0074217E" w:rsidRPr="0074217E" w:rsidRDefault="0074217E" w:rsidP="0074217E">
            <w:pPr>
              <w:spacing w:after="0" w:line="240" w:lineRule="auto"/>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single" w:sz="4" w:space="0" w:color="auto"/>
            </w:tcBorders>
            <w:shd w:val="clear" w:color="000000" w:fill="FFFFFF"/>
            <w:noWrap/>
            <w:vAlign w:val="bottom"/>
            <w:hideMark/>
          </w:tcPr>
          <w:p w14:paraId="10792473"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27.1%</w:t>
            </w:r>
          </w:p>
        </w:tc>
        <w:tc>
          <w:tcPr>
            <w:tcW w:w="960" w:type="dxa"/>
            <w:tcBorders>
              <w:top w:val="nil"/>
              <w:left w:val="nil"/>
              <w:bottom w:val="nil"/>
              <w:right w:val="nil"/>
            </w:tcBorders>
            <w:shd w:val="clear" w:color="000000" w:fill="FFFFFF"/>
            <w:noWrap/>
            <w:vAlign w:val="bottom"/>
            <w:hideMark/>
          </w:tcPr>
          <w:p w14:paraId="127804AE"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28.8%</w:t>
            </w:r>
          </w:p>
        </w:tc>
        <w:tc>
          <w:tcPr>
            <w:tcW w:w="960" w:type="dxa"/>
            <w:tcBorders>
              <w:top w:val="nil"/>
              <w:left w:val="single" w:sz="4" w:space="0" w:color="auto"/>
              <w:bottom w:val="nil"/>
              <w:right w:val="single" w:sz="4" w:space="0" w:color="auto"/>
            </w:tcBorders>
            <w:shd w:val="clear" w:color="000000" w:fill="FFFFFF"/>
            <w:noWrap/>
            <w:vAlign w:val="bottom"/>
            <w:hideMark/>
          </w:tcPr>
          <w:p w14:paraId="215843D5"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32.3%</w:t>
            </w:r>
          </w:p>
        </w:tc>
        <w:tc>
          <w:tcPr>
            <w:tcW w:w="960" w:type="dxa"/>
            <w:tcBorders>
              <w:top w:val="nil"/>
              <w:left w:val="nil"/>
              <w:bottom w:val="nil"/>
              <w:right w:val="nil"/>
            </w:tcBorders>
            <w:shd w:val="clear" w:color="000000" w:fill="FFFFFF"/>
            <w:noWrap/>
            <w:vAlign w:val="bottom"/>
            <w:hideMark/>
          </w:tcPr>
          <w:p w14:paraId="522EF3D5"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2436</w:t>
            </w:r>
          </w:p>
        </w:tc>
        <w:tc>
          <w:tcPr>
            <w:tcW w:w="960" w:type="dxa"/>
            <w:tcBorders>
              <w:top w:val="nil"/>
              <w:left w:val="nil"/>
              <w:bottom w:val="nil"/>
              <w:right w:val="nil"/>
            </w:tcBorders>
            <w:shd w:val="clear" w:color="000000" w:fill="FFFFFF"/>
            <w:noWrap/>
            <w:vAlign w:val="bottom"/>
            <w:hideMark/>
          </w:tcPr>
          <w:p w14:paraId="6E4D07B8"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38.0%</w:t>
            </w:r>
          </w:p>
        </w:tc>
        <w:tc>
          <w:tcPr>
            <w:tcW w:w="960" w:type="dxa"/>
            <w:tcBorders>
              <w:top w:val="nil"/>
              <w:left w:val="single" w:sz="4" w:space="0" w:color="auto"/>
              <w:bottom w:val="nil"/>
              <w:right w:val="nil"/>
            </w:tcBorders>
            <w:shd w:val="clear" w:color="000000" w:fill="FFFFFF"/>
            <w:noWrap/>
            <w:vAlign w:val="bottom"/>
            <w:hideMark/>
          </w:tcPr>
          <w:p w14:paraId="1C2E19C7"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2848</w:t>
            </w:r>
          </w:p>
        </w:tc>
        <w:tc>
          <w:tcPr>
            <w:tcW w:w="960" w:type="dxa"/>
            <w:tcBorders>
              <w:top w:val="nil"/>
              <w:left w:val="nil"/>
              <w:bottom w:val="nil"/>
              <w:right w:val="single" w:sz="4" w:space="0" w:color="auto"/>
            </w:tcBorders>
            <w:shd w:val="clear" w:color="000000" w:fill="FFFFFF"/>
            <w:noWrap/>
            <w:vAlign w:val="bottom"/>
            <w:hideMark/>
          </w:tcPr>
          <w:p w14:paraId="2F9FAB8E"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44.5%</w:t>
            </w:r>
          </w:p>
        </w:tc>
        <w:tc>
          <w:tcPr>
            <w:tcW w:w="960" w:type="dxa"/>
            <w:tcBorders>
              <w:top w:val="nil"/>
              <w:left w:val="nil"/>
              <w:bottom w:val="nil"/>
              <w:right w:val="nil"/>
            </w:tcBorders>
            <w:shd w:val="clear" w:color="000000" w:fill="FFFFFF"/>
            <w:noWrap/>
            <w:vAlign w:val="bottom"/>
            <w:hideMark/>
          </w:tcPr>
          <w:p w14:paraId="1B852C46"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3299</w:t>
            </w:r>
          </w:p>
        </w:tc>
        <w:tc>
          <w:tcPr>
            <w:tcW w:w="960" w:type="dxa"/>
            <w:tcBorders>
              <w:top w:val="nil"/>
              <w:left w:val="nil"/>
              <w:bottom w:val="nil"/>
              <w:right w:val="single" w:sz="4" w:space="0" w:color="auto"/>
            </w:tcBorders>
            <w:shd w:val="clear" w:color="000000" w:fill="FFFFFF"/>
            <w:noWrap/>
            <w:vAlign w:val="bottom"/>
            <w:hideMark/>
          </w:tcPr>
          <w:p w14:paraId="5F002A0E"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50.2%</w:t>
            </w:r>
          </w:p>
        </w:tc>
        <w:tc>
          <w:tcPr>
            <w:tcW w:w="960" w:type="dxa"/>
            <w:tcBorders>
              <w:top w:val="nil"/>
              <w:left w:val="nil"/>
              <w:bottom w:val="nil"/>
              <w:right w:val="nil"/>
            </w:tcBorders>
            <w:shd w:val="clear" w:color="000000" w:fill="FFFFFF"/>
            <w:noWrap/>
            <w:vAlign w:val="bottom"/>
            <w:hideMark/>
          </w:tcPr>
          <w:p w14:paraId="245A56DF"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3334</w:t>
            </w:r>
          </w:p>
        </w:tc>
        <w:tc>
          <w:tcPr>
            <w:tcW w:w="960" w:type="dxa"/>
            <w:tcBorders>
              <w:top w:val="nil"/>
              <w:left w:val="nil"/>
              <w:bottom w:val="nil"/>
              <w:right w:val="single" w:sz="4" w:space="0" w:color="auto"/>
            </w:tcBorders>
            <w:shd w:val="clear" w:color="000000" w:fill="FFFFFF"/>
            <w:noWrap/>
            <w:vAlign w:val="bottom"/>
            <w:hideMark/>
          </w:tcPr>
          <w:p w14:paraId="38C35F30"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53.4%</w:t>
            </w:r>
          </w:p>
        </w:tc>
      </w:tr>
      <w:tr w:rsidR="0074217E" w:rsidRPr="007E2527" w14:paraId="18BD30C7" w14:textId="77777777" w:rsidTr="00E97FCD">
        <w:trPr>
          <w:trHeight w:val="300"/>
          <w:jc w:val="center"/>
        </w:trPr>
        <w:tc>
          <w:tcPr>
            <w:tcW w:w="4592" w:type="dxa"/>
            <w:tcBorders>
              <w:top w:val="nil"/>
              <w:left w:val="single" w:sz="4" w:space="0" w:color="auto"/>
              <w:bottom w:val="nil"/>
              <w:right w:val="nil"/>
            </w:tcBorders>
            <w:shd w:val="clear" w:color="000000" w:fill="FFFFFF"/>
            <w:noWrap/>
            <w:vAlign w:val="bottom"/>
            <w:hideMark/>
          </w:tcPr>
          <w:p w14:paraId="16AA5816" w14:textId="77777777" w:rsidR="0074217E" w:rsidRPr="0074217E" w:rsidRDefault="0074217E" w:rsidP="0074217E">
            <w:pPr>
              <w:spacing w:after="0" w:line="240" w:lineRule="auto"/>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single" w:sz="4" w:space="0" w:color="auto"/>
            </w:tcBorders>
            <w:shd w:val="clear" w:color="000000" w:fill="FFFFFF"/>
            <w:noWrap/>
            <w:vAlign w:val="bottom"/>
            <w:hideMark/>
          </w:tcPr>
          <w:p w14:paraId="2001F958"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6C76509"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single" w:sz="4" w:space="0" w:color="auto"/>
            </w:tcBorders>
            <w:shd w:val="clear" w:color="000000" w:fill="FFFFFF"/>
            <w:noWrap/>
            <w:vAlign w:val="bottom"/>
            <w:hideMark/>
          </w:tcPr>
          <w:p w14:paraId="2A7BC95C"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0.1%</w:t>
            </w:r>
          </w:p>
        </w:tc>
        <w:tc>
          <w:tcPr>
            <w:tcW w:w="960" w:type="dxa"/>
            <w:tcBorders>
              <w:top w:val="nil"/>
              <w:left w:val="nil"/>
              <w:bottom w:val="nil"/>
              <w:right w:val="nil"/>
            </w:tcBorders>
            <w:shd w:val="clear" w:color="000000" w:fill="FFFFFF"/>
            <w:noWrap/>
            <w:vAlign w:val="bottom"/>
            <w:hideMark/>
          </w:tcPr>
          <w:p w14:paraId="69E8A603"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nil"/>
            </w:tcBorders>
            <w:shd w:val="clear" w:color="000000" w:fill="FFFFFF"/>
            <w:noWrap/>
            <w:vAlign w:val="bottom"/>
            <w:hideMark/>
          </w:tcPr>
          <w:p w14:paraId="1D35A7E5"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0.2%</w:t>
            </w:r>
          </w:p>
        </w:tc>
        <w:tc>
          <w:tcPr>
            <w:tcW w:w="960" w:type="dxa"/>
            <w:tcBorders>
              <w:top w:val="nil"/>
              <w:left w:val="single" w:sz="4" w:space="0" w:color="auto"/>
              <w:bottom w:val="nil"/>
              <w:right w:val="nil"/>
            </w:tcBorders>
            <w:shd w:val="clear" w:color="000000" w:fill="FFFFFF"/>
            <w:noWrap/>
            <w:vAlign w:val="bottom"/>
            <w:hideMark/>
          </w:tcPr>
          <w:p w14:paraId="2E76B7C3"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single" w:sz="4" w:space="0" w:color="auto"/>
            </w:tcBorders>
            <w:shd w:val="clear" w:color="000000" w:fill="FFFFFF"/>
            <w:noWrap/>
            <w:vAlign w:val="bottom"/>
            <w:hideMark/>
          </w:tcPr>
          <w:p w14:paraId="1B7476D4"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0.2%</w:t>
            </w:r>
          </w:p>
        </w:tc>
        <w:tc>
          <w:tcPr>
            <w:tcW w:w="960" w:type="dxa"/>
            <w:tcBorders>
              <w:top w:val="nil"/>
              <w:left w:val="nil"/>
              <w:bottom w:val="nil"/>
              <w:right w:val="nil"/>
            </w:tcBorders>
            <w:shd w:val="clear" w:color="000000" w:fill="FFFFFF"/>
            <w:noWrap/>
            <w:vAlign w:val="bottom"/>
            <w:hideMark/>
          </w:tcPr>
          <w:p w14:paraId="5DFF6553"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14</w:t>
            </w:r>
          </w:p>
        </w:tc>
        <w:tc>
          <w:tcPr>
            <w:tcW w:w="960" w:type="dxa"/>
            <w:tcBorders>
              <w:top w:val="nil"/>
              <w:left w:val="nil"/>
              <w:bottom w:val="nil"/>
              <w:right w:val="single" w:sz="4" w:space="0" w:color="auto"/>
            </w:tcBorders>
            <w:shd w:val="clear" w:color="000000" w:fill="FFFFFF"/>
            <w:noWrap/>
            <w:vAlign w:val="bottom"/>
            <w:hideMark/>
          </w:tcPr>
          <w:p w14:paraId="29DF17D7"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0.2%</w:t>
            </w:r>
          </w:p>
        </w:tc>
        <w:tc>
          <w:tcPr>
            <w:tcW w:w="960" w:type="dxa"/>
            <w:tcBorders>
              <w:top w:val="nil"/>
              <w:left w:val="nil"/>
              <w:bottom w:val="nil"/>
              <w:right w:val="nil"/>
            </w:tcBorders>
            <w:shd w:val="clear" w:color="000000" w:fill="FFFFFF"/>
            <w:noWrap/>
            <w:vAlign w:val="bottom"/>
            <w:hideMark/>
          </w:tcPr>
          <w:p w14:paraId="6EA26227"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single" w:sz="4" w:space="0" w:color="auto"/>
            </w:tcBorders>
            <w:shd w:val="clear" w:color="000000" w:fill="FFFFFF"/>
            <w:noWrap/>
            <w:vAlign w:val="bottom"/>
            <w:hideMark/>
          </w:tcPr>
          <w:p w14:paraId="669C6435"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0.3%</w:t>
            </w:r>
          </w:p>
        </w:tc>
      </w:tr>
      <w:tr w:rsidR="0074217E" w:rsidRPr="007E2527" w14:paraId="28A8EDD9" w14:textId="77777777" w:rsidTr="00E97FCD">
        <w:trPr>
          <w:trHeight w:val="300"/>
          <w:jc w:val="center"/>
        </w:trPr>
        <w:tc>
          <w:tcPr>
            <w:tcW w:w="4592" w:type="dxa"/>
            <w:tcBorders>
              <w:top w:val="nil"/>
              <w:left w:val="single" w:sz="4" w:space="0" w:color="auto"/>
              <w:bottom w:val="nil"/>
              <w:right w:val="nil"/>
            </w:tcBorders>
            <w:shd w:val="clear" w:color="000000" w:fill="FFFFFF"/>
            <w:noWrap/>
            <w:vAlign w:val="bottom"/>
            <w:hideMark/>
          </w:tcPr>
          <w:p w14:paraId="2D050EDF" w14:textId="77777777" w:rsidR="0074217E" w:rsidRPr="0074217E" w:rsidRDefault="0074217E" w:rsidP="0074217E">
            <w:pPr>
              <w:spacing w:after="0" w:line="240" w:lineRule="auto"/>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single" w:sz="4" w:space="0" w:color="auto"/>
            </w:tcBorders>
            <w:shd w:val="clear" w:color="000000" w:fill="FFFFFF"/>
            <w:noWrap/>
            <w:vAlign w:val="bottom"/>
            <w:hideMark/>
          </w:tcPr>
          <w:p w14:paraId="36184CEA"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nil"/>
            </w:tcBorders>
            <w:shd w:val="clear" w:color="000000" w:fill="FFFFFF"/>
            <w:noWrap/>
            <w:vAlign w:val="bottom"/>
            <w:hideMark/>
          </w:tcPr>
          <w:p w14:paraId="5D4B86EC"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1.2%</w:t>
            </w:r>
          </w:p>
        </w:tc>
        <w:tc>
          <w:tcPr>
            <w:tcW w:w="960" w:type="dxa"/>
            <w:tcBorders>
              <w:top w:val="nil"/>
              <w:left w:val="single" w:sz="4" w:space="0" w:color="auto"/>
              <w:bottom w:val="nil"/>
              <w:right w:val="single" w:sz="4" w:space="0" w:color="auto"/>
            </w:tcBorders>
            <w:shd w:val="clear" w:color="000000" w:fill="FFFFFF"/>
            <w:noWrap/>
            <w:vAlign w:val="bottom"/>
            <w:hideMark/>
          </w:tcPr>
          <w:p w14:paraId="3583E460"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1.7%</w:t>
            </w:r>
          </w:p>
        </w:tc>
        <w:tc>
          <w:tcPr>
            <w:tcW w:w="960" w:type="dxa"/>
            <w:tcBorders>
              <w:top w:val="nil"/>
              <w:left w:val="nil"/>
              <w:bottom w:val="nil"/>
              <w:right w:val="nil"/>
            </w:tcBorders>
            <w:shd w:val="clear" w:color="000000" w:fill="FFFFFF"/>
            <w:noWrap/>
            <w:vAlign w:val="bottom"/>
            <w:hideMark/>
          </w:tcPr>
          <w:p w14:paraId="1FDD0C25"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154</w:t>
            </w:r>
          </w:p>
        </w:tc>
        <w:tc>
          <w:tcPr>
            <w:tcW w:w="960" w:type="dxa"/>
            <w:tcBorders>
              <w:top w:val="nil"/>
              <w:left w:val="nil"/>
              <w:bottom w:val="nil"/>
              <w:right w:val="nil"/>
            </w:tcBorders>
            <w:shd w:val="clear" w:color="000000" w:fill="FFFFFF"/>
            <w:noWrap/>
            <w:vAlign w:val="bottom"/>
            <w:hideMark/>
          </w:tcPr>
          <w:p w14:paraId="7E27B60A"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2.4%</w:t>
            </w:r>
          </w:p>
        </w:tc>
        <w:tc>
          <w:tcPr>
            <w:tcW w:w="960" w:type="dxa"/>
            <w:tcBorders>
              <w:top w:val="nil"/>
              <w:left w:val="single" w:sz="4" w:space="0" w:color="auto"/>
              <w:bottom w:val="nil"/>
              <w:right w:val="nil"/>
            </w:tcBorders>
            <w:shd w:val="clear" w:color="000000" w:fill="FFFFFF"/>
            <w:noWrap/>
            <w:vAlign w:val="bottom"/>
            <w:hideMark/>
          </w:tcPr>
          <w:p w14:paraId="547F8C3A"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155</w:t>
            </w:r>
          </w:p>
        </w:tc>
        <w:tc>
          <w:tcPr>
            <w:tcW w:w="960" w:type="dxa"/>
            <w:tcBorders>
              <w:top w:val="nil"/>
              <w:left w:val="nil"/>
              <w:bottom w:val="nil"/>
              <w:right w:val="single" w:sz="4" w:space="0" w:color="auto"/>
            </w:tcBorders>
            <w:shd w:val="clear" w:color="000000" w:fill="FFFFFF"/>
            <w:noWrap/>
            <w:vAlign w:val="bottom"/>
            <w:hideMark/>
          </w:tcPr>
          <w:p w14:paraId="3C336ACE"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nil"/>
            </w:tcBorders>
            <w:shd w:val="clear" w:color="000000" w:fill="FFFFFF"/>
            <w:noWrap/>
            <w:vAlign w:val="bottom"/>
            <w:hideMark/>
          </w:tcPr>
          <w:p w14:paraId="1B954398"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239</w:t>
            </w:r>
          </w:p>
        </w:tc>
        <w:tc>
          <w:tcPr>
            <w:tcW w:w="960" w:type="dxa"/>
            <w:tcBorders>
              <w:top w:val="nil"/>
              <w:left w:val="nil"/>
              <w:bottom w:val="nil"/>
              <w:right w:val="single" w:sz="4" w:space="0" w:color="auto"/>
            </w:tcBorders>
            <w:shd w:val="clear" w:color="000000" w:fill="FFFFFF"/>
            <w:noWrap/>
            <w:vAlign w:val="bottom"/>
            <w:hideMark/>
          </w:tcPr>
          <w:p w14:paraId="484EE121"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3.6%</w:t>
            </w:r>
          </w:p>
        </w:tc>
        <w:tc>
          <w:tcPr>
            <w:tcW w:w="960" w:type="dxa"/>
            <w:tcBorders>
              <w:top w:val="nil"/>
              <w:left w:val="nil"/>
              <w:bottom w:val="nil"/>
              <w:right w:val="nil"/>
            </w:tcBorders>
            <w:shd w:val="clear" w:color="000000" w:fill="FFFFFF"/>
            <w:noWrap/>
            <w:vAlign w:val="bottom"/>
            <w:hideMark/>
          </w:tcPr>
          <w:p w14:paraId="151F90B3"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2891</w:t>
            </w:r>
          </w:p>
        </w:tc>
        <w:tc>
          <w:tcPr>
            <w:tcW w:w="960" w:type="dxa"/>
            <w:tcBorders>
              <w:top w:val="nil"/>
              <w:left w:val="nil"/>
              <w:bottom w:val="nil"/>
              <w:right w:val="single" w:sz="4" w:space="0" w:color="auto"/>
            </w:tcBorders>
            <w:shd w:val="clear" w:color="000000" w:fill="FFFFFF"/>
            <w:noWrap/>
            <w:vAlign w:val="bottom"/>
            <w:hideMark/>
          </w:tcPr>
          <w:p w14:paraId="76FED11B"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46.3%</w:t>
            </w:r>
          </w:p>
        </w:tc>
      </w:tr>
      <w:tr w:rsidR="0074217E" w:rsidRPr="007E2527" w14:paraId="4AE5D009" w14:textId="77777777" w:rsidTr="00E97FCD">
        <w:trPr>
          <w:trHeight w:val="300"/>
          <w:jc w:val="center"/>
        </w:trPr>
        <w:tc>
          <w:tcPr>
            <w:tcW w:w="4592" w:type="dxa"/>
            <w:tcBorders>
              <w:top w:val="nil"/>
              <w:left w:val="single" w:sz="4" w:space="0" w:color="auto"/>
              <w:bottom w:val="nil"/>
              <w:right w:val="nil"/>
            </w:tcBorders>
            <w:shd w:val="clear" w:color="000000" w:fill="FFFFFF"/>
            <w:noWrap/>
            <w:vAlign w:val="bottom"/>
            <w:hideMark/>
          </w:tcPr>
          <w:p w14:paraId="73B96D2E" w14:textId="77777777" w:rsidR="0074217E" w:rsidRPr="0074217E" w:rsidRDefault="0074217E" w:rsidP="0074217E">
            <w:pPr>
              <w:spacing w:after="0" w:line="240" w:lineRule="auto"/>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No response provided</w:t>
            </w:r>
          </w:p>
        </w:tc>
        <w:tc>
          <w:tcPr>
            <w:tcW w:w="960" w:type="dxa"/>
            <w:tcBorders>
              <w:top w:val="nil"/>
              <w:left w:val="single" w:sz="4" w:space="0" w:color="auto"/>
              <w:bottom w:val="nil"/>
              <w:right w:val="single" w:sz="4" w:space="0" w:color="auto"/>
            </w:tcBorders>
            <w:shd w:val="clear" w:color="000000" w:fill="FFFFFF"/>
            <w:noWrap/>
            <w:vAlign w:val="bottom"/>
            <w:hideMark/>
          </w:tcPr>
          <w:p w14:paraId="2B9E6543"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71.8%</w:t>
            </w:r>
          </w:p>
        </w:tc>
        <w:tc>
          <w:tcPr>
            <w:tcW w:w="960" w:type="dxa"/>
            <w:tcBorders>
              <w:top w:val="nil"/>
              <w:left w:val="nil"/>
              <w:bottom w:val="nil"/>
              <w:right w:val="nil"/>
            </w:tcBorders>
            <w:shd w:val="clear" w:color="000000" w:fill="FFFFFF"/>
            <w:noWrap/>
            <w:vAlign w:val="bottom"/>
            <w:hideMark/>
          </w:tcPr>
          <w:p w14:paraId="769F9660"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69.9%</w:t>
            </w:r>
          </w:p>
        </w:tc>
        <w:tc>
          <w:tcPr>
            <w:tcW w:w="960" w:type="dxa"/>
            <w:tcBorders>
              <w:top w:val="nil"/>
              <w:left w:val="single" w:sz="4" w:space="0" w:color="auto"/>
              <w:bottom w:val="nil"/>
              <w:right w:val="single" w:sz="4" w:space="0" w:color="auto"/>
            </w:tcBorders>
            <w:shd w:val="clear" w:color="000000" w:fill="FFFFFF"/>
            <w:noWrap/>
            <w:vAlign w:val="bottom"/>
            <w:hideMark/>
          </w:tcPr>
          <w:p w14:paraId="6358D550"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65.9%</w:t>
            </w:r>
          </w:p>
        </w:tc>
        <w:tc>
          <w:tcPr>
            <w:tcW w:w="960" w:type="dxa"/>
            <w:tcBorders>
              <w:top w:val="nil"/>
              <w:left w:val="nil"/>
              <w:bottom w:val="nil"/>
              <w:right w:val="nil"/>
            </w:tcBorders>
            <w:shd w:val="clear" w:color="000000" w:fill="FFFFFF"/>
            <w:noWrap/>
            <w:vAlign w:val="bottom"/>
            <w:hideMark/>
          </w:tcPr>
          <w:p w14:paraId="61FC4264"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3815</w:t>
            </w:r>
          </w:p>
        </w:tc>
        <w:tc>
          <w:tcPr>
            <w:tcW w:w="960" w:type="dxa"/>
            <w:tcBorders>
              <w:top w:val="nil"/>
              <w:left w:val="nil"/>
              <w:bottom w:val="nil"/>
              <w:right w:val="nil"/>
            </w:tcBorders>
            <w:shd w:val="clear" w:color="000000" w:fill="FFFFFF"/>
            <w:noWrap/>
            <w:vAlign w:val="bottom"/>
            <w:hideMark/>
          </w:tcPr>
          <w:p w14:paraId="258BD87C"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59.5%</w:t>
            </w:r>
          </w:p>
        </w:tc>
        <w:tc>
          <w:tcPr>
            <w:tcW w:w="960" w:type="dxa"/>
            <w:tcBorders>
              <w:top w:val="nil"/>
              <w:left w:val="single" w:sz="4" w:space="0" w:color="auto"/>
              <w:bottom w:val="nil"/>
              <w:right w:val="nil"/>
            </w:tcBorders>
            <w:shd w:val="clear" w:color="000000" w:fill="FFFFFF"/>
            <w:noWrap/>
            <w:vAlign w:val="bottom"/>
            <w:hideMark/>
          </w:tcPr>
          <w:p w14:paraId="00FCE4F1"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3380</w:t>
            </w:r>
          </w:p>
        </w:tc>
        <w:tc>
          <w:tcPr>
            <w:tcW w:w="960" w:type="dxa"/>
            <w:tcBorders>
              <w:top w:val="nil"/>
              <w:left w:val="nil"/>
              <w:bottom w:val="nil"/>
              <w:right w:val="single" w:sz="4" w:space="0" w:color="auto"/>
            </w:tcBorders>
            <w:shd w:val="clear" w:color="000000" w:fill="FFFFFF"/>
            <w:noWrap/>
            <w:vAlign w:val="bottom"/>
            <w:hideMark/>
          </w:tcPr>
          <w:p w14:paraId="00E7A781"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52.9%</w:t>
            </w:r>
          </w:p>
        </w:tc>
        <w:tc>
          <w:tcPr>
            <w:tcW w:w="960" w:type="dxa"/>
            <w:tcBorders>
              <w:top w:val="nil"/>
              <w:left w:val="nil"/>
              <w:bottom w:val="nil"/>
              <w:right w:val="nil"/>
            </w:tcBorders>
            <w:shd w:val="clear" w:color="000000" w:fill="FFFFFF"/>
            <w:noWrap/>
            <w:vAlign w:val="bottom"/>
            <w:hideMark/>
          </w:tcPr>
          <w:p w14:paraId="5211AAF3"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3022</w:t>
            </w:r>
          </w:p>
        </w:tc>
        <w:tc>
          <w:tcPr>
            <w:tcW w:w="960" w:type="dxa"/>
            <w:tcBorders>
              <w:top w:val="nil"/>
              <w:left w:val="nil"/>
              <w:bottom w:val="nil"/>
              <w:right w:val="single" w:sz="4" w:space="0" w:color="auto"/>
            </w:tcBorders>
            <w:shd w:val="clear" w:color="000000" w:fill="FFFFFF"/>
            <w:noWrap/>
            <w:vAlign w:val="bottom"/>
            <w:hideMark/>
          </w:tcPr>
          <w:p w14:paraId="0AD7FC44" w14:textId="77777777" w:rsidR="0074217E" w:rsidRPr="0074217E" w:rsidRDefault="0074217E" w:rsidP="0074217E">
            <w:pPr>
              <w:spacing w:after="0" w:line="240" w:lineRule="auto"/>
              <w:jc w:val="right"/>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46.0%</w:t>
            </w:r>
          </w:p>
        </w:tc>
        <w:tc>
          <w:tcPr>
            <w:tcW w:w="960" w:type="dxa"/>
            <w:tcBorders>
              <w:top w:val="nil"/>
              <w:left w:val="nil"/>
              <w:bottom w:val="nil"/>
              <w:right w:val="nil"/>
            </w:tcBorders>
            <w:shd w:val="clear" w:color="000000" w:fill="FFFFFF"/>
            <w:noWrap/>
            <w:vAlign w:val="bottom"/>
            <w:hideMark/>
          </w:tcPr>
          <w:p w14:paraId="1AF5689D" w14:textId="77777777" w:rsidR="0074217E" w:rsidRPr="0074217E" w:rsidRDefault="0074217E" w:rsidP="0074217E">
            <w:pPr>
              <w:spacing w:after="0" w:line="240" w:lineRule="auto"/>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3BB1372" w14:textId="77777777" w:rsidR="0074217E" w:rsidRPr="0074217E" w:rsidRDefault="0074217E" w:rsidP="0074217E">
            <w:pPr>
              <w:spacing w:after="0" w:line="240" w:lineRule="auto"/>
              <w:rPr>
                <w:rFonts w:asciiTheme="minorHAnsi" w:eastAsia="Times New Roman" w:hAnsiTheme="minorHAnsi" w:cs="Times New Roman"/>
                <w:color w:val="000000"/>
                <w:kern w:val="0"/>
                <w:szCs w:val="22"/>
                <w:lang w:eastAsia="en-GB"/>
                <w14:ligatures w14:val="none"/>
              </w:rPr>
            </w:pPr>
            <w:r w:rsidRPr="0074217E">
              <w:rPr>
                <w:rFonts w:asciiTheme="minorHAnsi" w:eastAsia="Times New Roman" w:hAnsiTheme="minorHAnsi" w:cs="Times New Roman"/>
                <w:color w:val="000000"/>
                <w:kern w:val="0"/>
                <w:szCs w:val="22"/>
                <w:lang w:eastAsia="en-GB"/>
                <w14:ligatures w14:val="none"/>
              </w:rPr>
              <w:t> </w:t>
            </w:r>
          </w:p>
        </w:tc>
      </w:tr>
      <w:tr w:rsidR="0074217E" w:rsidRPr="007E2527" w14:paraId="66651E67" w14:textId="77777777" w:rsidTr="00E97FCD">
        <w:trPr>
          <w:trHeight w:val="315"/>
          <w:jc w:val="center"/>
        </w:trPr>
        <w:tc>
          <w:tcPr>
            <w:tcW w:w="4592" w:type="dxa"/>
            <w:tcBorders>
              <w:top w:val="dotted" w:sz="4" w:space="0" w:color="auto"/>
              <w:left w:val="single" w:sz="4" w:space="0" w:color="auto"/>
              <w:bottom w:val="double" w:sz="6" w:space="0" w:color="auto"/>
              <w:right w:val="nil"/>
            </w:tcBorders>
            <w:shd w:val="clear" w:color="000000" w:fill="FFFFFF"/>
            <w:noWrap/>
            <w:vAlign w:val="bottom"/>
            <w:hideMark/>
          </w:tcPr>
          <w:p w14:paraId="6D6AB804" w14:textId="77777777" w:rsidR="0074217E" w:rsidRPr="0074217E" w:rsidRDefault="0074217E" w:rsidP="0074217E">
            <w:pPr>
              <w:spacing w:after="0" w:line="240" w:lineRule="auto"/>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32226DFC"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DE23230"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19AC4CE2"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20E2DE2"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6415</w:t>
            </w:r>
          </w:p>
        </w:tc>
        <w:tc>
          <w:tcPr>
            <w:tcW w:w="960" w:type="dxa"/>
            <w:tcBorders>
              <w:top w:val="dotted" w:sz="4" w:space="0" w:color="auto"/>
              <w:left w:val="nil"/>
              <w:bottom w:val="double" w:sz="6" w:space="0" w:color="auto"/>
              <w:right w:val="nil"/>
            </w:tcBorders>
            <w:shd w:val="clear" w:color="000000" w:fill="FFFFFF"/>
            <w:noWrap/>
            <w:vAlign w:val="bottom"/>
            <w:hideMark/>
          </w:tcPr>
          <w:p w14:paraId="7502D7EB"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92241A5"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6395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23D174F"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CB3E64C"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6574</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C96DF16"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2F90191"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6241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5BE08D2" w14:textId="77777777" w:rsidR="0074217E" w:rsidRPr="0074217E" w:rsidRDefault="0074217E" w:rsidP="007421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4217E">
              <w:rPr>
                <w:rFonts w:asciiTheme="minorHAnsi" w:eastAsia="Times New Roman" w:hAnsiTheme="minorHAnsi" w:cs="Times New Roman"/>
                <w:b/>
                <w:bCs/>
                <w:color w:val="000000"/>
                <w:kern w:val="0"/>
                <w:szCs w:val="22"/>
                <w:lang w:eastAsia="en-GB"/>
                <w14:ligatures w14:val="none"/>
              </w:rPr>
              <w:t>100%</w:t>
            </w:r>
          </w:p>
        </w:tc>
      </w:tr>
    </w:tbl>
    <w:p w14:paraId="5A3F4F8D" w14:textId="77777777" w:rsidR="00482B2A" w:rsidRDefault="00482B2A" w:rsidP="000C319A">
      <w:pPr>
        <w:rPr>
          <w:rFonts w:asciiTheme="minorHAnsi" w:hAnsiTheme="minorHAnsi"/>
          <w:b/>
          <w:bCs/>
          <w:szCs w:val="22"/>
        </w:rPr>
      </w:pPr>
    </w:p>
    <w:p w14:paraId="7B94F85A" w14:textId="77777777" w:rsidR="00E97FCD" w:rsidRPr="007E2527" w:rsidRDefault="00E97FCD" w:rsidP="000C319A">
      <w:pPr>
        <w:rPr>
          <w:rFonts w:asciiTheme="minorHAnsi" w:hAnsiTheme="minorHAnsi"/>
          <w:b/>
          <w:bCs/>
          <w:szCs w:val="22"/>
        </w:rPr>
      </w:pPr>
    </w:p>
    <w:p w14:paraId="4AC7F669" w14:textId="3131C16E" w:rsidR="00C6042B" w:rsidRPr="007E2527" w:rsidRDefault="008576E9" w:rsidP="00C6042B">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gender affirmation and occupation, 2025 (N=6,241)</w:t>
      </w:r>
    </w:p>
    <w:tbl>
      <w:tblPr>
        <w:tblW w:w="10352" w:type="dxa"/>
        <w:tblLayout w:type="fixed"/>
        <w:tblLook w:val="04A0" w:firstRow="1" w:lastRow="0" w:firstColumn="1" w:lastColumn="0" w:noHBand="0" w:noVBand="1"/>
      </w:tblPr>
      <w:tblGrid>
        <w:gridCol w:w="4592"/>
        <w:gridCol w:w="960"/>
        <w:gridCol w:w="960"/>
        <w:gridCol w:w="960"/>
        <w:gridCol w:w="960"/>
        <w:gridCol w:w="960"/>
        <w:gridCol w:w="960"/>
      </w:tblGrid>
      <w:tr w:rsidR="00E97FCD" w:rsidRPr="00476A03" w14:paraId="254057C1" w14:textId="77777777" w:rsidTr="00E97FCD">
        <w:trPr>
          <w:trHeight w:val="300"/>
        </w:trPr>
        <w:tc>
          <w:tcPr>
            <w:tcW w:w="4592" w:type="dxa"/>
            <w:tcBorders>
              <w:top w:val="single" w:sz="4" w:space="0" w:color="auto"/>
              <w:left w:val="single" w:sz="4" w:space="0" w:color="auto"/>
              <w:bottom w:val="nil"/>
              <w:right w:val="nil"/>
            </w:tcBorders>
            <w:shd w:val="clear" w:color="000000" w:fill="FFFFFF"/>
            <w:noWrap/>
            <w:vAlign w:val="bottom"/>
            <w:hideMark/>
          </w:tcPr>
          <w:p w14:paraId="7D527417" w14:textId="77777777" w:rsidR="00476A03" w:rsidRPr="00476A03" w:rsidRDefault="00476A03" w:rsidP="00476A03">
            <w:pPr>
              <w:spacing w:after="0" w:line="240" w:lineRule="auto"/>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F3C907D" w14:textId="77777777" w:rsidR="00476A03" w:rsidRPr="00476A03" w:rsidRDefault="00476A03" w:rsidP="00476A0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17FE83F" w14:textId="77777777" w:rsidR="00476A03" w:rsidRPr="00476A03" w:rsidRDefault="00476A03" w:rsidP="00476A0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2FD94C0" w14:textId="77777777" w:rsidR="00476A03" w:rsidRPr="00476A03" w:rsidRDefault="00476A03" w:rsidP="00476A0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PS</w:t>
            </w:r>
          </w:p>
        </w:tc>
      </w:tr>
      <w:tr w:rsidR="00476A03" w:rsidRPr="007E2527" w14:paraId="12064A8A" w14:textId="77777777" w:rsidTr="00E97FCD">
        <w:trPr>
          <w:trHeight w:val="300"/>
        </w:trPr>
        <w:tc>
          <w:tcPr>
            <w:tcW w:w="4592" w:type="dxa"/>
            <w:tcBorders>
              <w:top w:val="nil"/>
              <w:left w:val="single" w:sz="4" w:space="0" w:color="auto"/>
              <w:bottom w:val="single" w:sz="4" w:space="0" w:color="auto"/>
              <w:right w:val="nil"/>
            </w:tcBorders>
            <w:shd w:val="clear" w:color="000000" w:fill="FFFFFF"/>
            <w:noWrap/>
            <w:vAlign w:val="bottom"/>
            <w:hideMark/>
          </w:tcPr>
          <w:p w14:paraId="30733DF6" w14:textId="77777777" w:rsidR="00476A03" w:rsidRPr="00476A03" w:rsidRDefault="00476A03" w:rsidP="00476A03">
            <w:pPr>
              <w:spacing w:after="0" w:line="240" w:lineRule="auto"/>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01CDEB5" w14:textId="77777777" w:rsidR="00476A03" w:rsidRPr="00476A03" w:rsidRDefault="00476A03" w:rsidP="00476A03">
            <w:pPr>
              <w:spacing w:after="0" w:line="240" w:lineRule="auto"/>
              <w:jc w:val="center"/>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E98A582" w14:textId="77777777" w:rsidR="00476A03" w:rsidRPr="00476A03" w:rsidRDefault="00476A03" w:rsidP="00476A03">
            <w:pPr>
              <w:spacing w:after="0" w:line="240" w:lineRule="auto"/>
              <w:jc w:val="center"/>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11271AD" w14:textId="77777777" w:rsidR="00476A03" w:rsidRPr="00476A03" w:rsidRDefault="00476A03" w:rsidP="00476A03">
            <w:pPr>
              <w:spacing w:after="0" w:line="240" w:lineRule="auto"/>
              <w:jc w:val="center"/>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B9FC0A7" w14:textId="77777777" w:rsidR="00476A03" w:rsidRPr="00476A03" w:rsidRDefault="00476A03" w:rsidP="00476A03">
            <w:pPr>
              <w:spacing w:after="0" w:line="240" w:lineRule="auto"/>
              <w:jc w:val="center"/>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AAEB975" w14:textId="77777777" w:rsidR="00476A03" w:rsidRPr="00476A03" w:rsidRDefault="00476A03" w:rsidP="00476A03">
            <w:pPr>
              <w:spacing w:after="0" w:line="240" w:lineRule="auto"/>
              <w:jc w:val="center"/>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C0DA1D5" w14:textId="77777777" w:rsidR="00476A03" w:rsidRPr="00476A03" w:rsidRDefault="00476A03" w:rsidP="00476A03">
            <w:pPr>
              <w:spacing w:after="0" w:line="240" w:lineRule="auto"/>
              <w:jc w:val="center"/>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w:t>
            </w:r>
          </w:p>
        </w:tc>
      </w:tr>
      <w:tr w:rsidR="00476A03" w:rsidRPr="007E2527" w14:paraId="703A2492"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166641AA" w14:textId="77777777" w:rsidR="00476A03" w:rsidRPr="00476A03" w:rsidRDefault="00476A03" w:rsidP="00476A03">
            <w:pPr>
              <w:spacing w:after="0" w:line="240" w:lineRule="auto"/>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6BF1CCB4"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772</w:t>
            </w:r>
          </w:p>
        </w:tc>
        <w:tc>
          <w:tcPr>
            <w:tcW w:w="960" w:type="dxa"/>
            <w:tcBorders>
              <w:top w:val="nil"/>
              <w:left w:val="nil"/>
              <w:bottom w:val="nil"/>
              <w:right w:val="single" w:sz="4" w:space="0" w:color="auto"/>
            </w:tcBorders>
            <w:shd w:val="clear" w:color="000000" w:fill="FFFFFF"/>
            <w:noWrap/>
            <w:vAlign w:val="bottom"/>
            <w:hideMark/>
          </w:tcPr>
          <w:p w14:paraId="36470D34"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41.5%</w:t>
            </w:r>
          </w:p>
        </w:tc>
        <w:tc>
          <w:tcPr>
            <w:tcW w:w="960" w:type="dxa"/>
            <w:tcBorders>
              <w:top w:val="nil"/>
              <w:left w:val="nil"/>
              <w:bottom w:val="nil"/>
              <w:right w:val="nil"/>
            </w:tcBorders>
            <w:shd w:val="clear" w:color="000000" w:fill="FFFFFF"/>
            <w:noWrap/>
            <w:vAlign w:val="bottom"/>
            <w:hideMark/>
          </w:tcPr>
          <w:p w14:paraId="5ED24873"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670</w:t>
            </w:r>
          </w:p>
        </w:tc>
        <w:tc>
          <w:tcPr>
            <w:tcW w:w="960" w:type="dxa"/>
            <w:tcBorders>
              <w:top w:val="nil"/>
              <w:left w:val="nil"/>
              <w:bottom w:val="nil"/>
              <w:right w:val="single" w:sz="4" w:space="0" w:color="auto"/>
            </w:tcBorders>
            <w:shd w:val="clear" w:color="000000" w:fill="FFFFFF"/>
            <w:noWrap/>
            <w:vAlign w:val="bottom"/>
            <w:hideMark/>
          </w:tcPr>
          <w:p w14:paraId="44324556"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67.0%</w:t>
            </w:r>
          </w:p>
        </w:tc>
        <w:tc>
          <w:tcPr>
            <w:tcW w:w="960" w:type="dxa"/>
            <w:tcBorders>
              <w:top w:val="nil"/>
              <w:left w:val="nil"/>
              <w:bottom w:val="nil"/>
              <w:right w:val="nil"/>
            </w:tcBorders>
            <w:shd w:val="clear" w:color="000000" w:fill="FFFFFF"/>
            <w:noWrap/>
            <w:vAlign w:val="bottom"/>
            <w:hideMark/>
          </w:tcPr>
          <w:p w14:paraId="579ABAC0"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1892</w:t>
            </w:r>
          </w:p>
        </w:tc>
        <w:tc>
          <w:tcPr>
            <w:tcW w:w="960" w:type="dxa"/>
            <w:tcBorders>
              <w:top w:val="nil"/>
              <w:left w:val="nil"/>
              <w:bottom w:val="nil"/>
              <w:right w:val="single" w:sz="4" w:space="0" w:color="auto"/>
            </w:tcBorders>
            <w:shd w:val="clear" w:color="000000" w:fill="FFFFFF"/>
            <w:noWrap/>
            <w:vAlign w:val="bottom"/>
            <w:hideMark/>
          </w:tcPr>
          <w:p w14:paraId="65FB2EAA"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56.0%</w:t>
            </w:r>
          </w:p>
        </w:tc>
      </w:tr>
      <w:tr w:rsidR="00476A03" w:rsidRPr="007E2527" w14:paraId="5D6F026A"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0199D5B3" w14:textId="77777777" w:rsidR="00476A03" w:rsidRPr="00476A03" w:rsidRDefault="00476A03" w:rsidP="00476A03">
            <w:pPr>
              <w:spacing w:after="0" w:line="240" w:lineRule="auto"/>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05A7F3CC"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7407C54"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1FEE6FBA"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940F88A"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C8B7423"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single" w:sz="4" w:space="0" w:color="auto"/>
            </w:tcBorders>
            <w:shd w:val="clear" w:color="000000" w:fill="FFFFFF"/>
            <w:noWrap/>
            <w:vAlign w:val="bottom"/>
            <w:hideMark/>
          </w:tcPr>
          <w:p w14:paraId="3CF350C9"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0.3%</w:t>
            </w:r>
          </w:p>
        </w:tc>
      </w:tr>
      <w:tr w:rsidR="00476A03" w:rsidRPr="007E2527" w14:paraId="69A2A40A"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06BC7CB8" w14:textId="77777777" w:rsidR="00476A03" w:rsidRPr="00476A03" w:rsidRDefault="00476A03" w:rsidP="00476A03">
            <w:pPr>
              <w:spacing w:after="0" w:line="240" w:lineRule="auto"/>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8095B04"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1085</w:t>
            </w:r>
          </w:p>
        </w:tc>
        <w:tc>
          <w:tcPr>
            <w:tcW w:w="960" w:type="dxa"/>
            <w:tcBorders>
              <w:top w:val="nil"/>
              <w:left w:val="nil"/>
              <w:bottom w:val="nil"/>
              <w:right w:val="single" w:sz="4" w:space="0" w:color="auto"/>
            </w:tcBorders>
            <w:shd w:val="clear" w:color="000000" w:fill="FFFFFF"/>
            <w:noWrap/>
            <w:vAlign w:val="bottom"/>
            <w:hideMark/>
          </w:tcPr>
          <w:p w14:paraId="69F55675"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58.3%</w:t>
            </w:r>
          </w:p>
        </w:tc>
        <w:tc>
          <w:tcPr>
            <w:tcW w:w="960" w:type="dxa"/>
            <w:tcBorders>
              <w:top w:val="nil"/>
              <w:left w:val="nil"/>
              <w:bottom w:val="nil"/>
              <w:right w:val="nil"/>
            </w:tcBorders>
            <w:shd w:val="clear" w:color="000000" w:fill="FFFFFF"/>
            <w:noWrap/>
            <w:vAlign w:val="bottom"/>
            <w:hideMark/>
          </w:tcPr>
          <w:p w14:paraId="0402B494"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327</w:t>
            </w:r>
          </w:p>
        </w:tc>
        <w:tc>
          <w:tcPr>
            <w:tcW w:w="960" w:type="dxa"/>
            <w:tcBorders>
              <w:top w:val="nil"/>
              <w:left w:val="nil"/>
              <w:bottom w:val="nil"/>
              <w:right w:val="single" w:sz="4" w:space="0" w:color="auto"/>
            </w:tcBorders>
            <w:shd w:val="clear" w:color="000000" w:fill="FFFFFF"/>
            <w:noWrap/>
            <w:vAlign w:val="bottom"/>
            <w:hideMark/>
          </w:tcPr>
          <w:p w14:paraId="76D63EB8"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32.7%</w:t>
            </w:r>
          </w:p>
        </w:tc>
        <w:tc>
          <w:tcPr>
            <w:tcW w:w="960" w:type="dxa"/>
            <w:tcBorders>
              <w:top w:val="nil"/>
              <w:left w:val="nil"/>
              <w:bottom w:val="nil"/>
              <w:right w:val="nil"/>
            </w:tcBorders>
            <w:shd w:val="clear" w:color="000000" w:fill="FFFFFF"/>
            <w:noWrap/>
            <w:vAlign w:val="bottom"/>
            <w:hideMark/>
          </w:tcPr>
          <w:p w14:paraId="14311873"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1479</w:t>
            </w:r>
          </w:p>
        </w:tc>
        <w:tc>
          <w:tcPr>
            <w:tcW w:w="960" w:type="dxa"/>
            <w:tcBorders>
              <w:top w:val="nil"/>
              <w:left w:val="nil"/>
              <w:bottom w:val="nil"/>
              <w:right w:val="single" w:sz="4" w:space="0" w:color="auto"/>
            </w:tcBorders>
            <w:shd w:val="clear" w:color="000000" w:fill="FFFFFF"/>
            <w:noWrap/>
            <w:vAlign w:val="bottom"/>
            <w:hideMark/>
          </w:tcPr>
          <w:p w14:paraId="3A83B424" w14:textId="77777777" w:rsidR="00476A03" w:rsidRPr="00476A03" w:rsidRDefault="00476A03" w:rsidP="00476A03">
            <w:pPr>
              <w:spacing w:after="0" w:line="240" w:lineRule="auto"/>
              <w:jc w:val="right"/>
              <w:rPr>
                <w:rFonts w:asciiTheme="minorHAnsi" w:eastAsia="Times New Roman" w:hAnsiTheme="minorHAnsi" w:cs="Times New Roman"/>
                <w:color w:val="000000"/>
                <w:kern w:val="0"/>
                <w:szCs w:val="22"/>
                <w:lang w:eastAsia="en-GB"/>
                <w14:ligatures w14:val="none"/>
              </w:rPr>
            </w:pPr>
            <w:r w:rsidRPr="00476A03">
              <w:rPr>
                <w:rFonts w:asciiTheme="minorHAnsi" w:eastAsia="Times New Roman" w:hAnsiTheme="minorHAnsi" w:cs="Times New Roman"/>
                <w:color w:val="000000"/>
                <w:kern w:val="0"/>
                <w:szCs w:val="22"/>
                <w:lang w:eastAsia="en-GB"/>
                <w14:ligatures w14:val="none"/>
              </w:rPr>
              <w:t>43.7%</w:t>
            </w:r>
          </w:p>
        </w:tc>
      </w:tr>
      <w:tr w:rsidR="00476A03" w:rsidRPr="007E2527" w14:paraId="26DB20C2" w14:textId="77777777" w:rsidTr="00E97FCD">
        <w:trPr>
          <w:trHeight w:val="315"/>
        </w:trPr>
        <w:tc>
          <w:tcPr>
            <w:tcW w:w="4592" w:type="dxa"/>
            <w:tcBorders>
              <w:top w:val="dotted" w:sz="4" w:space="0" w:color="auto"/>
              <w:left w:val="single" w:sz="4" w:space="0" w:color="auto"/>
              <w:bottom w:val="double" w:sz="6" w:space="0" w:color="auto"/>
              <w:right w:val="nil"/>
            </w:tcBorders>
            <w:shd w:val="clear" w:color="000000" w:fill="FFFFFF"/>
            <w:noWrap/>
            <w:vAlign w:val="bottom"/>
            <w:hideMark/>
          </w:tcPr>
          <w:p w14:paraId="1F7C011B" w14:textId="77777777" w:rsidR="00476A03" w:rsidRPr="00476A03" w:rsidRDefault="00476A03" w:rsidP="00476A03">
            <w:pPr>
              <w:spacing w:after="0" w:line="240" w:lineRule="auto"/>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3432ABE" w14:textId="77777777" w:rsidR="00476A03" w:rsidRPr="00476A03" w:rsidRDefault="00476A03" w:rsidP="00476A0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1860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2CBB53B" w14:textId="77777777" w:rsidR="00476A03" w:rsidRPr="00476A03" w:rsidRDefault="00476A03" w:rsidP="00476A0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BF47C2B" w14:textId="77777777" w:rsidR="00476A03" w:rsidRPr="00476A03" w:rsidRDefault="00476A03" w:rsidP="00476A0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1000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D4C281B" w14:textId="77777777" w:rsidR="00476A03" w:rsidRPr="00476A03" w:rsidRDefault="00476A03" w:rsidP="00476A0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DAB6D46" w14:textId="77777777" w:rsidR="00476A03" w:rsidRPr="00476A03" w:rsidRDefault="00476A03" w:rsidP="00476A0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3381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48BEBA0" w14:textId="77777777" w:rsidR="00476A03" w:rsidRPr="00476A03" w:rsidRDefault="00476A03" w:rsidP="00476A03">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76A03">
              <w:rPr>
                <w:rFonts w:asciiTheme="minorHAnsi" w:eastAsia="Times New Roman" w:hAnsiTheme="minorHAnsi" w:cs="Times New Roman"/>
                <w:b/>
                <w:bCs/>
                <w:color w:val="000000"/>
                <w:kern w:val="0"/>
                <w:szCs w:val="22"/>
                <w:lang w:eastAsia="en-GB"/>
                <w14:ligatures w14:val="none"/>
              </w:rPr>
              <w:t>100%</w:t>
            </w:r>
          </w:p>
        </w:tc>
      </w:tr>
    </w:tbl>
    <w:p w14:paraId="02C76A78" w14:textId="77777777" w:rsidR="008576E9" w:rsidRPr="007E2527" w:rsidRDefault="008576E9" w:rsidP="008576E9">
      <w:pPr>
        <w:rPr>
          <w:rFonts w:asciiTheme="minorHAnsi" w:hAnsiTheme="minorHAnsi"/>
          <w:b/>
          <w:bCs/>
          <w:szCs w:val="22"/>
        </w:rPr>
      </w:pPr>
    </w:p>
    <w:p w14:paraId="5278ADBA" w14:textId="77777777" w:rsidR="00642A36" w:rsidRPr="007E2527" w:rsidRDefault="00642A36" w:rsidP="008576E9">
      <w:pPr>
        <w:rPr>
          <w:rFonts w:asciiTheme="minorHAnsi" w:hAnsiTheme="minorHAnsi"/>
          <w:b/>
          <w:bCs/>
          <w:szCs w:val="22"/>
        </w:rPr>
      </w:pPr>
    </w:p>
    <w:p w14:paraId="71606619" w14:textId="77777777" w:rsidR="00642A36" w:rsidRPr="007E2527" w:rsidRDefault="00642A36" w:rsidP="008576E9">
      <w:pPr>
        <w:rPr>
          <w:rFonts w:asciiTheme="minorHAnsi" w:hAnsiTheme="minorHAnsi"/>
          <w:b/>
          <w:bCs/>
          <w:szCs w:val="22"/>
        </w:rPr>
      </w:pPr>
    </w:p>
    <w:p w14:paraId="3257EB60" w14:textId="77777777" w:rsidR="00642A36" w:rsidRPr="007E2527" w:rsidRDefault="00642A36" w:rsidP="008576E9">
      <w:pPr>
        <w:rPr>
          <w:rFonts w:asciiTheme="minorHAnsi" w:hAnsiTheme="minorHAnsi"/>
          <w:b/>
          <w:bCs/>
          <w:szCs w:val="22"/>
        </w:rPr>
      </w:pPr>
    </w:p>
    <w:p w14:paraId="7A491BA1" w14:textId="77777777" w:rsidR="00642A36" w:rsidRPr="007E2527" w:rsidRDefault="00642A36" w:rsidP="008576E9">
      <w:pPr>
        <w:rPr>
          <w:rFonts w:asciiTheme="minorHAnsi" w:hAnsiTheme="minorHAnsi"/>
          <w:b/>
          <w:bCs/>
          <w:szCs w:val="22"/>
        </w:rPr>
      </w:pPr>
    </w:p>
    <w:p w14:paraId="7E73EEB2" w14:textId="67E0C9C9" w:rsidR="008576E9" w:rsidRPr="007E2527" w:rsidRDefault="008576E9" w:rsidP="008576E9">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gender affirmation and job family, 2025 (n=3,381)</w:t>
      </w:r>
    </w:p>
    <w:tbl>
      <w:tblPr>
        <w:tblW w:w="12272" w:type="dxa"/>
        <w:tblLayout w:type="fixed"/>
        <w:tblLook w:val="04A0" w:firstRow="1" w:lastRow="0" w:firstColumn="1" w:lastColumn="0" w:noHBand="0" w:noVBand="1"/>
      </w:tblPr>
      <w:tblGrid>
        <w:gridCol w:w="4592"/>
        <w:gridCol w:w="960"/>
        <w:gridCol w:w="960"/>
        <w:gridCol w:w="960"/>
        <w:gridCol w:w="960"/>
        <w:gridCol w:w="960"/>
        <w:gridCol w:w="960"/>
        <w:gridCol w:w="960"/>
        <w:gridCol w:w="960"/>
      </w:tblGrid>
      <w:tr w:rsidR="00E97FCD" w:rsidRPr="00642A36" w14:paraId="632EA79A" w14:textId="77777777" w:rsidTr="00E97FCD">
        <w:trPr>
          <w:trHeight w:val="300"/>
        </w:trPr>
        <w:tc>
          <w:tcPr>
            <w:tcW w:w="4592" w:type="dxa"/>
            <w:tcBorders>
              <w:top w:val="single" w:sz="4" w:space="0" w:color="auto"/>
              <w:left w:val="single" w:sz="4" w:space="0" w:color="auto"/>
              <w:bottom w:val="nil"/>
              <w:right w:val="nil"/>
            </w:tcBorders>
            <w:shd w:val="clear" w:color="000000" w:fill="FFFFFF"/>
            <w:noWrap/>
            <w:vAlign w:val="bottom"/>
            <w:hideMark/>
          </w:tcPr>
          <w:p w14:paraId="0F25030B" w14:textId="77777777" w:rsidR="00642A36" w:rsidRPr="00642A36" w:rsidRDefault="00642A36" w:rsidP="00642A36">
            <w:pPr>
              <w:spacing w:after="0" w:line="240" w:lineRule="auto"/>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9F26BD4" w14:textId="77777777" w:rsidR="00642A36" w:rsidRPr="00642A36" w:rsidRDefault="00642A36" w:rsidP="00642A3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Administrative</w:t>
            </w:r>
          </w:p>
        </w:tc>
        <w:tc>
          <w:tcPr>
            <w:tcW w:w="1920" w:type="dxa"/>
            <w:gridSpan w:val="2"/>
            <w:tcBorders>
              <w:top w:val="single" w:sz="4" w:space="0" w:color="auto"/>
              <w:left w:val="nil"/>
              <w:bottom w:val="nil"/>
              <w:right w:val="nil"/>
            </w:tcBorders>
            <w:shd w:val="clear" w:color="000000" w:fill="FFFFFF"/>
            <w:noWrap/>
            <w:vAlign w:val="bottom"/>
            <w:hideMark/>
          </w:tcPr>
          <w:p w14:paraId="041F6BA7" w14:textId="77777777" w:rsidR="00642A36" w:rsidRPr="00642A36" w:rsidRDefault="00642A36" w:rsidP="00642A3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Maintenance</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4718BA8" w14:textId="77777777" w:rsidR="00642A36" w:rsidRPr="00642A36" w:rsidRDefault="00642A36" w:rsidP="00642A3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Operational</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3078964" w14:textId="77777777" w:rsidR="00642A36" w:rsidRPr="00642A36" w:rsidRDefault="00642A36" w:rsidP="00642A3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Specialist</w:t>
            </w:r>
          </w:p>
        </w:tc>
      </w:tr>
      <w:tr w:rsidR="00642A36" w:rsidRPr="007E2527" w14:paraId="11DE8E80" w14:textId="77777777" w:rsidTr="00E97FCD">
        <w:trPr>
          <w:trHeight w:val="300"/>
        </w:trPr>
        <w:tc>
          <w:tcPr>
            <w:tcW w:w="4592" w:type="dxa"/>
            <w:tcBorders>
              <w:top w:val="nil"/>
              <w:left w:val="single" w:sz="4" w:space="0" w:color="auto"/>
              <w:bottom w:val="single" w:sz="4" w:space="0" w:color="auto"/>
              <w:right w:val="nil"/>
            </w:tcBorders>
            <w:shd w:val="clear" w:color="000000" w:fill="FFFFFF"/>
            <w:noWrap/>
            <w:vAlign w:val="bottom"/>
            <w:hideMark/>
          </w:tcPr>
          <w:p w14:paraId="0FE0BCD4" w14:textId="77777777" w:rsidR="00642A36" w:rsidRPr="00642A36" w:rsidRDefault="00642A36" w:rsidP="00642A36">
            <w:pPr>
              <w:spacing w:after="0" w:line="240" w:lineRule="auto"/>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3BB8CA7C"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B3CDD1A"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8FAF10F"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DFE9248"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A3EB915"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34F4E2C"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476A4E9"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6A13798" w14:textId="77777777" w:rsidR="00642A36" w:rsidRPr="00642A36" w:rsidRDefault="00642A36" w:rsidP="00642A36">
            <w:pPr>
              <w:spacing w:after="0" w:line="240" w:lineRule="auto"/>
              <w:jc w:val="center"/>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w:t>
            </w:r>
          </w:p>
        </w:tc>
      </w:tr>
      <w:tr w:rsidR="00642A36" w:rsidRPr="007E2527" w14:paraId="24C25C09"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220D7488" w14:textId="77777777" w:rsidR="00642A36" w:rsidRPr="00642A36" w:rsidRDefault="00642A36" w:rsidP="00642A36">
            <w:pPr>
              <w:spacing w:after="0" w:line="240" w:lineRule="auto"/>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793C4970"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1317</w:t>
            </w:r>
          </w:p>
        </w:tc>
        <w:tc>
          <w:tcPr>
            <w:tcW w:w="960" w:type="dxa"/>
            <w:tcBorders>
              <w:top w:val="nil"/>
              <w:left w:val="nil"/>
              <w:bottom w:val="nil"/>
              <w:right w:val="single" w:sz="4" w:space="0" w:color="auto"/>
            </w:tcBorders>
            <w:shd w:val="clear" w:color="000000" w:fill="FFFFFF"/>
            <w:noWrap/>
            <w:vAlign w:val="bottom"/>
            <w:hideMark/>
          </w:tcPr>
          <w:p w14:paraId="18DA4B32"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58.2%</w:t>
            </w:r>
          </w:p>
        </w:tc>
        <w:tc>
          <w:tcPr>
            <w:tcW w:w="960" w:type="dxa"/>
            <w:tcBorders>
              <w:top w:val="nil"/>
              <w:left w:val="nil"/>
              <w:bottom w:val="nil"/>
              <w:right w:val="nil"/>
            </w:tcBorders>
            <w:shd w:val="clear" w:color="000000" w:fill="FFFFFF"/>
            <w:noWrap/>
            <w:vAlign w:val="bottom"/>
            <w:hideMark/>
          </w:tcPr>
          <w:p w14:paraId="09837A3C"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13F504B3"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34.4%</w:t>
            </w:r>
          </w:p>
        </w:tc>
        <w:tc>
          <w:tcPr>
            <w:tcW w:w="960" w:type="dxa"/>
            <w:tcBorders>
              <w:top w:val="nil"/>
              <w:left w:val="single" w:sz="4" w:space="0" w:color="auto"/>
              <w:bottom w:val="nil"/>
              <w:right w:val="nil"/>
            </w:tcBorders>
            <w:shd w:val="clear" w:color="000000" w:fill="FFFFFF"/>
            <w:noWrap/>
            <w:vAlign w:val="bottom"/>
            <w:hideMark/>
          </w:tcPr>
          <w:p w14:paraId="39C203A5"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250</w:t>
            </w:r>
          </w:p>
        </w:tc>
        <w:tc>
          <w:tcPr>
            <w:tcW w:w="960" w:type="dxa"/>
            <w:tcBorders>
              <w:top w:val="nil"/>
              <w:left w:val="nil"/>
              <w:bottom w:val="nil"/>
              <w:right w:val="single" w:sz="4" w:space="0" w:color="auto"/>
            </w:tcBorders>
            <w:shd w:val="clear" w:color="000000" w:fill="FFFFFF"/>
            <w:noWrap/>
            <w:vAlign w:val="bottom"/>
            <w:hideMark/>
          </w:tcPr>
          <w:p w14:paraId="6312A8C1"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50.5%</w:t>
            </w:r>
          </w:p>
        </w:tc>
        <w:tc>
          <w:tcPr>
            <w:tcW w:w="960" w:type="dxa"/>
            <w:tcBorders>
              <w:top w:val="nil"/>
              <w:left w:val="nil"/>
              <w:bottom w:val="nil"/>
              <w:right w:val="nil"/>
            </w:tcBorders>
            <w:shd w:val="clear" w:color="000000" w:fill="FFFFFF"/>
            <w:noWrap/>
            <w:vAlign w:val="bottom"/>
            <w:hideMark/>
          </w:tcPr>
          <w:p w14:paraId="5DE0EFD2"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304</w:t>
            </w:r>
          </w:p>
        </w:tc>
        <w:tc>
          <w:tcPr>
            <w:tcW w:w="960" w:type="dxa"/>
            <w:tcBorders>
              <w:top w:val="nil"/>
              <w:left w:val="nil"/>
              <w:bottom w:val="nil"/>
              <w:right w:val="single" w:sz="4" w:space="0" w:color="auto"/>
            </w:tcBorders>
            <w:shd w:val="clear" w:color="000000" w:fill="FFFFFF"/>
            <w:noWrap/>
            <w:vAlign w:val="bottom"/>
            <w:hideMark/>
          </w:tcPr>
          <w:p w14:paraId="195D20DC"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54.1%</w:t>
            </w:r>
          </w:p>
        </w:tc>
      </w:tr>
      <w:tr w:rsidR="00642A36" w:rsidRPr="007E2527" w14:paraId="496E3578"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4F517D04" w14:textId="77777777" w:rsidR="00642A36" w:rsidRPr="00642A36" w:rsidRDefault="00642A36" w:rsidP="00642A36">
            <w:pPr>
              <w:spacing w:after="0" w:line="240" w:lineRule="auto"/>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0435E1B1"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8</w:t>
            </w:r>
          </w:p>
        </w:tc>
        <w:tc>
          <w:tcPr>
            <w:tcW w:w="960" w:type="dxa"/>
            <w:tcBorders>
              <w:top w:val="nil"/>
              <w:left w:val="nil"/>
              <w:bottom w:val="nil"/>
              <w:right w:val="single" w:sz="4" w:space="0" w:color="auto"/>
            </w:tcBorders>
            <w:shd w:val="clear" w:color="000000" w:fill="FFFFFF"/>
            <w:noWrap/>
            <w:vAlign w:val="bottom"/>
            <w:hideMark/>
          </w:tcPr>
          <w:p w14:paraId="221FF19C"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0.4%</w:t>
            </w:r>
          </w:p>
        </w:tc>
        <w:tc>
          <w:tcPr>
            <w:tcW w:w="960" w:type="dxa"/>
            <w:tcBorders>
              <w:top w:val="nil"/>
              <w:left w:val="nil"/>
              <w:bottom w:val="nil"/>
              <w:right w:val="nil"/>
            </w:tcBorders>
            <w:shd w:val="clear" w:color="000000" w:fill="FFFFFF"/>
            <w:noWrap/>
            <w:vAlign w:val="bottom"/>
            <w:hideMark/>
          </w:tcPr>
          <w:p w14:paraId="3E84AAE4"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29CAFAB"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00BE77F"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73BCCBB4"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CDF9DB2"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9B17F52"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w:t>
            </w:r>
          </w:p>
        </w:tc>
      </w:tr>
      <w:tr w:rsidR="00642A36" w:rsidRPr="007E2527" w14:paraId="1D927778"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24061DC7" w14:textId="77777777" w:rsidR="00642A36" w:rsidRPr="00642A36" w:rsidRDefault="00642A36" w:rsidP="00642A36">
            <w:pPr>
              <w:spacing w:after="0" w:line="240" w:lineRule="auto"/>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9B12553"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938</w:t>
            </w:r>
          </w:p>
        </w:tc>
        <w:tc>
          <w:tcPr>
            <w:tcW w:w="960" w:type="dxa"/>
            <w:tcBorders>
              <w:top w:val="nil"/>
              <w:left w:val="nil"/>
              <w:bottom w:val="nil"/>
              <w:right w:val="single" w:sz="4" w:space="0" w:color="auto"/>
            </w:tcBorders>
            <w:shd w:val="clear" w:color="000000" w:fill="FFFFFF"/>
            <w:noWrap/>
            <w:vAlign w:val="bottom"/>
            <w:hideMark/>
          </w:tcPr>
          <w:p w14:paraId="3BF1A650"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41.4%</w:t>
            </w:r>
          </w:p>
        </w:tc>
        <w:tc>
          <w:tcPr>
            <w:tcW w:w="960" w:type="dxa"/>
            <w:tcBorders>
              <w:top w:val="nil"/>
              <w:left w:val="nil"/>
              <w:bottom w:val="nil"/>
              <w:right w:val="nil"/>
            </w:tcBorders>
            <w:shd w:val="clear" w:color="000000" w:fill="FFFFFF"/>
            <w:noWrap/>
            <w:vAlign w:val="bottom"/>
            <w:hideMark/>
          </w:tcPr>
          <w:p w14:paraId="408617A4"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40</w:t>
            </w:r>
          </w:p>
        </w:tc>
        <w:tc>
          <w:tcPr>
            <w:tcW w:w="960" w:type="dxa"/>
            <w:tcBorders>
              <w:top w:val="nil"/>
              <w:left w:val="nil"/>
              <w:bottom w:val="nil"/>
              <w:right w:val="nil"/>
            </w:tcBorders>
            <w:shd w:val="clear" w:color="000000" w:fill="FFFFFF"/>
            <w:noWrap/>
            <w:vAlign w:val="bottom"/>
            <w:hideMark/>
          </w:tcPr>
          <w:p w14:paraId="7345BA7A"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65.6%</w:t>
            </w:r>
          </w:p>
        </w:tc>
        <w:tc>
          <w:tcPr>
            <w:tcW w:w="960" w:type="dxa"/>
            <w:tcBorders>
              <w:top w:val="nil"/>
              <w:left w:val="single" w:sz="4" w:space="0" w:color="auto"/>
              <w:bottom w:val="nil"/>
              <w:right w:val="nil"/>
            </w:tcBorders>
            <w:shd w:val="clear" w:color="000000" w:fill="FFFFFF"/>
            <w:noWrap/>
            <w:vAlign w:val="bottom"/>
            <w:hideMark/>
          </w:tcPr>
          <w:p w14:paraId="550FDA99"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245</w:t>
            </w:r>
          </w:p>
        </w:tc>
        <w:tc>
          <w:tcPr>
            <w:tcW w:w="960" w:type="dxa"/>
            <w:tcBorders>
              <w:top w:val="nil"/>
              <w:left w:val="nil"/>
              <w:bottom w:val="nil"/>
              <w:right w:val="single" w:sz="4" w:space="0" w:color="auto"/>
            </w:tcBorders>
            <w:shd w:val="clear" w:color="000000" w:fill="FFFFFF"/>
            <w:noWrap/>
            <w:vAlign w:val="bottom"/>
            <w:hideMark/>
          </w:tcPr>
          <w:p w14:paraId="5C41F839"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49.5%</w:t>
            </w:r>
          </w:p>
        </w:tc>
        <w:tc>
          <w:tcPr>
            <w:tcW w:w="960" w:type="dxa"/>
            <w:tcBorders>
              <w:top w:val="nil"/>
              <w:left w:val="nil"/>
              <w:bottom w:val="nil"/>
              <w:right w:val="nil"/>
            </w:tcBorders>
            <w:shd w:val="clear" w:color="000000" w:fill="FFFFFF"/>
            <w:noWrap/>
            <w:vAlign w:val="bottom"/>
            <w:hideMark/>
          </w:tcPr>
          <w:p w14:paraId="69DC77F9"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256</w:t>
            </w:r>
          </w:p>
        </w:tc>
        <w:tc>
          <w:tcPr>
            <w:tcW w:w="960" w:type="dxa"/>
            <w:tcBorders>
              <w:top w:val="nil"/>
              <w:left w:val="nil"/>
              <w:bottom w:val="nil"/>
              <w:right w:val="single" w:sz="4" w:space="0" w:color="auto"/>
            </w:tcBorders>
            <w:shd w:val="clear" w:color="000000" w:fill="FFFFFF"/>
            <w:noWrap/>
            <w:vAlign w:val="bottom"/>
            <w:hideMark/>
          </w:tcPr>
          <w:p w14:paraId="49F3806B" w14:textId="77777777" w:rsidR="00642A36" w:rsidRPr="00642A36" w:rsidRDefault="00642A36" w:rsidP="00642A36">
            <w:pPr>
              <w:spacing w:after="0" w:line="240" w:lineRule="auto"/>
              <w:jc w:val="right"/>
              <w:rPr>
                <w:rFonts w:asciiTheme="minorHAnsi" w:eastAsia="Times New Roman" w:hAnsiTheme="minorHAnsi" w:cs="Times New Roman"/>
                <w:color w:val="000000"/>
                <w:kern w:val="0"/>
                <w:szCs w:val="22"/>
                <w:lang w:eastAsia="en-GB"/>
                <w14:ligatures w14:val="none"/>
              </w:rPr>
            </w:pPr>
            <w:r w:rsidRPr="00642A36">
              <w:rPr>
                <w:rFonts w:asciiTheme="minorHAnsi" w:eastAsia="Times New Roman" w:hAnsiTheme="minorHAnsi" w:cs="Times New Roman"/>
                <w:color w:val="000000"/>
                <w:kern w:val="0"/>
                <w:szCs w:val="22"/>
                <w:lang w:eastAsia="en-GB"/>
                <w14:ligatures w14:val="none"/>
              </w:rPr>
              <w:t>45.6%</w:t>
            </w:r>
          </w:p>
        </w:tc>
      </w:tr>
      <w:tr w:rsidR="00642A36" w:rsidRPr="007E2527" w14:paraId="00464215" w14:textId="77777777" w:rsidTr="00E97FCD">
        <w:trPr>
          <w:trHeight w:val="315"/>
        </w:trPr>
        <w:tc>
          <w:tcPr>
            <w:tcW w:w="4592" w:type="dxa"/>
            <w:tcBorders>
              <w:top w:val="dotted" w:sz="4" w:space="0" w:color="auto"/>
              <w:left w:val="single" w:sz="4" w:space="0" w:color="auto"/>
              <w:bottom w:val="double" w:sz="6" w:space="0" w:color="auto"/>
              <w:right w:val="nil"/>
            </w:tcBorders>
            <w:shd w:val="clear" w:color="000000" w:fill="FFFFFF"/>
            <w:noWrap/>
            <w:vAlign w:val="bottom"/>
            <w:hideMark/>
          </w:tcPr>
          <w:p w14:paraId="16FDEDF8" w14:textId="77777777" w:rsidR="00642A36" w:rsidRPr="00642A36" w:rsidRDefault="00642A36" w:rsidP="00642A36">
            <w:pPr>
              <w:spacing w:after="0" w:line="240" w:lineRule="auto"/>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269EFF7D"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2263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CBC2152"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8572880"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61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2B96494"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D5476CD"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495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C5E8C09"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22F0EF5"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562</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25DB71B" w14:textId="77777777" w:rsidR="00642A36" w:rsidRPr="00642A36" w:rsidRDefault="00642A36" w:rsidP="00642A3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642A36">
              <w:rPr>
                <w:rFonts w:asciiTheme="minorHAnsi" w:eastAsia="Times New Roman" w:hAnsiTheme="minorHAnsi" w:cs="Times New Roman"/>
                <w:b/>
                <w:bCs/>
                <w:color w:val="000000"/>
                <w:kern w:val="0"/>
                <w:szCs w:val="22"/>
                <w:lang w:eastAsia="en-GB"/>
                <w14:ligatures w14:val="none"/>
              </w:rPr>
              <w:t>100%</w:t>
            </w:r>
          </w:p>
        </w:tc>
      </w:tr>
    </w:tbl>
    <w:p w14:paraId="661BB760" w14:textId="77777777" w:rsidR="008576E9" w:rsidRDefault="008576E9" w:rsidP="008576E9">
      <w:pPr>
        <w:rPr>
          <w:rFonts w:asciiTheme="minorHAnsi" w:hAnsiTheme="minorHAnsi"/>
          <w:b/>
          <w:bCs/>
          <w:szCs w:val="22"/>
        </w:rPr>
      </w:pPr>
    </w:p>
    <w:p w14:paraId="470D1A72" w14:textId="77777777" w:rsidR="00E97FCD" w:rsidRPr="007E2527" w:rsidRDefault="00E97FCD" w:rsidP="008576E9">
      <w:pPr>
        <w:rPr>
          <w:rFonts w:asciiTheme="minorHAnsi" w:hAnsiTheme="minorHAnsi"/>
          <w:b/>
          <w:bCs/>
          <w:szCs w:val="22"/>
        </w:rPr>
      </w:pPr>
    </w:p>
    <w:p w14:paraId="2B70A688" w14:textId="4A58897D" w:rsidR="008576E9" w:rsidRPr="007E2527" w:rsidRDefault="00B41BB3" w:rsidP="008576E9">
      <w:pPr>
        <w:pStyle w:val="ListParagraph"/>
        <w:numPr>
          <w:ilvl w:val="2"/>
          <w:numId w:val="11"/>
        </w:numPr>
        <w:rPr>
          <w:rFonts w:asciiTheme="minorHAnsi" w:hAnsiTheme="minorHAnsi"/>
          <w:b/>
          <w:bCs/>
          <w:szCs w:val="22"/>
        </w:rPr>
      </w:pPr>
      <w:r w:rsidRPr="007E2527">
        <w:rPr>
          <w:rFonts w:asciiTheme="minorHAnsi" w:hAnsiTheme="minorHAnsi"/>
          <w:b/>
          <w:bCs/>
          <w:szCs w:val="22"/>
        </w:rPr>
        <w:t>Colleagues on academic contracts (R&amp;I, T&amp;R or T&amp;S) by gender affirmation and contract type, 2025 (n=2,865)</w:t>
      </w:r>
    </w:p>
    <w:tbl>
      <w:tblPr>
        <w:tblW w:w="10352" w:type="dxa"/>
        <w:tblLayout w:type="fixed"/>
        <w:tblLook w:val="04A0" w:firstRow="1" w:lastRow="0" w:firstColumn="1" w:lastColumn="0" w:noHBand="0" w:noVBand="1"/>
      </w:tblPr>
      <w:tblGrid>
        <w:gridCol w:w="4592"/>
        <w:gridCol w:w="960"/>
        <w:gridCol w:w="960"/>
        <w:gridCol w:w="960"/>
        <w:gridCol w:w="960"/>
        <w:gridCol w:w="960"/>
        <w:gridCol w:w="960"/>
      </w:tblGrid>
      <w:tr w:rsidR="00E97FCD" w:rsidRPr="004E2B3A" w14:paraId="6A5F508D" w14:textId="77777777" w:rsidTr="00E97FCD">
        <w:trPr>
          <w:trHeight w:val="300"/>
        </w:trPr>
        <w:tc>
          <w:tcPr>
            <w:tcW w:w="4592" w:type="dxa"/>
            <w:tcBorders>
              <w:top w:val="single" w:sz="4" w:space="0" w:color="auto"/>
              <w:left w:val="single" w:sz="4" w:space="0" w:color="auto"/>
              <w:bottom w:val="nil"/>
              <w:right w:val="nil"/>
            </w:tcBorders>
            <w:shd w:val="clear" w:color="000000" w:fill="FFFFFF"/>
            <w:noWrap/>
            <w:vAlign w:val="bottom"/>
            <w:hideMark/>
          </w:tcPr>
          <w:p w14:paraId="0AC93B7B" w14:textId="77777777" w:rsidR="004E2B3A" w:rsidRPr="004E2B3A" w:rsidRDefault="004E2B3A" w:rsidP="004E2B3A">
            <w:pPr>
              <w:spacing w:after="0" w:line="240" w:lineRule="auto"/>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4FBA58A" w14:textId="77777777" w:rsidR="004E2B3A" w:rsidRPr="004E2B3A" w:rsidRDefault="004E2B3A" w:rsidP="004E2B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R&amp;I</w:t>
            </w:r>
          </w:p>
        </w:tc>
        <w:tc>
          <w:tcPr>
            <w:tcW w:w="1920" w:type="dxa"/>
            <w:gridSpan w:val="2"/>
            <w:tcBorders>
              <w:top w:val="single" w:sz="4" w:space="0" w:color="auto"/>
              <w:left w:val="nil"/>
              <w:bottom w:val="nil"/>
              <w:right w:val="nil"/>
            </w:tcBorders>
            <w:shd w:val="clear" w:color="000000" w:fill="FFFFFF"/>
            <w:noWrap/>
            <w:vAlign w:val="bottom"/>
            <w:hideMark/>
          </w:tcPr>
          <w:p w14:paraId="250A8064" w14:textId="77777777" w:rsidR="004E2B3A" w:rsidRPr="004E2B3A" w:rsidRDefault="004E2B3A" w:rsidP="004E2B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T&amp;R</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EEC4D54" w14:textId="77777777" w:rsidR="004E2B3A" w:rsidRPr="004E2B3A" w:rsidRDefault="004E2B3A" w:rsidP="004E2B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T&amp;S</w:t>
            </w:r>
          </w:p>
        </w:tc>
      </w:tr>
      <w:tr w:rsidR="004E2B3A" w:rsidRPr="007E2527" w14:paraId="7A76AF92" w14:textId="77777777" w:rsidTr="00E97FCD">
        <w:trPr>
          <w:trHeight w:val="300"/>
        </w:trPr>
        <w:tc>
          <w:tcPr>
            <w:tcW w:w="4592" w:type="dxa"/>
            <w:tcBorders>
              <w:top w:val="nil"/>
              <w:left w:val="single" w:sz="4" w:space="0" w:color="auto"/>
              <w:bottom w:val="single" w:sz="4" w:space="0" w:color="auto"/>
              <w:right w:val="nil"/>
            </w:tcBorders>
            <w:shd w:val="clear" w:color="000000" w:fill="FFFFFF"/>
            <w:noWrap/>
            <w:vAlign w:val="bottom"/>
            <w:hideMark/>
          </w:tcPr>
          <w:p w14:paraId="65A22489" w14:textId="77777777" w:rsidR="004E2B3A" w:rsidRPr="004E2B3A" w:rsidRDefault="004E2B3A" w:rsidP="004E2B3A">
            <w:pPr>
              <w:spacing w:after="0" w:line="240" w:lineRule="auto"/>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18608A84" w14:textId="77777777" w:rsidR="004E2B3A" w:rsidRPr="004E2B3A" w:rsidRDefault="004E2B3A" w:rsidP="004E2B3A">
            <w:pPr>
              <w:spacing w:after="0" w:line="240" w:lineRule="auto"/>
              <w:jc w:val="center"/>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AAEAF43" w14:textId="77777777" w:rsidR="004E2B3A" w:rsidRPr="004E2B3A" w:rsidRDefault="004E2B3A" w:rsidP="004E2B3A">
            <w:pPr>
              <w:spacing w:after="0" w:line="240" w:lineRule="auto"/>
              <w:jc w:val="center"/>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A8677DB" w14:textId="77777777" w:rsidR="004E2B3A" w:rsidRPr="004E2B3A" w:rsidRDefault="004E2B3A" w:rsidP="004E2B3A">
            <w:pPr>
              <w:spacing w:after="0" w:line="240" w:lineRule="auto"/>
              <w:jc w:val="center"/>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3B0D039" w14:textId="77777777" w:rsidR="004E2B3A" w:rsidRPr="004E2B3A" w:rsidRDefault="004E2B3A" w:rsidP="004E2B3A">
            <w:pPr>
              <w:spacing w:after="0" w:line="240" w:lineRule="auto"/>
              <w:jc w:val="center"/>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130CF02" w14:textId="77777777" w:rsidR="004E2B3A" w:rsidRPr="004E2B3A" w:rsidRDefault="004E2B3A" w:rsidP="004E2B3A">
            <w:pPr>
              <w:spacing w:after="0" w:line="240" w:lineRule="auto"/>
              <w:jc w:val="center"/>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8825153" w14:textId="77777777" w:rsidR="004E2B3A" w:rsidRPr="004E2B3A" w:rsidRDefault="004E2B3A" w:rsidP="004E2B3A">
            <w:pPr>
              <w:spacing w:after="0" w:line="240" w:lineRule="auto"/>
              <w:jc w:val="center"/>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w:t>
            </w:r>
          </w:p>
        </w:tc>
      </w:tr>
      <w:tr w:rsidR="004E2B3A" w:rsidRPr="007E2527" w14:paraId="0B64752C"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363A6CC0" w14:textId="77777777" w:rsidR="004E2B3A" w:rsidRPr="004E2B3A" w:rsidRDefault="004E2B3A" w:rsidP="004E2B3A">
            <w:pPr>
              <w:spacing w:after="0" w:line="240" w:lineRule="auto"/>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7A6ACD33"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672</w:t>
            </w:r>
          </w:p>
        </w:tc>
        <w:tc>
          <w:tcPr>
            <w:tcW w:w="960" w:type="dxa"/>
            <w:tcBorders>
              <w:top w:val="nil"/>
              <w:left w:val="nil"/>
              <w:bottom w:val="nil"/>
              <w:right w:val="single" w:sz="4" w:space="0" w:color="auto"/>
            </w:tcBorders>
            <w:shd w:val="clear" w:color="000000" w:fill="FFFFFF"/>
            <w:noWrap/>
            <w:vAlign w:val="bottom"/>
            <w:hideMark/>
          </w:tcPr>
          <w:p w14:paraId="6E4F1A5B"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66.7%</w:t>
            </w:r>
          </w:p>
        </w:tc>
        <w:tc>
          <w:tcPr>
            <w:tcW w:w="960" w:type="dxa"/>
            <w:tcBorders>
              <w:top w:val="nil"/>
              <w:left w:val="nil"/>
              <w:bottom w:val="nil"/>
              <w:right w:val="nil"/>
            </w:tcBorders>
            <w:shd w:val="clear" w:color="000000" w:fill="FFFFFF"/>
            <w:noWrap/>
            <w:vAlign w:val="bottom"/>
            <w:hideMark/>
          </w:tcPr>
          <w:p w14:paraId="6BB30693"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562</w:t>
            </w:r>
          </w:p>
        </w:tc>
        <w:tc>
          <w:tcPr>
            <w:tcW w:w="960" w:type="dxa"/>
            <w:tcBorders>
              <w:top w:val="nil"/>
              <w:left w:val="nil"/>
              <w:bottom w:val="nil"/>
              <w:right w:val="nil"/>
            </w:tcBorders>
            <w:shd w:val="clear" w:color="000000" w:fill="FFFFFF"/>
            <w:noWrap/>
            <w:vAlign w:val="bottom"/>
            <w:hideMark/>
          </w:tcPr>
          <w:p w14:paraId="4E10166F"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39.9%</w:t>
            </w:r>
          </w:p>
        </w:tc>
        <w:tc>
          <w:tcPr>
            <w:tcW w:w="960" w:type="dxa"/>
            <w:tcBorders>
              <w:top w:val="nil"/>
              <w:left w:val="single" w:sz="4" w:space="0" w:color="auto"/>
              <w:bottom w:val="nil"/>
              <w:right w:val="nil"/>
            </w:tcBorders>
            <w:shd w:val="clear" w:color="000000" w:fill="FFFFFF"/>
            <w:noWrap/>
            <w:vAlign w:val="bottom"/>
            <w:hideMark/>
          </w:tcPr>
          <w:p w14:paraId="5A3982DB"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213</w:t>
            </w:r>
          </w:p>
        </w:tc>
        <w:tc>
          <w:tcPr>
            <w:tcW w:w="960" w:type="dxa"/>
            <w:tcBorders>
              <w:top w:val="nil"/>
              <w:left w:val="nil"/>
              <w:bottom w:val="nil"/>
              <w:right w:val="single" w:sz="4" w:space="0" w:color="auto"/>
            </w:tcBorders>
            <w:shd w:val="clear" w:color="000000" w:fill="FFFFFF"/>
            <w:noWrap/>
            <w:vAlign w:val="bottom"/>
            <w:hideMark/>
          </w:tcPr>
          <w:p w14:paraId="6B5DDFED"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47.2%</w:t>
            </w:r>
          </w:p>
        </w:tc>
      </w:tr>
      <w:tr w:rsidR="004E2B3A" w:rsidRPr="007E2527" w14:paraId="0A7045B4"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27EFC605" w14:textId="77777777" w:rsidR="004E2B3A" w:rsidRPr="004E2B3A" w:rsidRDefault="004E2B3A" w:rsidP="004E2B3A">
            <w:pPr>
              <w:spacing w:after="0" w:line="240" w:lineRule="auto"/>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348C67A9"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971A0EE"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7377877"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56155B4D"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0C5C6C4C"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0B3527C"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 </w:t>
            </w:r>
          </w:p>
        </w:tc>
      </w:tr>
      <w:tr w:rsidR="004E2B3A" w:rsidRPr="007E2527" w14:paraId="4283BA43"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102EB806" w14:textId="77777777" w:rsidR="004E2B3A" w:rsidRPr="004E2B3A" w:rsidRDefault="004E2B3A" w:rsidP="004E2B3A">
            <w:pPr>
              <w:spacing w:after="0" w:line="240" w:lineRule="auto"/>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B568968"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332</w:t>
            </w:r>
          </w:p>
        </w:tc>
        <w:tc>
          <w:tcPr>
            <w:tcW w:w="960" w:type="dxa"/>
            <w:tcBorders>
              <w:top w:val="nil"/>
              <w:left w:val="nil"/>
              <w:bottom w:val="nil"/>
              <w:right w:val="single" w:sz="4" w:space="0" w:color="auto"/>
            </w:tcBorders>
            <w:shd w:val="clear" w:color="000000" w:fill="FFFFFF"/>
            <w:noWrap/>
            <w:vAlign w:val="bottom"/>
            <w:hideMark/>
          </w:tcPr>
          <w:p w14:paraId="71E242B4"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33.0%</w:t>
            </w:r>
          </w:p>
        </w:tc>
        <w:tc>
          <w:tcPr>
            <w:tcW w:w="960" w:type="dxa"/>
            <w:tcBorders>
              <w:top w:val="nil"/>
              <w:left w:val="nil"/>
              <w:bottom w:val="nil"/>
              <w:right w:val="nil"/>
            </w:tcBorders>
            <w:shd w:val="clear" w:color="000000" w:fill="FFFFFF"/>
            <w:noWrap/>
            <w:vAlign w:val="bottom"/>
            <w:hideMark/>
          </w:tcPr>
          <w:p w14:paraId="1025F133"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842</w:t>
            </w:r>
          </w:p>
        </w:tc>
        <w:tc>
          <w:tcPr>
            <w:tcW w:w="960" w:type="dxa"/>
            <w:tcBorders>
              <w:top w:val="nil"/>
              <w:left w:val="nil"/>
              <w:bottom w:val="nil"/>
              <w:right w:val="nil"/>
            </w:tcBorders>
            <w:shd w:val="clear" w:color="000000" w:fill="FFFFFF"/>
            <w:noWrap/>
            <w:vAlign w:val="bottom"/>
            <w:hideMark/>
          </w:tcPr>
          <w:p w14:paraId="1AA2E41B"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59.8%</w:t>
            </w:r>
          </w:p>
        </w:tc>
        <w:tc>
          <w:tcPr>
            <w:tcW w:w="960" w:type="dxa"/>
            <w:tcBorders>
              <w:top w:val="nil"/>
              <w:left w:val="single" w:sz="4" w:space="0" w:color="auto"/>
              <w:bottom w:val="nil"/>
              <w:right w:val="nil"/>
            </w:tcBorders>
            <w:shd w:val="clear" w:color="000000" w:fill="FFFFFF"/>
            <w:noWrap/>
            <w:vAlign w:val="bottom"/>
            <w:hideMark/>
          </w:tcPr>
          <w:p w14:paraId="7615AA96"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238</w:t>
            </w:r>
          </w:p>
        </w:tc>
        <w:tc>
          <w:tcPr>
            <w:tcW w:w="960" w:type="dxa"/>
            <w:tcBorders>
              <w:top w:val="nil"/>
              <w:left w:val="nil"/>
              <w:bottom w:val="nil"/>
              <w:right w:val="single" w:sz="4" w:space="0" w:color="auto"/>
            </w:tcBorders>
            <w:shd w:val="clear" w:color="000000" w:fill="FFFFFF"/>
            <w:noWrap/>
            <w:vAlign w:val="bottom"/>
            <w:hideMark/>
          </w:tcPr>
          <w:p w14:paraId="383E20F9" w14:textId="77777777" w:rsidR="004E2B3A" w:rsidRPr="004E2B3A" w:rsidRDefault="004E2B3A" w:rsidP="004E2B3A">
            <w:pPr>
              <w:spacing w:after="0" w:line="240" w:lineRule="auto"/>
              <w:jc w:val="right"/>
              <w:rPr>
                <w:rFonts w:asciiTheme="minorHAnsi" w:eastAsia="Times New Roman" w:hAnsiTheme="minorHAnsi" w:cs="Times New Roman"/>
                <w:color w:val="000000"/>
                <w:kern w:val="0"/>
                <w:szCs w:val="22"/>
                <w:lang w:eastAsia="en-GB"/>
                <w14:ligatures w14:val="none"/>
              </w:rPr>
            </w:pPr>
            <w:r w:rsidRPr="004E2B3A">
              <w:rPr>
                <w:rFonts w:asciiTheme="minorHAnsi" w:eastAsia="Times New Roman" w:hAnsiTheme="minorHAnsi" w:cs="Times New Roman"/>
                <w:color w:val="000000"/>
                <w:kern w:val="0"/>
                <w:szCs w:val="22"/>
                <w:lang w:eastAsia="en-GB"/>
                <w14:ligatures w14:val="none"/>
              </w:rPr>
              <w:t>52.8%</w:t>
            </w:r>
          </w:p>
        </w:tc>
      </w:tr>
      <w:tr w:rsidR="004E2B3A" w:rsidRPr="007E2527" w14:paraId="206113DC" w14:textId="77777777" w:rsidTr="00E97FCD">
        <w:trPr>
          <w:trHeight w:val="315"/>
        </w:trPr>
        <w:tc>
          <w:tcPr>
            <w:tcW w:w="4592" w:type="dxa"/>
            <w:tcBorders>
              <w:top w:val="dotted" w:sz="4" w:space="0" w:color="auto"/>
              <w:left w:val="single" w:sz="4" w:space="0" w:color="auto"/>
              <w:bottom w:val="double" w:sz="6" w:space="0" w:color="auto"/>
              <w:right w:val="nil"/>
            </w:tcBorders>
            <w:shd w:val="clear" w:color="000000" w:fill="FFFFFF"/>
            <w:noWrap/>
            <w:vAlign w:val="bottom"/>
            <w:hideMark/>
          </w:tcPr>
          <w:p w14:paraId="528D72F5" w14:textId="77777777" w:rsidR="004E2B3A" w:rsidRPr="004E2B3A" w:rsidRDefault="004E2B3A" w:rsidP="004E2B3A">
            <w:pPr>
              <w:spacing w:after="0" w:line="240" w:lineRule="auto"/>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77FF9F2" w14:textId="77777777" w:rsidR="004E2B3A" w:rsidRPr="004E2B3A" w:rsidRDefault="004E2B3A" w:rsidP="004E2B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1007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3A483B2" w14:textId="77777777" w:rsidR="004E2B3A" w:rsidRPr="004E2B3A" w:rsidRDefault="004E2B3A" w:rsidP="004E2B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95D01C7" w14:textId="77777777" w:rsidR="004E2B3A" w:rsidRPr="004E2B3A" w:rsidRDefault="004E2B3A" w:rsidP="004E2B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1407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01A1F64" w14:textId="77777777" w:rsidR="004E2B3A" w:rsidRPr="004E2B3A" w:rsidRDefault="004E2B3A" w:rsidP="004E2B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532E89E" w14:textId="77777777" w:rsidR="004E2B3A" w:rsidRPr="004E2B3A" w:rsidRDefault="004E2B3A" w:rsidP="004E2B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451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D12AC1A" w14:textId="77777777" w:rsidR="004E2B3A" w:rsidRPr="004E2B3A" w:rsidRDefault="004E2B3A" w:rsidP="004E2B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E2B3A">
              <w:rPr>
                <w:rFonts w:asciiTheme="minorHAnsi" w:eastAsia="Times New Roman" w:hAnsiTheme="minorHAnsi" w:cs="Times New Roman"/>
                <w:b/>
                <w:bCs/>
                <w:color w:val="000000"/>
                <w:kern w:val="0"/>
                <w:szCs w:val="22"/>
                <w:lang w:eastAsia="en-GB"/>
                <w14:ligatures w14:val="none"/>
              </w:rPr>
              <w:t>100%</w:t>
            </w:r>
          </w:p>
        </w:tc>
      </w:tr>
    </w:tbl>
    <w:p w14:paraId="1881647F" w14:textId="321500D7" w:rsidR="00B41BB3" w:rsidRPr="007E2527" w:rsidRDefault="00B41BB3" w:rsidP="00B41BB3">
      <w:pPr>
        <w:rPr>
          <w:rFonts w:asciiTheme="minorHAnsi" w:hAnsiTheme="minorHAnsi"/>
          <w:b/>
          <w:bCs/>
          <w:szCs w:val="22"/>
        </w:rPr>
      </w:pPr>
    </w:p>
    <w:p w14:paraId="5992FFDA" w14:textId="05DCE889" w:rsidR="00B364B9" w:rsidRPr="007E2527" w:rsidRDefault="003C2548" w:rsidP="00B41BB3">
      <w:pPr>
        <w:rPr>
          <w:rFonts w:asciiTheme="minorHAnsi" w:hAnsiTheme="minorHAnsi"/>
          <w:szCs w:val="22"/>
        </w:rPr>
      </w:pPr>
      <w:r w:rsidRPr="007E2527">
        <w:rPr>
          <w:rFonts w:asciiTheme="minorHAnsi" w:hAnsiTheme="minorHAnsi"/>
          <w:szCs w:val="22"/>
        </w:rPr>
        <w:t>Note. There are 9 PS colleagues on T&amp;R contracts included in these numbers.</w:t>
      </w:r>
    </w:p>
    <w:p w14:paraId="0AC25204" w14:textId="77777777" w:rsidR="00642A36" w:rsidRPr="007E2527" w:rsidRDefault="00642A36" w:rsidP="00B41BB3">
      <w:pPr>
        <w:rPr>
          <w:rFonts w:asciiTheme="minorHAnsi" w:hAnsiTheme="minorHAnsi"/>
          <w:szCs w:val="22"/>
        </w:rPr>
      </w:pPr>
    </w:p>
    <w:p w14:paraId="066C7654" w14:textId="77777777" w:rsidR="0010426E" w:rsidRPr="007E2527" w:rsidRDefault="0010426E" w:rsidP="00B41BB3">
      <w:pPr>
        <w:rPr>
          <w:rFonts w:asciiTheme="minorHAnsi" w:hAnsiTheme="minorHAnsi"/>
          <w:szCs w:val="22"/>
        </w:rPr>
      </w:pPr>
    </w:p>
    <w:p w14:paraId="5A4BA64B" w14:textId="77777777" w:rsidR="0010426E" w:rsidRPr="007E2527" w:rsidRDefault="0010426E" w:rsidP="00B41BB3">
      <w:pPr>
        <w:rPr>
          <w:rFonts w:asciiTheme="minorHAnsi" w:hAnsiTheme="minorHAnsi"/>
          <w:szCs w:val="22"/>
        </w:rPr>
      </w:pPr>
    </w:p>
    <w:p w14:paraId="1F6D0BD2" w14:textId="77777777" w:rsidR="0010426E" w:rsidRPr="007E2527" w:rsidRDefault="0010426E" w:rsidP="00B41BB3">
      <w:pPr>
        <w:rPr>
          <w:rFonts w:asciiTheme="minorHAnsi" w:hAnsiTheme="minorHAnsi"/>
          <w:szCs w:val="22"/>
        </w:rPr>
      </w:pPr>
    </w:p>
    <w:p w14:paraId="299E7264" w14:textId="77777777" w:rsidR="0010426E" w:rsidRPr="007E2527" w:rsidRDefault="0010426E" w:rsidP="00B41BB3">
      <w:pPr>
        <w:rPr>
          <w:rFonts w:asciiTheme="minorHAnsi" w:hAnsiTheme="minorHAnsi"/>
          <w:szCs w:val="22"/>
        </w:rPr>
      </w:pPr>
    </w:p>
    <w:p w14:paraId="082609E7" w14:textId="5CE2D47A" w:rsidR="00B41BB3" w:rsidRPr="007E2527" w:rsidRDefault="00B41BB3" w:rsidP="00B41BB3">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gender affirmation, and occupation, 2025 (N=6,241)</w:t>
      </w:r>
    </w:p>
    <w:tbl>
      <w:tblPr>
        <w:tblW w:w="10636" w:type="dxa"/>
        <w:tblLayout w:type="fixed"/>
        <w:tblLook w:val="04A0" w:firstRow="1" w:lastRow="0" w:firstColumn="1" w:lastColumn="0" w:noHBand="0" w:noVBand="1"/>
      </w:tblPr>
      <w:tblGrid>
        <w:gridCol w:w="4876"/>
        <w:gridCol w:w="960"/>
        <w:gridCol w:w="960"/>
        <w:gridCol w:w="960"/>
        <w:gridCol w:w="960"/>
        <w:gridCol w:w="960"/>
        <w:gridCol w:w="960"/>
      </w:tblGrid>
      <w:tr w:rsidR="00C74E7E" w:rsidRPr="00C74E7E" w14:paraId="6D4446CE" w14:textId="77777777" w:rsidTr="00E97FCD">
        <w:trPr>
          <w:trHeight w:val="300"/>
        </w:trPr>
        <w:tc>
          <w:tcPr>
            <w:tcW w:w="4876" w:type="dxa"/>
            <w:tcBorders>
              <w:top w:val="single" w:sz="4" w:space="0" w:color="auto"/>
              <w:left w:val="single" w:sz="4" w:space="0" w:color="auto"/>
              <w:bottom w:val="nil"/>
              <w:right w:val="nil"/>
            </w:tcBorders>
            <w:shd w:val="clear" w:color="000000" w:fill="FFFFFF"/>
            <w:noWrap/>
            <w:vAlign w:val="bottom"/>
            <w:hideMark/>
          </w:tcPr>
          <w:p w14:paraId="50BD6913"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D74E53B" w14:textId="77777777" w:rsidR="00C74E7E" w:rsidRPr="00C74E7E" w:rsidRDefault="00C74E7E" w:rsidP="00C74E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nil"/>
            </w:tcBorders>
            <w:shd w:val="clear" w:color="000000" w:fill="FFFFFF"/>
            <w:noWrap/>
            <w:vAlign w:val="bottom"/>
            <w:hideMark/>
          </w:tcPr>
          <w:p w14:paraId="588ACE6A" w14:textId="77777777" w:rsidR="00C74E7E" w:rsidRPr="00C74E7E" w:rsidRDefault="00C74E7E" w:rsidP="00C74E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01DAB5F" w14:textId="77777777" w:rsidR="00C74E7E" w:rsidRPr="00C74E7E" w:rsidRDefault="00C74E7E" w:rsidP="00C74E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PS</w:t>
            </w:r>
          </w:p>
        </w:tc>
      </w:tr>
      <w:tr w:rsidR="00E97FCD" w:rsidRPr="00C74E7E" w14:paraId="1BDF0C64" w14:textId="77777777" w:rsidTr="00E97FCD">
        <w:trPr>
          <w:trHeight w:val="300"/>
        </w:trPr>
        <w:tc>
          <w:tcPr>
            <w:tcW w:w="4876" w:type="dxa"/>
            <w:tcBorders>
              <w:top w:val="nil"/>
              <w:left w:val="single" w:sz="4" w:space="0" w:color="auto"/>
              <w:bottom w:val="single" w:sz="4" w:space="0" w:color="auto"/>
              <w:right w:val="nil"/>
            </w:tcBorders>
            <w:shd w:val="clear" w:color="000000" w:fill="FFFFFF"/>
            <w:noWrap/>
            <w:vAlign w:val="bottom"/>
            <w:hideMark/>
          </w:tcPr>
          <w:p w14:paraId="6F5D513B" w14:textId="77777777" w:rsidR="00C74E7E" w:rsidRPr="00C74E7E" w:rsidRDefault="00C74E7E" w:rsidP="00C74E7E">
            <w:pPr>
              <w:spacing w:after="0" w:line="240" w:lineRule="auto"/>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6A024323"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3D6758C"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56861EA"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108110C6"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426D2956"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0D7A4ED"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r>
      <w:tr w:rsidR="00E97FCD" w:rsidRPr="00C74E7E" w14:paraId="4432B4E3"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56EB0835"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C74E7E">
              <w:rPr>
                <w:rFonts w:asciiTheme="minorHAnsi" w:eastAsia="Times New Roman" w:hAnsiTheme="minorHAnsi" w:cs="Times New Roman"/>
                <w:b/>
                <w:bCs/>
                <w:color w:val="000000"/>
                <w:kern w:val="0"/>
                <w:szCs w:val="22"/>
                <w:lang w:eastAsia="en-GB"/>
                <w14:ligatures w14:val="none"/>
              </w:rPr>
              <w:t>HaSS</w:t>
            </w:r>
            <w:proofErr w:type="spellEnd"/>
          </w:p>
        </w:tc>
        <w:tc>
          <w:tcPr>
            <w:tcW w:w="960" w:type="dxa"/>
            <w:tcBorders>
              <w:top w:val="nil"/>
              <w:left w:val="single" w:sz="4" w:space="0" w:color="auto"/>
              <w:bottom w:val="nil"/>
              <w:right w:val="nil"/>
            </w:tcBorders>
            <w:shd w:val="clear" w:color="000000" w:fill="FFFFFF"/>
            <w:noWrap/>
            <w:vAlign w:val="bottom"/>
            <w:hideMark/>
          </w:tcPr>
          <w:p w14:paraId="11A6B5B8"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809</w:t>
            </w:r>
          </w:p>
        </w:tc>
        <w:tc>
          <w:tcPr>
            <w:tcW w:w="960" w:type="dxa"/>
            <w:tcBorders>
              <w:top w:val="nil"/>
              <w:left w:val="nil"/>
              <w:bottom w:val="nil"/>
              <w:right w:val="single" w:sz="4" w:space="0" w:color="auto"/>
            </w:tcBorders>
            <w:shd w:val="clear" w:color="000000" w:fill="FFFFFF"/>
            <w:noWrap/>
            <w:vAlign w:val="bottom"/>
            <w:hideMark/>
          </w:tcPr>
          <w:p w14:paraId="43960CDD"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nil"/>
              <w:bottom w:val="nil"/>
              <w:right w:val="nil"/>
            </w:tcBorders>
            <w:shd w:val="clear" w:color="000000" w:fill="FFFFFF"/>
            <w:noWrap/>
            <w:vAlign w:val="bottom"/>
            <w:hideMark/>
          </w:tcPr>
          <w:p w14:paraId="6E785CE3"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89</w:t>
            </w:r>
          </w:p>
        </w:tc>
        <w:tc>
          <w:tcPr>
            <w:tcW w:w="960" w:type="dxa"/>
            <w:tcBorders>
              <w:top w:val="nil"/>
              <w:left w:val="nil"/>
              <w:bottom w:val="nil"/>
              <w:right w:val="nil"/>
            </w:tcBorders>
            <w:shd w:val="clear" w:color="000000" w:fill="FFFFFF"/>
            <w:noWrap/>
            <w:vAlign w:val="bottom"/>
            <w:hideMark/>
          </w:tcPr>
          <w:p w14:paraId="1A90722B"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single" w:sz="4" w:space="0" w:color="auto"/>
              <w:bottom w:val="nil"/>
              <w:right w:val="nil"/>
            </w:tcBorders>
            <w:shd w:val="clear" w:color="000000" w:fill="FFFFFF"/>
            <w:noWrap/>
            <w:vAlign w:val="bottom"/>
            <w:hideMark/>
          </w:tcPr>
          <w:p w14:paraId="32789F48"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297</w:t>
            </w:r>
          </w:p>
        </w:tc>
        <w:tc>
          <w:tcPr>
            <w:tcW w:w="960" w:type="dxa"/>
            <w:tcBorders>
              <w:top w:val="nil"/>
              <w:left w:val="nil"/>
              <w:bottom w:val="nil"/>
              <w:right w:val="single" w:sz="4" w:space="0" w:color="auto"/>
            </w:tcBorders>
            <w:shd w:val="clear" w:color="000000" w:fill="FFFFFF"/>
            <w:noWrap/>
            <w:vAlign w:val="bottom"/>
            <w:hideMark/>
          </w:tcPr>
          <w:p w14:paraId="588367D1"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r>
      <w:tr w:rsidR="00E97FCD" w:rsidRPr="00C74E7E" w14:paraId="6915D06A"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68523AE2"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35A9E8D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319</w:t>
            </w:r>
          </w:p>
        </w:tc>
        <w:tc>
          <w:tcPr>
            <w:tcW w:w="960" w:type="dxa"/>
            <w:tcBorders>
              <w:top w:val="nil"/>
              <w:left w:val="nil"/>
              <w:bottom w:val="nil"/>
              <w:right w:val="single" w:sz="4" w:space="0" w:color="auto"/>
            </w:tcBorders>
            <w:shd w:val="clear" w:color="000000" w:fill="FFFFFF"/>
            <w:noWrap/>
            <w:vAlign w:val="bottom"/>
            <w:hideMark/>
          </w:tcPr>
          <w:p w14:paraId="52553EF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39.4%</w:t>
            </w:r>
          </w:p>
        </w:tc>
        <w:tc>
          <w:tcPr>
            <w:tcW w:w="960" w:type="dxa"/>
            <w:tcBorders>
              <w:top w:val="nil"/>
              <w:left w:val="nil"/>
              <w:bottom w:val="nil"/>
              <w:right w:val="nil"/>
            </w:tcBorders>
            <w:shd w:val="clear" w:color="000000" w:fill="FFFFFF"/>
            <w:noWrap/>
            <w:vAlign w:val="bottom"/>
            <w:hideMark/>
          </w:tcPr>
          <w:p w14:paraId="2B5C730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57</w:t>
            </w:r>
          </w:p>
        </w:tc>
        <w:tc>
          <w:tcPr>
            <w:tcW w:w="960" w:type="dxa"/>
            <w:tcBorders>
              <w:top w:val="nil"/>
              <w:left w:val="nil"/>
              <w:bottom w:val="nil"/>
              <w:right w:val="nil"/>
            </w:tcBorders>
            <w:shd w:val="clear" w:color="000000" w:fill="FFFFFF"/>
            <w:noWrap/>
            <w:vAlign w:val="bottom"/>
            <w:hideMark/>
          </w:tcPr>
          <w:p w14:paraId="14B688DA"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64.0%</w:t>
            </w:r>
          </w:p>
        </w:tc>
        <w:tc>
          <w:tcPr>
            <w:tcW w:w="960" w:type="dxa"/>
            <w:tcBorders>
              <w:top w:val="nil"/>
              <w:left w:val="single" w:sz="4" w:space="0" w:color="auto"/>
              <w:bottom w:val="nil"/>
              <w:right w:val="nil"/>
            </w:tcBorders>
            <w:shd w:val="clear" w:color="000000" w:fill="FFFFFF"/>
            <w:noWrap/>
            <w:vAlign w:val="bottom"/>
            <w:hideMark/>
          </w:tcPr>
          <w:p w14:paraId="39ACBF7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181</w:t>
            </w:r>
          </w:p>
        </w:tc>
        <w:tc>
          <w:tcPr>
            <w:tcW w:w="960" w:type="dxa"/>
            <w:tcBorders>
              <w:top w:val="nil"/>
              <w:left w:val="nil"/>
              <w:bottom w:val="nil"/>
              <w:right w:val="single" w:sz="4" w:space="0" w:color="auto"/>
            </w:tcBorders>
            <w:shd w:val="clear" w:color="000000" w:fill="FFFFFF"/>
            <w:noWrap/>
            <w:vAlign w:val="bottom"/>
            <w:hideMark/>
          </w:tcPr>
          <w:p w14:paraId="333A929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60.9%</w:t>
            </w:r>
          </w:p>
        </w:tc>
      </w:tr>
      <w:tr w:rsidR="00E97FCD" w:rsidRPr="00C74E7E" w14:paraId="3BF4AACB"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04E9697F"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0980F1B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2C51B39"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EB22037"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228AB4E6"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3E4AAA0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168C90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r>
      <w:tr w:rsidR="00E97FCD" w:rsidRPr="00C74E7E" w14:paraId="01336612"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34490FC1"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71EE291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489</w:t>
            </w:r>
          </w:p>
        </w:tc>
        <w:tc>
          <w:tcPr>
            <w:tcW w:w="960" w:type="dxa"/>
            <w:tcBorders>
              <w:top w:val="nil"/>
              <w:left w:val="nil"/>
              <w:bottom w:val="nil"/>
              <w:right w:val="single" w:sz="4" w:space="0" w:color="auto"/>
            </w:tcBorders>
            <w:shd w:val="clear" w:color="000000" w:fill="FFFFFF"/>
            <w:noWrap/>
            <w:vAlign w:val="bottom"/>
            <w:hideMark/>
          </w:tcPr>
          <w:p w14:paraId="58AA55BA"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60.4%</w:t>
            </w:r>
          </w:p>
        </w:tc>
        <w:tc>
          <w:tcPr>
            <w:tcW w:w="960" w:type="dxa"/>
            <w:tcBorders>
              <w:top w:val="nil"/>
              <w:left w:val="nil"/>
              <w:bottom w:val="nil"/>
              <w:right w:val="nil"/>
            </w:tcBorders>
            <w:shd w:val="clear" w:color="000000" w:fill="FFFFFF"/>
            <w:noWrap/>
            <w:vAlign w:val="bottom"/>
            <w:hideMark/>
          </w:tcPr>
          <w:p w14:paraId="19A7B7C9"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31</w:t>
            </w:r>
          </w:p>
        </w:tc>
        <w:tc>
          <w:tcPr>
            <w:tcW w:w="960" w:type="dxa"/>
            <w:tcBorders>
              <w:top w:val="nil"/>
              <w:left w:val="nil"/>
              <w:bottom w:val="nil"/>
              <w:right w:val="nil"/>
            </w:tcBorders>
            <w:shd w:val="clear" w:color="000000" w:fill="FFFFFF"/>
            <w:noWrap/>
            <w:vAlign w:val="bottom"/>
            <w:hideMark/>
          </w:tcPr>
          <w:p w14:paraId="52424D1F"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34.8%</w:t>
            </w:r>
          </w:p>
        </w:tc>
        <w:tc>
          <w:tcPr>
            <w:tcW w:w="960" w:type="dxa"/>
            <w:tcBorders>
              <w:top w:val="nil"/>
              <w:left w:val="single" w:sz="4" w:space="0" w:color="auto"/>
              <w:bottom w:val="nil"/>
              <w:right w:val="nil"/>
            </w:tcBorders>
            <w:shd w:val="clear" w:color="000000" w:fill="FFFFFF"/>
            <w:noWrap/>
            <w:vAlign w:val="bottom"/>
            <w:hideMark/>
          </w:tcPr>
          <w:p w14:paraId="5495737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115</w:t>
            </w:r>
          </w:p>
        </w:tc>
        <w:tc>
          <w:tcPr>
            <w:tcW w:w="960" w:type="dxa"/>
            <w:tcBorders>
              <w:top w:val="nil"/>
              <w:left w:val="nil"/>
              <w:bottom w:val="nil"/>
              <w:right w:val="single" w:sz="4" w:space="0" w:color="auto"/>
            </w:tcBorders>
            <w:shd w:val="clear" w:color="000000" w:fill="FFFFFF"/>
            <w:noWrap/>
            <w:vAlign w:val="bottom"/>
            <w:hideMark/>
          </w:tcPr>
          <w:p w14:paraId="047B172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38.7%</w:t>
            </w:r>
          </w:p>
        </w:tc>
      </w:tr>
      <w:tr w:rsidR="00E97FCD" w:rsidRPr="00C74E7E" w14:paraId="3BF35F93" w14:textId="77777777" w:rsidTr="00E97FCD">
        <w:trPr>
          <w:trHeight w:val="300"/>
        </w:trPr>
        <w:tc>
          <w:tcPr>
            <w:tcW w:w="4876" w:type="dxa"/>
            <w:tcBorders>
              <w:top w:val="dotted" w:sz="4" w:space="0" w:color="auto"/>
              <w:left w:val="single" w:sz="4" w:space="0" w:color="auto"/>
              <w:bottom w:val="nil"/>
              <w:right w:val="nil"/>
            </w:tcBorders>
            <w:shd w:val="clear" w:color="000000" w:fill="FFFFFF"/>
            <w:noWrap/>
            <w:vAlign w:val="bottom"/>
            <w:hideMark/>
          </w:tcPr>
          <w:p w14:paraId="2BDF778A"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FMS</w:t>
            </w:r>
          </w:p>
        </w:tc>
        <w:tc>
          <w:tcPr>
            <w:tcW w:w="960" w:type="dxa"/>
            <w:tcBorders>
              <w:top w:val="dotted" w:sz="4" w:space="0" w:color="auto"/>
              <w:left w:val="single" w:sz="4" w:space="0" w:color="auto"/>
              <w:bottom w:val="nil"/>
              <w:right w:val="nil"/>
            </w:tcBorders>
            <w:shd w:val="clear" w:color="000000" w:fill="FFFFFF"/>
            <w:noWrap/>
            <w:vAlign w:val="bottom"/>
            <w:hideMark/>
          </w:tcPr>
          <w:p w14:paraId="36F9A90C"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572</w:t>
            </w:r>
          </w:p>
        </w:tc>
        <w:tc>
          <w:tcPr>
            <w:tcW w:w="960" w:type="dxa"/>
            <w:tcBorders>
              <w:top w:val="dotted" w:sz="4" w:space="0" w:color="auto"/>
              <w:left w:val="nil"/>
              <w:bottom w:val="nil"/>
              <w:right w:val="single" w:sz="4" w:space="0" w:color="auto"/>
            </w:tcBorders>
            <w:shd w:val="clear" w:color="000000" w:fill="FFFFFF"/>
            <w:noWrap/>
            <w:vAlign w:val="bottom"/>
            <w:hideMark/>
          </w:tcPr>
          <w:p w14:paraId="22D71461"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30359552"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620</w:t>
            </w:r>
          </w:p>
        </w:tc>
        <w:tc>
          <w:tcPr>
            <w:tcW w:w="960" w:type="dxa"/>
            <w:tcBorders>
              <w:top w:val="dotted" w:sz="4" w:space="0" w:color="auto"/>
              <w:left w:val="nil"/>
              <w:bottom w:val="nil"/>
              <w:right w:val="nil"/>
            </w:tcBorders>
            <w:shd w:val="clear" w:color="000000" w:fill="FFFFFF"/>
            <w:noWrap/>
            <w:vAlign w:val="bottom"/>
            <w:hideMark/>
          </w:tcPr>
          <w:p w14:paraId="12AE3A97"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410A777D"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683</w:t>
            </w:r>
          </w:p>
        </w:tc>
        <w:tc>
          <w:tcPr>
            <w:tcW w:w="960" w:type="dxa"/>
            <w:tcBorders>
              <w:top w:val="dotted" w:sz="4" w:space="0" w:color="auto"/>
              <w:left w:val="nil"/>
              <w:bottom w:val="nil"/>
              <w:right w:val="single" w:sz="4" w:space="0" w:color="auto"/>
            </w:tcBorders>
            <w:shd w:val="clear" w:color="000000" w:fill="FFFFFF"/>
            <w:noWrap/>
            <w:vAlign w:val="bottom"/>
            <w:hideMark/>
          </w:tcPr>
          <w:p w14:paraId="4996DEEF"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r>
      <w:tr w:rsidR="00E97FCD" w:rsidRPr="00C74E7E" w14:paraId="7252D763"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02A661B3"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43FEB49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256</w:t>
            </w:r>
          </w:p>
        </w:tc>
        <w:tc>
          <w:tcPr>
            <w:tcW w:w="960" w:type="dxa"/>
            <w:tcBorders>
              <w:top w:val="nil"/>
              <w:left w:val="nil"/>
              <w:bottom w:val="nil"/>
              <w:right w:val="single" w:sz="4" w:space="0" w:color="auto"/>
            </w:tcBorders>
            <w:shd w:val="clear" w:color="000000" w:fill="FFFFFF"/>
            <w:noWrap/>
            <w:vAlign w:val="bottom"/>
            <w:hideMark/>
          </w:tcPr>
          <w:p w14:paraId="1D62F747"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44.8%</w:t>
            </w:r>
          </w:p>
        </w:tc>
        <w:tc>
          <w:tcPr>
            <w:tcW w:w="960" w:type="dxa"/>
            <w:tcBorders>
              <w:top w:val="nil"/>
              <w:left w:val="nil"/>
              <w:bottom w:val="nil"/>
              <w:right w:val="nil"/>
            </w:tcBorders>
            <w:shd w:val="clear" w:color="000000" w:fill="FFFFFF"/>
            <w:noWrap/>
            <w:vAlign w:val="bottom"/>
            <w:hideMark/>
          </w:tcPr>
          <w:p w14:paraId="78B510E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421</w:t>
            </w:r>
          </w:p>
        </w:tc>
        <w:tc>
          <w:tcPr>
            <w:tcW w:w="960" w:type="dxa"/>
            <w:tcBorders>
              <w:top w:val="nil"/>
              <w:left w:val="nil"/>
              <w:bottom w:val="nil"/>
              <w:right w:val="nil"/>
            </w:tcBorders>
            <w:shd w:val="clear" w:color="000000" w:fill="FFFFFF"/>
            <w:noWrap/>
            <w:vAlign w:val="bottom"/>
            <w:hideMark/>
          </w:tcPr>
          <w:p w14:paraId="5556F51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67.9%</w:t>
            </w:r>
          </w:p>
        </w:tc>
        <w:tc>
          <w:tcPr>
            <w:tcW w:w="960" w:type="dxa"/>
            <w:tcBorders>
              <w:top w:val="nil"/>
              <w:left w:val="single" w:sz="4" w:space="0" w:color="auto"/>
              <w:bottom w:val="nil"/>
              <w:right w:val="nil"/>
            </w:tcBorders>
            <w:shd w:val="clear" w:color="000000" w:fill="FFFFFF"/>
            <w:noWrap/>
            <w:vAlign w:val="bottom"/>
            <w:hideMark/>
          </w:tcPr>
          <w:p w14:paraId="04046406"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418</w:t>
            </w:r>
          </w:p>
        </w:tc>
        <w:tc>
          <w:tcPr>
            <w:tcW w:w="960" w:type="dxa"/>
            <w:tcBorders>
              <w:top w:val="nil"/>
              <w:left w:val="nil"/>
              <w:bottom w:val="nil"/>
              <w:right w:val="single" w:sz="4" w:space="0" w:color="auto"/>
            </w:tcBorders>
            <w:shd w:val="clear" w:color="000000" w:fill="FFFFFF"/>
            <w:noWrap/>
            <w:vAlign w:val="bottom"/>
            <w:hideMark/>
          </w:tcPr>
          <w:p w14:paraId="377DDB4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61.2%</w:t>
            </w:r>
          </w:p>
        </w:tc>
      </w:tr>
      <w:tr w:rsidR="00E97FCD" w:rsidRPr="00C74E7E" w14:paraId="5EFAB223"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6F1DD691"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66BD5E3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9D3CF87"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1DCD315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3EA41B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CE7563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41E3E5F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r>
      <w:tr w:rsidR="00E97FCD" w:rsidRPr="00C74E7E" w14:paraId="2486AEE8"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5290CE64"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84ABED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316</w:t>
            </w:r>
          </w:p>
        </w:tc>
        <w:tc>
          <w:tcPr>
            <w:tcW w:w="960" w:type="dxa"/>
            <w:tcBorders>
              <w:top w:val="nil"/>
              <w:left w:val="nil"/>
              <w:bottom w:val="nil"/>
              <w:right w:val="single" w:sz="4" w:space="0" w:color="auto"/>
            </w:tcBorders>
            <w:shd w:val="clear" w:color="000000" w:fill="FFFFFF"/>
            <w:noWrap/>
            <w:vAlign w:val="bottom"/>
            <w:hideMark/>
          </w:tcPr>
          <w:p w14:paraId="06877F1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55.2%</w:t>
            </w:r>
          </w:p>
        </w:tc>
        <w:tc>
          <w:tcPr>
            <w:tcW w:w="960" w:type="dxa"/>
            <w:tcBorders>
              <w:top w:val="nil"/>
              <w:left w:val="nil"/>
              <w:bottom w:val="nil"/>
              <w:right w:val="nil"/>
            </w:tcBorders>
            <w:shd w:val="clear" w:color="000000" w:fill="FFFFFF"/>
            <w:noWrap/>
            <w:vAlign w:val="bottom"/>
            <w:hideMark/>
          </w:tcPr>
          <w:p w14:paraId="1723786A"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199</w:t>
            </w:r>
          </w:p>
        </w:tc>
        <w:tc>
          <w:tcPr>
            <w:tcW w:w="960" w:type="dxa"/>
            <w:tcBorders>
              <w:top w:val="nil"/>
              <w:left w:val="nil"/>
              <w:bottom w:val="nil"/>
              <w:right w:val="nil"/>
            </w:tcBorders>
            <w:shd w:val="clear" w:color="000000" w:fill="FFFFFF"/>
            <w:noWrap/>
            <w:vAlign w:val="bottom"/>
            <w:hideMark/>
          </w:tcPr>
          <w:p w14:paraId="46CF32EE"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32.1%</w:t>
            </w:r>
          </w:p>
        </w:tc>
        <w:tc>
          <w:tcPr>
            <w:tcW w:w="960" w:type="dxa"/>
            <w:tcBorders>
              <w:top w:val="nil"/>
              <w:left w:val="single" w:sz="4" w:space="0" w:color="auto"/>
              <w:bottom w:val="nil"/>
              <w:right w:val="nil"/>
            </w:tcBorders>
            <w:shd w:val="clear" w:color="000000" w:fill="FFFFFF"/>
            <w:noWrap/>
            <w:vAlign w:val="bottom"/>
            <w:hideMark/>
          </w:tcPr>
          <w:p w14:paraId="15E1A5B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263</w:t>
            </w:r>
          </w:p>
        </w:tc>
        <w:tc>
          <w:tcPr>
            <w:tcW w:w="960" w:type="dxa"/>
            <w:tcBorders>
              <w:top w:val="nil"/>
              <w:left w:val="nil"/>
              <w:bottom w:val="nil"/>
              <w:right w:val="single" w:sz="4" w:space="0" w:color="auto"/>
            </w:tcBorders>
            <w:shd w:val="clear" w:color="000000" w:fill="FFFFFF"/>
            <w:noWrap/>
            <w:vAlign w:val="bottom"/>
            <w:hideMark/>
          </w:tcPr>
          <w:p w14:paraId="0C9E008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38.5%</w:t>
            </w:r>
          </w:p>
        </w:tc>
      </w:tr>
      <w:tr w:rsidR="00E97FCD" w:rsidRPr="00C74E7E" w14:paraId="01EEBB16" w14:textId="77777777" w:rsidTr="00E97FCD">
        <w:trPr>
          <w:trHeight w:val="300"/>
        </w:trPr>
        <w:tc>
          <w:tcPr>
            <w:tcW w:w="4876" w:type="dxa"/>
            <w:tcBorders>
              <w:top w:val="dotted" w:sz="4" w:space="0" w:color="auto"/>
              <w:left w:val="single" w:sz="4" w:space="0" w:color="auto"/>
              <w:bottom w:val="nil"/>
              <w:right w:val="nil"/>
            </w:tcBorders>
            <w:shd w:val="clear" w:color="000000" w:fill="FFFFFF"/>
            <w:noWrap/>
            <w:vAlign w:val="bottom"/>
            <w:hideMark/>
          </w:tcPr>
          <w:p w14:paraId="5DF0C3C9"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C74E7E">
              <w:rPr>
                <w:rFonts w:asciiTheme="minorHAnsi" w:eastAsia="Times New Roman" w:hAnsiTheme="minorHAnsi" w:cs="Times New Roman"/>
                <w:b/>
                <w:bCs/>
                <w:color w:val="000000"/>
                <w:kern w:val="0"/>
                <w:szCs w:val="22"/>
                <w:lang w:eastAsia="en-GB"/>
                <w14:ligatures w14:val="none"/>
              </w:rPr>
              <w:t>SAgE</w:t>
            </w:r>
            <w:proofErr w:type="spellEnd"/>
          </w:p>
        </w:tc>
        <w:tc>
          <w:tcPr>
            <w:tcW w:w="960" w:type="dxa"/>
            <w:tcBorders>
              <w:top w:val="dotted" w:sz="4" w:space="0" w:color="auto"/>
              <w:left w:val="single" w:sz="4" w:space="0" w:color="auto"/>
              <w:bottom w:val="nil"/>
              <w:right w:val="nil"/>
            </w:tcBorders>
            <w:shd w:val="clear" w:color="000000" w:fill="FFFFFF"/>
            <w:noWrap/>
            <w:vAlign w:val="bottom"/>
            <w:hideMark/>
          </w:tcPr>
          <w:p w14:paraId="7893D720"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477</w:t>
            </w:r>
          </w:p>
        </w:tc>
        <w:tc>
          <w:tcPr>
            <w:tcW w:w="960" w:type="dxa"/>
            <w:tcBorders>
              <w:top w:val="dotted" w:sz="4" w:space="0" w:color="auto"/>
              <w:left w:val="nil"/>
              <w:bottom w:val="nil"/>
              <w:right w:val="single" w:sz="4" w:space="0" w:color="auto"/>
            </w:tcBorders>
            <w:shd w:val="clear" w:color="000000" w:fill="FFFFFF"/>
            <w:noWrap/>
            <w:vAlign w:val="bottom"/>
            <w:hideMark/>
          </w:tcPr>
          <w:p w14:paraId="5AB0D00C"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4C2A4C14"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289</w:t>
            </w:r>
          </w:p>
        </w:tc>
        <w:tc>
          <w:tcPr>
            <w:tcW w:w="960" w:type="dxa"/>
            <w:tcBorders>
              <w:top w:val="dotted" w:sz="4" w:space="0" w:color="auto"/>
              <w:left w:val="nil"/>
              <w:bottom w:val="nil"/>
              <w:right w:val="nil"/>
            </w:tcBorders>
            <w:shd w:val="clear" w:color="000000" w:fill="FFFFFF"/>
            <w:noWrap/>
            <w:vAlign w:val="bottom"/>
            <w:hideMark/>
          </w:tcPr>
          <w:p w14:paraId="0DB56E70"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045A89FF"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368</w:t>
            </w:r>
          </w:p>
        </w:tc>
        <w:tc>
          <w:tcPr>
            <w:tcW w:w="960" w:type="dxa"/>
            <w:tcBorders>
              <w:top w:val="dotted" w:sz="4" w:space="0" w:color="auto"/>
              <w:left w:val="nil"/>
              <w:bottom w:val="nil"/>
              <w:right w:val="single" w:sz="4" w:space="0" w:color="auto"/>
            </w:tcBorders>
            <w:shd w:val="clear" w:color="000000" w:fill="FFFFFF"/>
            <w:noWrap/>
            <w:vAlign w:val="bottom"/>
            <w:hideMark/>
          </w:tcPr>
          <w:p w14:paraId="206C9DCE"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r>
      <w:tr w:rsidR="00E97FCD" w:rsidRPr="00C74E7E" w14:paraId="11E5C4E1"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3E8BE6E7"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1825F05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197</w:t>
            </w:r>
          </w:p>
        </w:tc>
        <w:tc>
          <w:tcPr>
            <w:tcW w:w="960" w:type="dxa"/>
            <w:tcBorders>
              <w:top w:val="nil"/>
              <w:left w:val="nil"/>
              <w:bottom w:val="nil"/>
              <w:right w:val="single" w:sz="4" w:space="0" w:color="auto"/>
            </w:tcBorders>
            <w:shd w:val="clear" w:color="000000" w:fill="FFFFFF"/>
            <w:noWrap/>
            <w:vAlign w:val="bottom"/>
            <w:hideMark/>
          </w:tcPr>
          <w:p w14:paraId="0281B12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41.3%</w:t>
            </w:r>
          </w:p>
        </w:tc>
        <w:tc>
          <w:tcPr>
            <w:tcW w:w="960" w:type="dxa"/>
            <w:tcBorders>
              <w:top w:val="nil"/>
              <w:left w:val="nil"/>
              <w:bottom w:val="nil"/>
              <w:right w:val="nil"/>
            </w:tcBorders>
            <w:shd w:val="clear" w:color="000000" w:fill="FFFFFF"/>
            <w:noWrap/>
            <w:vAlign w:val="bottom"/>
            <w:hideMark/>
          </w:tcPr>
          <w:p w14:paraId="447577C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191</w:t>
            </w:r>
          </w:p>
        </w:tc>
        <w:tc>
          <w:tcPr>
            <w:tcW w:w="960" w:type="dxa"/>
            <w:tcBorders>
              <w:top w:val="nil"/>
              <w:left w:val="nil"/>
              <w:bottom w:val="nil"/>
              <w:right w:val="nil"/>
            </w:tcBorders>
            <w:shd w:val="clear" w:color="000000" w:fill="FFFFFF"/>
            <w:noWrap/>
            <w:vAlign w:val="bottom"/>
            <w:hideMark/>
          </w:tcPr>
          <w:p w14:paraId="69804AD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66.1%</w:t>
            </w:r>
          </w:p>
        </w:tc>
        <w:tc>
          <w:tcPr>
            <w:tcW w:w="960" w:type="dxa"/>
            <w:tcBorders>
              <w:top w:val="nil"/>
              <w:left w:val="single" w:sz="4" w:space="0" w:color="auto"/>
              <w:bottom w:val="nil"/>
              <w:right w:val="nil"/>
            </w:tcBorders>
            <w:shd w:val="clear" w:color="000000" w:fill="FFFFFF"/>
            <w:noWrap/>
            <w:vAlign w:val="bottom"/>
            <w:hideMark/>
          </w:tcPr>
          <w:p w14:paraId="79C3B9CC"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190</w:t>
            </w:r>
          </w:p>
        </w:tc>
        <w:tc>
          <w:tcPr>
            <w:tcW w:w="960" w:type="dxa"/>
            <w:tcBorders>
              <w:top w:val="nil"/>
              <w:left w:val="nil"/>
              <w:bottom w:val="nil"/>
              <w:right w:val="single" w:sz="4" w:space="0" w:color="auto"/>
            </w:tcBorders>
            <w:shd w:val="clear" w:color="000000" w:fill="FFFFFF"/>
            <w:noWrap/>
            <w:vAlign w:val="bottom"/>
            <w:hideMark/>
          </w:tcPr>
          <w:p w14:paraId="64BBC0F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51.6%</w:t>
            </w:r>
          </w:p>
        </w:tc>
      </w:tr>
      <w:tr w:rsidR="00E97FCD" w:rsidRPr="00C74E7E" w14:paraId="01550DEE"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36BEB1B9"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4CB4D2B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004550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513FB1C2"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139337BF"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11CE4CD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265AAC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r>
      <w:tr w:rsidR="00E97FCD" w:rsidRPr="00C74E7E" w14:paraId="54B12014"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37040614"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306A03F6"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278</w:t>
            </w:r>
          </w:p>
        </w:tc>
        <w:tc>
          <w:tcPr>
            <w:tcW w:w="960" w:type="dxa"/>
            <w:tcBorders>
              <w:top w:val="nil"/>
              <w:left w:val="nil"/>
              <w:bottom w:val="nil"/>
              <w:right w:val="single" w:sz="4" w:space="0" w:color="auto"/>
            </w:tcBorders>
            <w:shd w:val="clear" w:color="000000" w:fill="FFFFFF"/>
            <w:noWrap/>
            <w:vAlign w:val="bottom"/>
            <w:hideMark/>
          </w:tcPr>
          <w:p w14:paraId="6E26B96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58.3%</w:t>
            </w:r>
          </w:p>
        </w:tc>
        <w:tc>
          <w:tcPr>
            <w:tcW w:w="960" w:type="dxa"/>
            <w:tcBorders>
              <w:top w:val="nil"/>
              <w:left w:val="nil"/>
              <w:bottom w:val="nil"/>
              <w:right w:val="nil"/>
            </w:tcBorders>
            <w:shd w:val="clear" w:color="000000" w:fill="FFFFFF"/>
            <w:noWrap/>
            <w:vAlign w:val="bottom"/>
            <w:hideMark/>
          </w:tcPr>
          <w:p w14:paraId="5EA27CE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96</w:t>
            </w:r>
          </w:p>
        </w:tc>
        <w:tc>
          <w:tcPr>
            <w:tcW w:w="960" w:type="dxa"/>
            <w:tcBorders>
              <w:top w:val="nil"/>
              <w:left w:val="nil"/>
              <w:bottom w:val="nil"/>
              <w:right w:val="nil"/>
            </w:tcBorders>
            <w:shd w:val="clear" w:color="000000" w:fill="FFFFFF"/>
            <w:noWrap/>
            <w:vAlign w:val="bottom"/>
            <w:hideMark/>
          </w:tcPr>
          <w:p w14:paraId="1A9D97E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33.2%</w:t>
            </w:r>
          </w:p>
        </w:tc>
        <w:tc>
          <w:tcPr>
            <w:tcW w:w="960" w:type="dxa"/>
            <w:tcBorders>
              <w:top w:val="nil"/>
              <w:left w:val="single" w:sz="4" w:space="0" w:color="auto"/>
              <w:bottom w:val="nil"/>
              <w:right w:val="nil"/>
            </w:tcBorders>
            <w:shd w:val="clear" w:color="000000" w:fill="FFFFFF"/>
            <w:noWrap/>
            <w:vAlign w:val="bottom"/>
            <w:hideMark/>
          </w:tcPr>
          <w:p w14:paraId="2AD8924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177</w:t>
            </w:r>
          </w:p>
        </w:tc>
        <w:tc>
          <w:tcPr>
            <w:tcW w:w="960" w:type="dxa"/>
            <w:tcBorders>
              <w:top w:val="nil"/>
              <w:left w:val="nil"/>
              <w:bottom w:val="nil"/>
              <w:right w:val="single" w:sz="4" w:space="0" w:color="auto"/>
            </w:tcBorders>
            <w:shd w:val="clear" w:color="000000" w:fill="FFFFFF"/>
            <w:noWrap/>
            <w:vAlign w:val="bottom"/>
            <w:hideMark/>
          </w:tcPr>
          <w:p w14:paraId="51701A6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48.1%</w:t>
            </w:r>
          </w:p>
        </w:tc>
      </w:tr>
      <w:tr w:rsidR="00E97FCD" w:rsidRPr="00C74E7E" w14:paraId="2EDD0926" w14:textId="77777777" w:rsidTr="00E97FCD">
        <w:trPr>
          <w:trHeight w:val="300"/>
        </w:trPr>
        <w:tc>
          <w:tcPr>
            <w:tcW w:w="4876" w:type="dxa"/>
            <w:tcBorders>
              <w:top w:val="dotted" w:sz="4" w:space="0" w:color="auto"/>
              <w:left w:val="single" w:sz="4" w:space="0" w:color="auto"/>
              <w:bottom w:val="nil"/>
              <w:right w:val="nil"/>
            </w:tcBorders>
            <w:shd w:val="clear" w:color="000000" w:fill="FFFFFF"/>
            <w:noWrap/>
            <w:vAlign w:val="bottom"/>
            <w:hideMark/>
          </w:tcPr>
          <w:p w14:paraId="2A28907C"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Academic Hub</w:t>
            </w:r>
          </w:p>
        </w:tc>
        <w:tc>
          <w:tcPr>
            <w:tcW w:w="960" w:type="dxa"/>
            <w:tcBorders>
              <w:top w:val="dotted" w:sz="4" w:space="0" w:color="auto"/>
              <w:left w:val="single" w:sz="4" w:space="0" w:color="auto"/>
              <w:bottom w:val="nil"/>
              <w:right w:val="nil"/>
            </w:tcBorders>
            <w:shd w:val="clear" w:color="000000" w:fill="FFFFFF"/>
            <w:noWrap/>
            <w:vAlign w:val="bottom"/>
            <w:hideMark/>
          </w:tcPr>
          <w:p w14:paraId="713BAA21"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single" w:sz="4" w:space="0" w:color="auto"/>
            </w:tcBorders>
            <w:shd w:val="clear" w:color="000000" w:fill="FFFFFF"/>
            <w:noWrap/>
            <w:vAlign w:val="bottom"/>
            <w:hideMark/>
          </w:tcPr>
          <w:p w14:paraId="18FA9FF6"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nil"/>
              <w:bottom w:val="nil"/>
              <w:right w:val="nil"/>
            </w:tcBorders>
            <w:shd w:val="clear" w:color="000000" w:fill="FFFFFF"/>
            <w:noWrap/>
            <w:vAlign w:val="bottom"/>
            <w:hideMark/>
          </w:tcPr>
          <w:p w14:paraId="61D77077"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nil"/>
            </w:tcBorders>
            <w:shd w:val="clear" w:color="000000" w:fill="FFFFFF"/>
            <w:noWrap/>
            <w:vAlign w:val="bottom"/>
            <w:hideMark/>
          </w:tcPr>
          <w:p w14:paraId="210265BE"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single" w:sz="4" w:space="0" w:color="auto"/>
              <w:bottom w:val="nil"/>
              <w:right w:val="nil"/>
            </w:tcBorders>
            <w:shd w:val="clear" w:color="000000" w:fill="FFFFFF"/>
            <w:noWrap/>
            <w:vAlign w:val="bottom"/>
            <w:hideMark/>
          </w:tcPr>
          <w:p w14:paraId="7405DBB3"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871</w:t>
            </w:r>
          </w:p>
        </w:tc>
        <w:tc>
          <w:tcPr>
            <w:tcW w:w="960" w:type="dxa"/>
            <w:tcBorders>
              <w:top w:val="dotted" w:sz="4" w:space="0" w:color="auto"/>
              <w:left w:val="nil"/>
              <w:bottom w:val="nil"/>
              <w:right w:val="single" w:sz="4" w:space="0" w:color="auto"/>
            </w:tcBorders>
            <w:shd w:val="clear" w:color="000000" w:fill="FFFFFF"/>
            <w:noWrap/>
            <w:vAlign w:val="bottom"/>
            <w:hideMark/>
          </w:tcPr>
          <w:p w14:paraId="1FCA4C47"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r>
      <w:tr w:rsidR="00E97FCD" w:rsidRPr="00C74E7E" w14:paraId="549B5AB1"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70B4C9F9"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62B5471F"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F765F3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B3034A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360927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ADF574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499</w:t>
            </w:r>
          </w:p>
        </w:tc>
        <w:tc>
          <w:tcPr>
            <w:tcW w:w="960" w:type="dxa"/>
            <w:tcBorders>
              <w:top w:val="nil"/>
              <w:left w:val="nil"/>
              <w:bottom w:val="nil"/>
              <w:right w:val="single" w:sz="4" w:space="0" w:color="auto"/>
            </w:tcBorders>
            <w:shd w:val="clear" w:color="000000" w:fill="FFFFFF"/>
            <w:noWrap/>
            <w:vAlign w:val="bottom"/>
            <w:hideMark/>
          </w:tcPr>
          <w:p w14:paraId="352481F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57.3%</w:t>
            </w:r>
          </w:p>
        </w:tc>
      </w:tr>
      <w:tr w:rsidR="00E97FCD" w:rsidRPr="00C74E7E" w14:paraId="1B019035"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66F31057"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15C6C3D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55471C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139D317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107E693C"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C97EA9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4B0F0A0E"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r>
      <w:tr w:rsidR="00E97FCD" w:rsidRPr="00C74E7E" w14:paraId="2880421B"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260601EB"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4F8464D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51D8F7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A153EF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1C1C695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0900D9B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366</w:t>
            </w:r>
          </w:p>
        </w:tc>
        <w:tc>
          <w:tcPr>
            <w:tcW w:w="960" w:type="dxa"/>
            <w:tcBorders>
              <w:top w:val="nil"/>
              <w:left w:val="nil"/>
              <w:bottom w:val="nil"/>
              <w:right w:val="single" w:sz="4" w:space="0" w:color="auto"/>
            </w:tcBorders>
            <w:shd w:val="clear" w:color="000000" w:fill="FFFFFF"/>
            <w:noWrap/>
            <w:vAlign w:val="bottom"/>
            <w:hideMark/>
          </w:tcPr>
          <w:p w14:paraId="00ADD99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42.0%</w:t>
            </w:r>
          </w:p>
        </w:tc>
      </w:tr>
      <w:tr w:rsidR="00E97FCD" w:rsidRPr="00C74E7E" w14:paraId="4CFCAFF2" w14:textId="77777777" w:rsidTr="00E97FCD">
        <w:trPr>
          <w:trHeight w:val="300"/>
        </w:trPr>
        <w:tc>
          <w:tcPr>
            <w:tcW w:w="4876" w:type="dxa"/>
            <w:tcBorders>
              <w:top w:val="dotted" w:sz="4" w:space="0" w:color="auto"/>
              <w:left w:val="single" w:sz="4" w:space="0" w:color="auto"/>
              <w:bottom w:val="nil"/>
              <w:right w:val="nil"/>
            </w:tcBorders>
            <w:shd w:val="clear" w:color="000000" w:fill="FFFFFF"/>
            <w:noWrap/>
            <w:vAlign w:val="bottom"/>
            <w:hideMark/>
          </w:tcPr>
          <w:p w14:paraId="5B74C2A6"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Finance &amp; Operations Hub</w:t>
            </w:r>
          </w:p>
        </w:tc>
        <w:tc>
          <w:tcPr>
            <w:tcW w:w="960" w:type="dxa"/>
            <w:tcBorders>
              <w:top w:val="dotted" w:sz="4" w:space="0" w:color="auto"/>
              <w:left w:val="single" w:sz="4" w:space="0" w:color="auto"/>
              <w:bottom w:val="nil"/>
              <w:right w:val="nil"/>
            </w:tcBorders>
            <w:shd w:val="clear" w:color="000000" w:fill="FFFFFF"/>
            <w:noWrap/>
            <w:vAlign w:val="bottom"/>
            <w:hideMark/>
          </w:tcPr>
          <w:p w14:paraId="295C5287"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55D6DCB5"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2EDDF986"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14BA677E"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4E211022"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1051</w:t>
            </w:r>
          </w:p>
        </w:tc>
        <w:tc>
          <w:tcPr>
            <w:tcW w:w="960" w:type="dxa"/>
            <w:tcBorders>
              <w:top w:val="dotted" w:sz="4" w:space="0" w:color="auto"/>
              <w:left w:val="nil"/>
              <w:bottom w:val="nil"/>
              <w:right w:val="single" w:sz="4" w:space="0" w:color="auto"/>
            </w:tcBorders>
            <w:shd w:val="clear" w:color="000000" w:fill="FFFFFF"/>
            <w:noWrap/>
            <w:vAlign w:val="bottom"/>
            <w:hideMark/>
          </w:tcPr>
          <w:p w14:paraId="6574CD81"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r>
      <w:tr w:rsidR="00E97FCD" w:rsidRPr="00C74E7E" w14:paraId="17F1BA56"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14F6A7D7"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55919D2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E47986B"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BAF2F3E"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AB4265A"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6C3039D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540</w:t>
            </w:r>
          </w:p>
        </w:tc>
        <w:tc>
          <w:tcPr>
            <w:tcW w:w="960" w:type="dxa"/>
            <w:tcBorders>
              <w:top w:val="nil"/>
              <w:left w:val="nil"/>
              <w:bottom w:val="nil"/>
              <w:right w:val="single" w:sz="4" w:space="0" w:color="auto"/>
            </w:tcBorders>
            <w:shd w:val="clear" w:color="000000" w:fill="FFFFFF"/>
            <w:noWrap/>
            <w:vAlign w:val="bottom"/>
            <w:hideMark/>
          </w:tcPr>
          <w:p w14:paraId="1126C8CA"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51.4%</w:t>
            </w:r>
          </w:p>
        </w:tc>
      </w:tr>
      <w:tr w:rsidR="00E97FCD" w:rsidRPr="00C74E7E" w14:paraId="4897C20C"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2F863DA0"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4BF6E86F"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A3FC4D6"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B6F2FC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3884CDE"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EF9B23F"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3C37ED4F"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r>
      <w:tr w:rsidR="00E97FCD" w:rsidRPr="00C74E7E" w14:paraId="605DE7E3"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00FC11BE"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1414F2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186A706"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5C248E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9748B5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1712108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511</w:t>
            </w:r>
          </w:p>
        </w:tc>
        <w:tc>
          <w:tcPr>
            <w:tcW w:w="960" w:type="dxa"/>
            <w:tcBorders>
              <w:top w:val="nil"/>
              <w:left w:val="nil"/>
              <w:bottom w:val="nil"/>
              <w:right w:val="single" w:sz="4" w:space="0" w:color="auto"/>
            </w:tcBorders>
            <w:shd w:val="clear" w:color="000000" w:fill="FFFFFF"/>
            <w:noWrap/>
            <w:vAlign w:val="bottom"/>
            <w:hideMark/>
          </w:tcPr>
          <w:p w14:paraId="2B11AE7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48.6%</w:t>
            </w:r>
          </w:p>
        </w:tc>
      </w:tr>
      <w:tr w:rsidR="00E97FCD" w:rsidRPr="00C74E7E" w14:paraId="5A1A9DB2" w14:textId="77777777" w:rsidTr="00E97FCD">
        <w:trPr>
          <w:trHeight w:val="300"/>
        </w:trPr>
        <w:tc>
          <w:tcPr>
            <w:tcW w:w="4876" w:type="dxa"/>
            <w:tcBorders>
              <w:top w:val="dotted" w:sz="4" w:space="0" w:color="auto"/>
              <w:left w:val="single" w:sz="4" w:space="0" w:color="auto"/>
              <w:bottom w:val="nil"/>
              <w:right w:val="nil"/>
            </w:tcBorders>
            <w:shd w:val="clear" w:color="000000" w:fill="FFFFFF"/>
            <w:noWrap/>
            <w:vAlign w:val="bottom"/>
            <w:hideMark/>
          </w:tcPr>
          <w:p w14:paraId="0D95CA35"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People Services</w:t>
            </w:r>
          </w:p>
        </w:tc>
        <w:tc>
          <w:tcPr>
            <w:tcW w:w="960" w:type="dxa"/>
            <w:tcBorders>
              <w:top w:val="dotted" w:sz="4" w:space="0" w:color="auto"/>
              <w:left w:val="single" w:sz="4" w:space="0" w:color="auto"/>
              <w:bottom w:val="nil"/>
              <w:right w:val="nil"/>
            </w:tcBorders>
            <w:shd w:val="clear" w:color="000000" w:fill="FFFFFF"/>
            <w:noWrap/>
            <w:vAlign w:val="bottom"/>
            <w:hideMark/>
          </w:tcPr>
          <w:p w14:paraId="467B0575"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788D27CD"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5A3CDC8E"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6BE621CE"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76ABBD17"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111</w:t>
            </w:r>
          </w:p>
        </w:tc>
        <w:tc>
          <w:tcPr>
            <w:tcW w:w="960" w:type="dxa"/>
            <w:tcBorders>
              <w:top w:val="dotted" w:sz="4" w:space="0" w:color="auto"/>
              <w:left w:val="nil"/>
              <w:bottom w:val="nil"/>
              <w:right w:val="single" w:sz="4" w:space="0" w:color="auto"/>
            </w:tcBorders>
            <w:shd w:val="clear" w:color="000000" w:fill="FFFFFF"/>
            <w:noWrap/>
            <w:vAlign w:val="bottom"/>
            <w:hideMark/>
          </w:tcPr>
          <w:p w14:paraId="358212DE"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r>
      <w:tr w:rsidR="00E97FCD" w:rsidRPr="00C74E7E" w14:paraId="192BF027"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4A20A7B4"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61CE8FC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C6E10D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589029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4361A3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0A97F637"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64</w:t>
            </w:r>
          </w:p>
        </w:tc>
        <w:tc>
          <w:tcPr>
            <w:tcW w:w="960" w:type="dxa"/>
            <w:tcBorders>
              <w:top w:val="nil"/>
              <w:left w:val="nil"/>
              <w:bottom w:val="nil"/>
              <w:right w:val="single" w:sz="4" w:space="0" w:color="auto"/>
            </w:tcBorders>
            <w:shd w:val="clear" w:color="000000" w:fill="FFFFFF"/>
            <w:noWrap/>
            <w:vAlign w:val="bottom"/>
            <w:hideMark/>
          </w:tcPr>
          <w:p w14:paraId="02CD4DB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57.7%</w:t>
            </w:r>
          </w:p>
        </w:tc>
      </w:tr>
      <w:tr w:rsidR="00E97FCD" w:rsidRPr="00C74E7E" w14:paraId="6A1680A8" w14:textId="77777777" w:rsidTr="00E97FCD">
        <w:trPr>
          <w:trHeight w:val="300"/>
        </w:trPr>
        <w:tc>
          <w:tcPr>
            <w:tcW w:w="4876" w:type="dxa"/>
            <w:tcBorders>
              <w:top w:val="nil"/>
              <w:left w:val="single" w:sz="4" w:space="0" w:color="auto"/>
              <w:bottom w:val="nil"/>
              <w:right w:val="nil"/>
            </w:tcBorders>
            <w:shd w:val="clear" w:color="000000" w:fill="FFFFFF"/>
            <w:noWrap/>
            <w:vAlign w:val="bottom"/>
            <w:hideMark/>
          </w:tcPr>
          <w:p w14:paraId="45A8CD41"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77D71339"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11095F0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F8F69FC"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BE1A53E"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0A8CF3F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C775C23"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r>
      <w:tr w:rsidR="00E97FCD" w:rsidRPr="00C74E7E" w14:paraId="42F746E4" w14:textId="77777777" w:rsidTr="00E97FCD">
        <w:trPr>
          <w:trHeight w:val="315"/>
        </w:trPr>
        <w:tc>
          <w:tcPr>
            <w:tcW w:w="4876" w:type="dxa"/>
            <w:tcBorders>
              <w:top w:val="nil"/>
              <w:left w:val="single" w:sz="4" w:space="0" w:color="auto"/>
              <w:bottom w:val="double" w:sz="6" w:space="0" w:color="auto"/>
              <w:right w:val="nil"/>
            </w:tcBorders>
            <w:shd w:val="clear" w:color="000000" w:fill="FFFFFF"/>
            <w:noWrap/>
            <w:vAlign w:val="bottom"/>
            <w:hideMark/>
          </w:tcPr>
          <w:p w14:paraId="7C5293FB" w14:textId="77777777" w:rsidR="00C74E7E" w:rsidRPr="00C74E7E" w:rsidRDefault="00C74E7E" w:rsidP="00C74E7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0703F40E"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single" w:sz="4" w:space="0" w:color="auto"/>
            </w:tcBorders>
            <w:shd w:val="clear" w:color="000000" w:fill="FFFFFF"/>
            <w:noWrap/>
            <w:vAlign w:val="bottom"/>
            <w:hideMark/>
          </w:tcPr>
          <w:p w14:paraId="3DB677E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1C22C95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7D91C73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double" w:sz="6" w:space="0" w:color="auto"/>
              <w:right w:val="nil"/>
            </w:tcBorders>
            <w:shd w:val="clear" w:color="000000" w:fill="FFFFFF"/>
            <w:noWrap/>
            <w:vAlign w:val="bottom"/>
            <w:hideMark/>
          </w:tcPr>
          <w:p w14:paraId="5C94A248"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double" w:sz="6" w:space="0" w:color="auto"/>
              <w:right w:val="single" w:sz="4" w:space="0" w:color="auto"/>
            </w:tcBorders>
            <w:shd w:val="clear" w:color="000000" w:fill="FFFFFF"/>
            <w:noWrap/>
            <w:vAlign w:val="bottom"/>
            <w:hideMark/>
          </w:tcPr>
          <w:p w14:paraId="4D229692"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42.3%</w:t>
            </w:r>
          </w:p>
        </w:tc>
      </w:tr>
    </w:tbl>
    <w:p w14:paraId="6B7EE14B" w14:textId="77777777" w:rsidR="00482B2A" w:rsidRPr="007E2527" w:rsidRDefault="00482B2A" w:rsidP="00B41BB3">
      <w:pPr>
        <w:rPr>
          <w:rFonts w:asciiTheme="minorHAnsi" w:hAnsiTheme="minorHAnsi"/>
          <w:b/>
          <w:bCs/>
          <w:szCs w:val="22"/>
        </w:rPr>
      </w:pPr>
    </w:p>
    <w:p w14:paraId="6CBC7499" w14:textId="618CDF1E" w:rsidR="00B364B9" w:rsidRPr="007E2527" w:rsidRDefault="008F5364" w:rsidP="00B364B9">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gender affirmation and mode of employment, 2025 (Full-time n=4,856; Part-time n=1,385)</w:t>
      </w:r>
    </w:p>
    <w:tbl>
      <w:tblPr>
        <w:tblW w:w="8432" w:type="dxa"/>
        <w:tblLayout w:type="fixed"/>
        <w:tblLook w:val="04A0" w:firstRow="1" w:lastRow="0" w:firstColumn="1" w:lastColumn="0" w:noHBand="0" w:noVBand="1"/>
      </w:tblPr>
      <w:tblGrid>
        <w:gridCol w:w="4592"/>
        <w:gridCol w:w="960"/>
        <w:gridCol w:w="960"/>
        <w:gridCol w:w="960"/>
        <w:gridCol w:w="960"/>
      </w:tblGrid>
      <w:tr w:rsidR="00E97FCD" w:rsidRPr="00C74E7E" w14:paraId="3B4EF5C1" w14:textId="77777777" w:rsidTr="00E97FCD">
        <w:trPr>
          <w:trHeight w:val="300"/>
        </w:trPr>
        <w:tc>
          <w:tcPr>
            <w:tcW w:w="4592" w:type="dxa"/>
            <w:tcBorders>
              <w:top w:val="single" w:sz="4" w:space="0" w:color="auto"/>
              <w:left w:val="single" w:sz="4" w:space="0" w:color="auto"/>
              <w:bottom w:val="nil"/>
              <w:right w:val="nil"/>
            </w:tcBorders>
            <w:shd w:val="clear" w:color="000000" w:fill="FFFFFF"/>
            <w:noWrap/>
            <w:vAlign w:val="bottom"/>
            <w:hideMark/>
          </w:tcPr>
          <w:p w14:paraId="6ECD34E5"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1731FAA" w14:textId="77777777" w:rsidR="00C74E7E" w:rsidRPr="00C74E7E" w:rsidRDefault="00C74E7E" w:rsidP="00C74E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Full-time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48929AF1" w14:textId="77777777" w:rsidR="00C74E7E" w:rsidRPr="00C74E7E" w:rsidRDefault="00C74E7E" w:rsidP="00C74E7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Part-time</w:t>
            </w:r>
          </w:p>
        </w:tc>
      </w:tr>
      <w:tr w:rsidR="00C74E7E" w:rsidRPr="007E2527" w14:paraId="597CEC7F" w14:textId="77777777" w:rsidTr="00E97FCD">
        <w:trPr>
          <w:trHeight w:val="300"/>
        </w:trPr>
        <w:tc>
          <w:tcPr>
            <w:tcW w:w="4592" w:type="dxa"/>
            <w:tcBorders>
              <w:top w:val="nil"/>
              <w:left w:val="single" w:sz="4" w:space="0" w:color="auto"/>
              <w:bottom w:val="single" w:sz="4" w:space="0" w:color="auto"/>
              <w:right w:val="nil"/>
            </w:tcBorders>
            <w:shd w:val="clear" w:color="000000" w:fill="FFFFFF"/>
            <w:noWrap/>
            <w:vAlign w:val="bottom"/>
            <w:hideMark/>
          </w:tcPr>
          <w:p w14:paraId="5F36BDA9" w14:textId="77777777" w:rsidR="00C74E7E" w:rsidRPr="00C74E7E" w:rsidRDefault="00C74E7E" w:rsidP="00C74E7E">
            <w:pPr>
              <w:spacing w:after="0" w:line="240" w:lineRule="auto"/>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216E059"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2A99C02"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FD2E539"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8B09625" w14:textId="77777777" w:rsidR="00C74E7E" w:rsidRPr="00C74E7E" w:rsidRDefault="00C74E7E" w:rsidP="00C74E7E">
            <w:pPr>
              <w:spacing w:after="0" w:line="240" w:lineRule="auto"/>
              <w:jc w:val="center"/>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r>
      <w:tr w:rsidR="00C74E7E" w:rsidRPr="007E2527" w14:paraId="7915CD17"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2889A2EC" w14:textId="77777777" w:rsidR="00C74E7E" w:rsidRPr="00C74E7E" w:rsidRDefault="00C74E7E" w:rsidP="00C74E7E">
            <w:pPr>
              <w:spacing w:after="0" w:line="240" w:lineRule="auto"/>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433C08F5"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2611</w:t>
            </w:r>
          </w:p>
        </w:tc>
        <w:tc>
          <w:tcPr>
            <w:tcW w:w="960" w:type="dxa"/>
            <w:tcBorders>
              <w:top w:val="nil"/>
              <w:left w:val="nil"/>
              <w:bottom w:val="nil"/>
              <w:right w:val="single" w:sz="4" w:space="0" w:color="auto"/>
            </w:tcBorders>
            <w:shd w:val="clear" w:color="000000" w:fill="FFFFFF"/>
            <w:noWrap/>
            <w:vAlign w:val="bottom"/>
            <w:hideMark/>
          </w:tcPr>
          <w:p w14:paraId="713074F2"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53.8%</w:t>
            </w:r>
          </w:p>
        </w:tc>
        <w:tc>
          <w:tcPr>
            <w:tcW w:w="960" w:type="dxa"/>
            <w:tcBorders>
              <w:top w:val="nil"/>
              <w:left w:val="nil"/>
              <w:bottom w:val="nil"/>
              <w:right w:val="nil"/>
            </w:tcBorders>
            <w:shd w:val="clear" w:color="000000" w:fill="FFFFFF"/>
            <w:noWrap/>
            <w:vAlign w:val="bottom"/>
            <w:hideMark/>
          </w:tcPr>
          <w:p w14:paraId="6B034ED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723</w:t>
            </w:r>
          </w:p>
        </w:tc>
        <w:tc>
          <w:tcPr>
            <w:tcW w:w="960" w:type="dxa"/>
            <w:tcBorders>
              <w:top w:val="nil"/>
              <w:left w:val="nil"/>
              <w:bottom w:val="nil"/>
              <w:right w:val="single" w:sz="4" w:space="0" w:color="auto"/>
            </w:tcBorders>
            <w:shd w:val="clear" w:color="000000" w:fill="FFFFFF"/>
            <w:noWrap/>
            <w:vAlign w:val="bottom"/>
            <w:hideMark/>
          </w:tcPr>
          <w:p w14:paraId="78F5644D"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52.2%</w:t>
            </w:r>
          </w:p>
        </w:tc>
      </w:tr>
      <w:tr w:rsidR="00C74E7E" w:rsidRPr="007E2527" w14:paraId="19F42C7C"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5469D394" w14:textId="77777777" w:rsidR="00C74E7E" w:rsidRPr="00C74E7E" w:rsidRDefault="00C74E7E" w:rsidP="00C74E7E">
            <w:pPr>
              <w:spacing w:after="0" w:line="240" w:lineRule="auto"/>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7AE6C81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single" w:sz="4" w:space="0" w:color="auto"/>
            </w:tcBorders>
            <w:shd w:val="clear" w:color="000000" w:fill="FFFFFF"/>
            <w:noWrap/>
            <w:vAlign w:val="bottom"/>
            <w:hideMark/>
          </w:tcPr>
          <w:p w14:paraId="02969604"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0.3%</w:t>
            </w:r>
          </w:p>
        </w:tc>
        <w:tc>
          <w:tcPr>
            <w:tcW w:w="960" w:type="dxa"/>
            <w:tcBorders>
              <w:top w:val="nil"/>
              <w:left w:val="nil"/>
              <w:bottom w:val="nil"/>
              <w:right w:val="nil"/>
            </w:tcBorders>
            <w:shd w:val="clear" w:color="000000" w:fill="FFFFFF"/>
            <w:noWrap/>
            <w:vAlign w:val="bottom"/>
            <w:hideMark/>
          </w:tcPr>
          <w:p w14:paraId="6605B68C"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4390151"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w:t>
            </w:r>
          </w:p>
        </w:tc>
      </w:tr>
      <w:tr w:rsidR="00C74E7E" w:rsidRPr="007E2527" w14:paraId="10D47A84"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475B6365" w14:textId="77777777" w:rsidR="00C74E7E" w:rsidRPr="00C74E7E" w:rsidRDefault="00C74E7E" w:rsidP="00C74E7E">
            <w:pPr>
              <w:spacing w:after="0" w:line="240" w:lineRule="auto"/>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800E512"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2232</w:t>
            </w:r>
          </w:p>
        </w:tc>
        <w:tc>
          <w:tcPr>
            <w:tcW w:w="960" w:type="dxa"/>
            <w:tcBorders>
              <w:top w:val="nil"/>
              <w:left w:val="nil"/>
              <w:bottom w:val="nil"/>
              <w:right w:val="single" w:sz="4" w:space="0" w:color="auto"/>
            </w:tcBorders>
            <w:shd w:val="clear" w:color="000000" w:fill="FFFFFF"/>
            <w:noWrap/>
            <w:vAlign w:val="bottom"/>
            <w:hideMark/>
          </w:tcPr>
          <w:p w14:paraId="7560B309"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46.0%</w:t>
            </w:r>
          </w:p>
        </w:tc>
        <w:tc>
          <w:tcPr>
            <w:tcW w:w="960" w:type="dxa"/>
            <w:tcBorders>
              <w:top w:val="nil"/>
              <w:left w:val="nil"/>
              <w:bottom w:val="nil"/>
              <w:right w:val="nil"/>
            </w:tcBorders>
            <w:shd w:val="clear" w:color="000000" w:fill="FFFFFF"/>
            <w:noWrap/>
            <w:vAlign w:val="bottom"/>
            <w:hideMark/>
          </w:tcPr>
          <w:p w14:paraId="19C155C2"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659</w:t>
            </w:r>
          </w:p>
        </w:tc>
        <w:tc>
          <w:tcPr>
            <w:tcW w:w="960" w:type="dxa"/>
            <w:tcBorders>
              <w:top w:val="nil"/>
              <w:left w:val="nil"/>
              <w:bottom w:val="nil"/>
              <w:right w:val="single" w:sz="4" w:space="0" w:color="auto"/>
            </w:tcBorders>
            <w:shd w:val="clear" w:color="000000" w:fill="FFFFFF"/>
            <w:noWrap/>
            <w:vAlign w:val="bottom"/>
            <w:hideMark/>
          </w:tcPr>
          <w:p w14:paraId="2903C620" w14:textId="77777777" w:rsidR="00C74E7E" w:rsidRPr="00C74E7E" w:rsidRDefault="00C74E7E" w:rsidP="00C74E7E">
            <w:pPr>
              <w:spacing w:after="0" w:line="240" w:lineRule="auto"/>
              <w:jc w:val="right"/>
              <w:rPr>
                <w:rFonts w:asciiTheme="minorHAnsi" w:eastAsia="Times New Roman" w:hAnsiTheme="minorHAnsi" w:cs="Times New Roman"/>
                <w:color w:val="000000"/>
                <w:kern w:val="0"/>
                <w:szCs w:val="22"/>
                <w:lang w:eastAsia="en-GB"/>
                <w14:ligatures w14:val="none"/>
              </w:rPr>
            </w:pPr>
            <w:r w:rsidRPr="00C74E7E">
              <w:rPr>
                <w:rFonts w:asciiTheme="minorHAnsi" w:eastAsia="Times New Roman" w:hAnsiTheme="minorHAnsi" w:cs="Times New Roman"/>
                <w:color w:val="000000"/>
                <w:kern w:val="0"/>
                <w:szCs w:val="22"/>
                <w:lang w:eastAsia="en-GB"/>
                <w14:ligatures w14:val="none"/>
              </w:rPr>
              <w:t>47.6%</w:t>
            </w:r>
          </w:p>
        </w:tc>
      </w:tr>
      <w:tr w:rsidR="00C74E7E" w:rsidRPr="007E2527" w14:paraId="5F3B2B6E" w14:textId="77777777" w:rsidTr="00E97FCD">
        <w:trPr>
          <w:trHeight w:val="315"/>
        </w:trPr>
        <w:tc>
          <w:tcPr>
            <w:tcW w:w="4592" w:type="dxa"/>
            <w:tcBorders>
              <w:top w:val="dotted" w:sz="4" w:space="0" w:color="auto"/>
              <w:left w:val="single" w:sz="4" w:space="0" w:color="auto"/>
              <w:bottom w:val="double" w:sz="6" w:space="0" w:color="auto"/>
              <w:right w:val="nil"/>
            </w:tcBorders>
            <w:shd w:val="clear" w:color="000000" w:fill="FFFFFF"/>
            <w:noWrap/>
            <w:vAlign w:val="bottom"/>
            <w:hideMark/>
          </w:tcPr>
          <w:p w14:paraId="426CD8F8" w14:textId="77777777" w:rsidR="00C74E7E" w:rsidRPr="00C74E7E" w:rsidRDefault="00C74E7E" w:rsidP="00C74E7E">
            <w:pPr>
              <w:spacing w:after="0" w:line="240" w:lineRule="auto"/>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64CC72B7"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4856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259C168"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85D6DFA"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350D654" w14:textId="77777777" w:rsidR="00C74E7E" w:rsidRPr="00C74E7E" w:rsidRDefault="00C74E7E" w:rsidP="00C74E7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74E7E">
              <w:rPr>
                <w:rFonts w:asciiTheme="minorHAnsi" w:eastAsia="Times New Roman" w:hAnsiTheme="minorHAnsi" w:cs="Times New Roman"/>
                <w:b/>
                <w:bCs/>
                <w:color w:val="000000"/>
                <w:kern w:val="0"/>
                <w:szCs w:val="22"/>
                <w:lang w:eastAsia="en-GB"/>
                <w14:ligatures w14:val="none"/>
              </w:rPr>
              <w:t>100%</w:t>
            </w:r>
          </w:p>
        </w:tc>
      </w:tr>
    </w:tbl>
    <w:p w14:paraId="012BA0C0" w14:textId="77777777" w:rsidR="008F5364" w:rsidRDefault="008F5364" w:rsidP="008F5364">
      <w:pPr>
        <w:rPr>
          <w:rFonts w:asciiTheme="minorHAnsi" w:hAnsiTheme="minorHAnsi"/>
          <w:b/>
          <w:bCs/>
          <w:szCs w:val="22"/>
        </w:rPr>
      </w:pPr>
    </w:p>
    <w:p w14:paraId="1826EAB4" w14:textId="77777777" w:rsidR="00E97FCD" w:rsidRPr="007E2527" w:rsidRDefault="00E97FCD" w:rsidP="008F5364">
      <w:pPr>
        <w:rPr>
          <w:rFonts w:asciiTheme="minorHAnsi" w:hAnsiTheme="minorHAnsi"/>
          <w:b/>
          <w:bCs/>
          <w:szCs w:val="22"/>
        </w:rPr>
      </w:pPr>
    </w:p>
    <w:p w14:paraId="232C4459" w14:textId="44458E26" w:rsidR="008F5364" w:rsidRPr="007E2527" w:rsidRDefault="008F5364" w:rsidP="008F5364">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gender affirmation and grade, 2025 (n=2,860)</w:t>
      </w:r>
    </w:p>
    <w:tbl>
      <w:tblPr>
        <w:tblW w:w="14192" w:type="dxa"/>
        <w:jc w:val="center"/>
        <w:tblLayout w:type="fixed"/>
        <w:tblLook w:val="04A0" w:firstRow="1" w:lastRow="0" w:firstColumn="1" w:lastColumn="0" w:noHBand="0" w:noVBand="1"/>
      </w:tblPr>
      <w:tblGrid>
        <w:gridCol w:w="4592"/>
        <w:gridCol w:w="960"/>
        <w:gridCol w:w="960"/>
        <w:gridCol w:w="960"/>
        <w:gridCol w:w="960"/>
        <w:gridCol w:w="960"/>
        <w:gridCol w:w="960"/>
        <w:gridCol w:w="960"/>
        <w:gridCol w:w="960"/>
        <w:gridCol w:w="960"/>
        <w:gridCol w:w="960"/>
      </w:tblGrid>
      <w:tr w:rsidR="00E97FCD" w:rsidRPr="00AB0724" w14:paraId="65B35EB0" w14:textId="77777777" w:rsidTr="00E97FCD">
        <w:trPr>
          <w:trHeight w:val="300"/>
          <w:jc w:val="center"/>
        </w:trPr>
        <w:tc>
          <w:tcPr>
            <w:tcW w:w="4592" w:type="dxa"/>
            <w:tcBorders>
              <w:top w:val="single" w:sz="4" w:space="0" w:color="auto"/>
              <w:left w:val="single" w:sz="4" w:space="0" w:color="auto"/>
              <w:bottom w:val="nil"/>
              <w:right w:val="nil"/>
            </w:tcBorders>
            <w:shd w:val="clear" w:color="000000" w:fill="FFFFFF"/>
            <w:noWrap/>
            <w:vAlign w:val="bottom"/>
            <w:hideMark/>
          </w:tcPr>
          <w:p w14:paraId="52B1799B" w14:textId="77777777" w:rsidR="00AB0724" w:rsidRPr="00AB0724" w:rsidRDefault="00AB0724" w:rsidP="00AB0724">
            <w:pPr>
              <w:spacing w:after="0" w:line="240" w:lineRule="auto"/>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D92FEA7" w14:textId="77777777" w:rsidR="00AB0724" w:rsidRPr="00AB0724" w:rsidRDefault="00AB0724" w:rsidP="00AB072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Grade E</w:t>
            </w:r>
          </w:p>
        </w:tc>
        <w:tc>
          <w:tcPr>
            <w:tcW w:w="1920" w:type="dxa"/>
            <w:gridSpan w:val="2"/>
            <w:tcBorders>
              <w:top w:val="single" w:sz="4" w:space="0" w:color="auto"/>
              <w:left w:val="nil"/>
              <w:bottom w:val="nil"/>
              <w:right w:val="nil"/>
            </w:tcBorders>
            <w:shd w:val="clear" w:color="000000" w:fill="FFFFFF"/>
            <w:noWrap/>
            <w:vAlign w:val="bottom"/>
            <w:hideMark/>
          </w:tcPr>
          <w:p w14:paraId="0B405A96" w14:textId="77777777" w:rsidR="00AB0724" w:rsidRPr="00AB0724" w:rsidRDefault="00AB0724" w:rsidP="00AB072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EDFE12B" w14:textId="77777777" w:rsidR="00AB0724" w:rsidRPr="00AB0724" w:rsidRDefault="00AB0724" w:rsidP="00AB072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2DCDFCB3" w14:textId="77777777" w:rsidR="00AB0724" w:rsidRPr="00AB0724" w:rsidRDefault="00AB0724" w:rsidP="00AB072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2641CD8" w14:textId="77777777" w:rsidR="00AB0724" w:rsidRPr="00AB0724" w:rsidRDefault="00AB0724" w:rsidP="00AB072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Grade I</w:t>
            </w:r>
          </w:p>
        </w:tc>
      </w:tr>
      <w:tr w:rsidR="00AB0724" w:rsidRPr="007E2527" w14:paraId="2DA54EDD" w14:textId="77777777" w:rsidTr="00E97FCD">
        <w:trPr>
          <w:trHeight w:val="300"/>
          <w:jc w:val="center"/>
        </w:trPr>
        <w:tc>
          <w:tcPr>
            <w:tcW w:w="4592" w:type="dxa"/>
            <w:tcBorders>
              <w:top w:val="nil"/>
              <w:left w:val="single" w:sz="4" w:space="0" w:color="auto"/>
              <w:bottom w:val="single" w:sz="4" w:space="0" w:color="auto"/>
              <w:right w:val="nil"/>
            </w:tcBorders>
            <w:shd w:val="clear" w:color="000000" w:fill="FFFFFF"/>
            <w:noWrap/>
            <w:vAlign w:val="bottom"/>
            <w:hideMark/>
          </w:tcPr>
          <w:p w14:paraId="2D446612" w14:textId="77777777" w:rsidR="00AB0724" w:rsidRPr="00AB0724" w:rsidRDefault="00AB0724" w:rsidP="00AB0724">
            <w:pPr>
              <w:spacing w:after="0" w:line="240" w:lineRule="auto"/>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340C9C1A"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2CD69EF"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D65E384"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8D63C28"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DCEB873"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E86FF86"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C059928"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DD19FCB"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DEC3025"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8FFEFF5" w14:textId="77777777" w:rsidR="00AB0724" w:rsidRPr="00AB0724" w:rsidRDefault="00AB0724" w:rsidP="00AB0724">
            <w:pPr>
              <w:spacing w:after="0" w:line="240" w:lineRule="auto"/>
              <w:jc w:val="center"/>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r>
      <w:tr w:rsidR="00AB0724" w:rsidRPr="007E2527" w14:paraId="6E957D3C" w14:textId="77777777" w:rsidTr="00E97FCD">
        <w:trPr>
          <w:trHeight w:val="300"/>
          <w:jc w:val="center"/>
        </w:trPr>
        <w:tc>
          <w:tcPr>
            <w:tcW w:w="4592" w:type="dxa"/>
            <w:tcBorders>
              <w:top w:val="nil"/>
              <w:left w:val="single" w:sz="4" w:space="0" w:color="auto"/>
              <w:bottom w:val="nil"/>
              <w:right w:val="nil"/>
            </w:tcBorders>
            <w:shd w:val="clear" w:color="000000" w:fill="FFFFFF"/>
            <w:noWrap/>
            <w:vAlign w:val="bottom"/>
            <w:hideMark/>
          </w:tcPr>
          <w:p w14:paraId="39CF4B5A" w14:textId="77777777" w:rsidR="00AB0724" w:rsidRPr="00AB0724" w:rsidRDefault="00AB0724" w:rsidP="00AB0724">
            <w:pPr>
              <w:spacing w:after="0" w:line="240" w:lineRule="auto"/>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608A9815"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single" w:sz="4" w:space="0" w:color="auto"/>
            </w:tcBorders>
            <w:shd w:val="clear" w:color="000000" w:fill="FFFFFF"/>
            <w:noWrap/>
            <w:vAlign w:val="bottom"/>
            <w:hideMark/>
          </w:tcPr>
          <w:p w14:paraId="3FF9360B"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92.3%</w:t>
            </w:r>
          </w:p>
        </w:tc>
        <w:tc>
          <w:tcPr>
            <w:tcW w:w="960" w:type="dxa"/>
            <w:tcBorders>
              <w:top w:val="nil"/>
              <w:left w:val="nil"/>
              <w:bottom w:val="nil"/>
              <w:right w:val="nil"/>
            </w:tcBorders>
            <w:shd w:val="clear" w:color="000000" w:fill="FFFFFF"/>
            <w:noWrap/>
            <w:vAlign w:val="bottom"/>
            <w:hideMark/>
          </w:tcPr>
          <w:p w14:paraId="569B2AB9"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668</w:t>
            </w:r>
          </w:p>
        </w:tc>
        <w:tc>
          <w:tcPr>
            <w:tcW w:w="960" w:type="dxa"/>
            <w:tcBorders>
              <w:top w:val="nil"/>
              <w:left w:val="nil"/>
              <w:bottom w:val="nil"/>
              <w:right w:val="single" w:sz="4" w:space="0" w:color="auto"/>
            </w:tcBorders>
            <w:shd w:val="clear" w:color="000000" w:fill="FFFFFF"/>
            <w:noWrap/>
            <w:vAlign w:val="bottom"/>
            <w:hideMark/>
          </w:tcPr>
          <w:p w14:paraId="19C2D62C"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70.5%</w:t>
            </w:r>
          </w:p>
        </w:tc>
        <w:tc>
          <w:tcPr>
            <w:tcW w:w="960" w:type="dxa"/>
            <w:tcBorders>
              <w:top w:val="nil"/>
              <w:left w:val="nil"/>
              <w:bottom w:val="nil"/>
              <w:right w:val="nil"/>
            </w:tcBorders>
            <w:shd w:val="clear" w:color="000000" w:fill="FFFFFF"/>
            <w:noWrap/>
            <w:vAlign w:val="bottom"/>
            <w:hideMark/>
          </w:tcPr>
          <w:p w14:paraId="629F1D17"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325</w:t>
            </w:r>
          </w:p>
        </w:tc>
        <w:tc>
          <w:tcPr>
            <w:tcW w:w="960" w:type="dxa"/>
            <w:tcBorders>
              <w:top w:val="nil"/>
              <w:left w:val="nil"/>
              <w:bottom w:val="nil"/>
              <w:right w:val="single" w:sz="4" w:space="0" w:color="auto"/>
            </w:tcBorders>
            <w:shd w:val="clear" w:color="000000" w:fill="FFFFFF"/>
            <w:noWrap/>
            <w:vAlign w:val="bottom"/>
            <w:hideMark/>
          </w:tcPr>
          <w:p w14:paraId="0D2BE3A9"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51.1%</w:t>
            </w:r>
          </w:p>
        </w:tc>
        <w:tc>
          <w:tcPr>
            <w:tcW w:w="960" w:type="dxa"/>
            <w:tcBorders>
              <w:top w:val="nil"/>
              <w:left w:val="nil"/>
              <w:bottom w:val="nil"/>
              <w:right w:val="nil"/>
            </w:tcBorders>
            <w:shd w:val="clear" w:color="000000" w:fill="FFFFFF"/>
            <w:noWrap/>
            <w:vAlign w:val="bottom"/>
            <w:hideMark/>
          </w:tcPr>
          <w:p w14:paraId="67C977E0"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194</w:t>
            </w:r>
          </w:p>
        </w:tc>
        <w:tc>
          <w:tcPr>
            <w:tcW w:w="960" w:type="dxa"/>
            <w:tcBorders>
              <w:top w:val="nil"/>
              <w:left w:val="nil"/>
              <w:bottom w:val="nil"/>
              <w:right w:val="single" w:sz="4" w:space="0" w:color="auto"/>
            </w:tcBorders>
            <w:shd w:val="clear" w:color="000000" w:fill="FFFFFF"/>
            <w:noWrap/>
            <w:vAlign w:val="bottom"/>
            <w:hideMark/>
          </w:tcPr>
          <w:p w14:paraId="3708B008"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38.0%</w:t>
            </w:r>
          </w:p>
        </w:tc>
        <w:tc>
          <w:tcPr>
            <w:tcW w:w="960" w:type="dxa"/>
            <w:tcBorders>
              <w:top w:val="nil"/>
              <w:left w:val="nil"/>
              <w:bottom w:val="nil"/>
              <w:right w:val="nil"/>
            </w:tcBorders>
            <w:shd w:val="clear" w:color="000000" w:fill="FFFFFF"/>
            <w:noWrap/>
            <w:vAlign w:val="bottom"/>
            <w:hideMark/>
          </w:tcPr>
          <w:p w14:paraId="6355ECB5"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231</w:t>
            </w:r>
          </w:p>
        </w:tc>
        <w:tc>
          <w:tcPr>
            <w:tcW w:w="960" w:type="dxa"/>
            <w:tcBorders>
              <w:top w:val="nil"/>
              <w:left w:val="nil"/>
              <w:bottom w:val="nil"/>
              <w:right w:val="single" w:sz="4" w:space="0" w:color="auto"/>
            </w:tcBorders>
            <w:shd w:val="clear" w:color="000000" w:fill="FFFFFF"/>
            <w:noWrap/>
            <w:vAlign w:val="bottom"/>
            <w:hideMark/>
          </w:tcPr>
          <w:p w14:paraId="7266D8BB"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31.2%</w:t>
            </w:r>
          </w:p>
        </w:tc>
      </w:tr>
      <w:tr w:rsidR="00AB0724" w:rsidRPr="007E2527" w14:paraId="4B4A7043" w14:textId="77777777" w:rsidTr="00E97FCD">
        <w:trPr>
          <w:trHeight w:val="300"/>
          <w:jc w:val="center"/>
        </w:trPr>
        <w:tc>
          <w:tcPr>
            <w:tcW w:w="4592" w:type="dxa"/>
            <w:tcBorders>
              <w:top w:val="nil"/>
              <w:left w:val="single" w:sz="4" w:space="0" w:color="auto"/>
              <w:bottom w:val="nil"/>
              <w:right w:val="nil"/>
            </w:tcBorders>
            <w:shd w:val="clear" w:color="000000" w:fill="FFFFFF"/>
            <w:noWrap/>
            <w:vAlign w:val="bottom"/>
            <w:hideMark/>
          </w:tcPr>
          <w:p w14:paraId="77F25803" w14:textId="77777777" w:rsidR="00AB0724" w:rsidRPr="00AB0724" w:rsidRDefault="00AB0724" w:rsidP="00AB0724">
            <w:pPr>
              <w:spacing w:after="0" w:line="240" w:lineRule="auto"/>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2727569D"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B3291B0"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E0BDFCF"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895DDFE"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8723249"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00012A2"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1DD78AD9"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0F670EF"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957811A"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6D009B15"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 </w:t>
            </w:r>
          </w:p>
        </w:tc>
      </w:tr>
      <w:tr w:rsidR="00AB0724" w:rsidRPr="007E2527" w14:paraId="6BE88806" w14:textId="77777777" w:rsidTr="00E97FCD">
        <w:trPr>
          <w:trHeight w:val="300"/>
          <w:jc w:val="center"/>
        </w:trPr>
        <w:tc>
          <w:tcPr>
            <w:tcW w:w="4592" w:type="dxa"/>
            <w:tcBorders>
              <w:top w:val="nil"/>
              <w:left w:val="single" w:sz="4" w:space="0" w:color="auto"/>
              <w:bottom w:val="nil"/>
              <w:right w:val="nil"/>
            </w:tcBorders>
            <w:shd w:val="clear" w:color="000000" w:fill="FFFFFF"/>
            <w:noWrap/>
            <w:vAlign w:val="bottom"/>
            <w:hideMark/>
          </w:tcPr>
          <w:p w14:paraId="01C18918" w14:textId="77777777" w:rsidR="00AB0724" w:rsidRPr="00AB0724" w:rsidRDefault="00AB0724" w:rsidP="00AB0724">
            <w:pPr>
              <w:spacing w:after="0" w:line="240" w:lineRule="auto"/>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78B50D85"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4D4A32D"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C84C97D"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276</w:t>
            </w:r>
          </w:p>
        </w:tc>
        <w:tc>
          <w:tcPr>
            <w:tcW w:w="960" w:type="dxa"/>
            <w:tcBorders>
              <w:top w:val="nil"/>
              <w:left w:val="nil"/>
              <w:bottom w:val="nil"/>
              <w:right w:val="single" w:sz="4" w:space="0" w:color="auto"/>
            </w:tcBorders>
            <w:shd w:val="clear" w:color="000000" w:fill="FFFFFF"/>
            <w:noWrap/>
            <w:vAlign w:val="bottom"/>
            <w:hideMark/>
          </w:tcPr>
          <w:p w14:paraId="0D32BFF1"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29.1%</w:t>
            </w:r>
          </w:p>
        </w:tc>
        <w:tc>
          <w:tcPr>
            <w:tcW w:w="960" w:type="dxa"/>
            <w:tcBorders>
              <w:top w:val="nil"/>
              <w:left w:val="nil"/>
              <w:bottom w:val="nil"/>
              <w:right w:val="nil"/>
            </w:tcBorders>
            <w:shd w:val="clear" w:color="000000" w:fill="FFFFFF"/>
            <w:noWrap/>
            <w:vAlign w:val="bottom"/>
            <w:hideMark/>
          </w:tcPr>
          <w:p w14:paraId="6EFA3A05"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309</w:t>
            </w:r>
          </w:p>
        </w:tc>
        <w:tc>
          <w:tcPr>
            <w:tcW w:w="960" w:type="dxa"/>
            <w:tcBorders>
              <w:top w:val="nil"/>
              <w:left w:val="nil"/>
              <w:bottom w:val="nil"/>
              <w:right w:val="single" w:sz="4" w:space="0" w:color="auto"/>
            </w:tcBorders>
            <w:shd w:val="clear" w:color="000000" w:fill="FFFFFF"/>
            <w:noWrap/>
            <w:vAlign w:val="bottom"/>
            <w:hideMark/>
          </w:tcPr>
          <w:p w14:paraId="1090B7DF"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48.6%</w:t>
            </w:r>
          </w:p>
        </w:tc>
        <w:tc>
          <w:tcPr>
            <w:tcW w:w="960" w:type="dxa"/>
            <w:tcBorders>
              <w:top w:val="nil"/>
              <w:left w:val="nil"/>
              <w:bottom w:val="nil"/>
              <w:right w:val="nil"/>
            </w:tcBorders>
            <w:shd w:val="clear" w:color="000000" w:fill="FFFFFF"/>
            <w:noWrap/>
            <w:vAlign w:val="bottom"/>
            <w:hideMark/>
          </w:tcPr>
          <w:p w14:paraId="1AEAA8C7"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316</w:t>
            </w:r>
          </w:p>
        </w:tc>
        <w:tc>
          <w:tcPr>
            <w:tcW w:w="960" w:type="dxa"/>
            <w:tcBorders>
              <w:top w:val="nil"/>
              <w:left w:val="nil"/>
              <w:bottom w:val="nil"/>
              <w:right w:val="single" w:sz="4" w:space="0" w:color="auto"/>
            </w:tcBorders>
            <w:shd w:val="clear" w:color="000000" w:fill="FFFFFF"/>
            <w:noWrap/>
            <w:vAlign w:val="bottom"/>
            <w:hideMark/>
          </w:tcPr>
          <w:p w14:paraId="375987B3"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61.8%</w:t>
            </w:r>
          </w:p>
        </w:tc>
        <w:tc>
          <w:tcPr>
            <w:tcW w:w="960" w:type="dxa"/>
            <w:tcBorders>
              <w:top w:val="nil"/>
              <w:left w:val="nil"/>
              <w:bottom w:val="nil"/>
              <w:right w:val="nil"/>
            </w:tcBorders>
            <w:shd w:val="clear" w:color="000000" w:fill="FFFFFF"/>
            <w:noWrap/>
            <w:vAlign w:val="bottom"/>
            <w:hideMark/>
          </w:tcPr>
          <w:p w14:paraId="00B7BAB8"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509</w:t>
            </w:r>
          </w:p>
        </w:tc>
        <w:tc>
          <w:tcPr>
            <w:tcW w:w="960" w:type="dxa"/>
            <w:tcBorders>
              <w:top w:val="nil"/>
              <w:left w:val="nil"/>
              <w:bottom w:val="nil"/>
              <w:right w:val="single" w:sz="4" w:space="0" w:color="auto"/>
            </w:tcBorders>
            <w:shd w:val="clear" w:color="000000" w:fill="FFFFFF"/>
            <w:noWrap/>
            <w:vAlign w:val="bottom"/>
            <w:hideMark/>
          </w:tcPr>
          <w:p w14:paraId="2382CC68" w14:textId="77777777" w:rsidR="00AB0724" w:rsidRPr="00AB0724" w:rsidRDefault="00AB0724" w:rsidP="00AB0724">
            <w:pPr>
              <w:spacing w:after="0" w:line="240" w:lineRule="auto"/>
              <w:jc w:val="right"/>
              <w:rPr>
                <w:rFonts w:asciiTheme="minorHAnsi" w:eastAsia="Times New Roman" w:hAnsiTheme="minorHAnsi" w:cs="Times New Roman"/>
                <w:color w:val="000000"/>
                <w:kern w:val="0"/>
                <w:szCs w:val="22"/>
                <w:lang w:eastAsia="en-GB"/>
                <w14:ligatures w14:val="none"/>
              </w:rPr>
            </w:pPr>
            <w:r w:rsidRPr="00AB0724">
              <w:rPr>
                <w:rFonts w:asciiTheme="minorHAnsi" w:eastAsia="Times New Roman" w:hAnsiTheme="minorHAnsi" w:cs="Times New Roman"/>
                <w:color w:val="000000"/>
                <w:kern w:val="0"/>
                <w:szCs w:val="22"/>
                <w:lang w:eastAsia="en-GB"/>
                <w14:ligatures w14:val="none"/>
              </w:rPr>
              <w:t>68.8%</w:t>
            </w:r>
          </w:p>
        </w:tc>
      </w:tr>
      <w:tr w:rsidR="00AB0724" w:rsidRPr="007E2527" w14:paraId="680B1AC9" w14:textId="77777777" w:rsidTr="00E97FCD">
        <w:trPr>
          <w:trHeight w:val="315"/>
          <w:jc w:val="center"/>
        </w:trPr>
        <w:tc>
          <w:tcPr>
            <w:tcW w:w="4592" w:type="dxa"/>
            <w:tcBorders>
              <w:top w:val="dotted" w:sz="4" w:space="0" w:color="auto"/>
              <w:left w:val="single" w:sz="4" w:space="0" w:color="auto"/>
              <w:bottom w:val="double" w:sz="6" w:space="0" w:color="auto"/>
              <w:right w:val="nil"/>
            </w:tcBorders>
            <w:shd w:val="clear" w:color="000000" w:fill="FFFFFF"/>
            <w:noWrap/>
            <w:vAlign w:val="bottom"/>
            <w:hideMark/>
          </w:tcPr>
          <w:p w14:paraId="52B73624" w14:textId="77777777" w:rsidR="00AB0724" w:rsidRPr="00AB0724" w:rsidRDefault="00AB0724" w:rsidP="00AB0724">
            <w:pPr>
              <w:spacing w:after="0" w:line="240" w:lineRule="auto"/>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9A4F126"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26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7C41220"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7F82EDE"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947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72ABAEF"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D525D2F"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636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BCD9F61"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A6814C5"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511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5F19CD0"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119A9D5"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740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0953B27" w14:textId="77777777" w:rsidR="00AB0724" w:rsidRPr="00AB0724" w:rsidRDefault="00AB0724" w:rsidP="00AB072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B0724">
              <w:rPr>
                <w:rFonts w:asciiTheme="minorHAnsi" w:eastAsia="Times New Roman" w:hAnsiTheme="minorHAnsi" w:cs="Times New Roman"/>
                <w:b/>
                <w:bCs/>
                <w:color w:val="000000"/>
                <w:kern w:val="0"/>
                <w:szCs w:val="22"/>
                <w:lang w:eastAsia="en-GB"/>
                <w14:ligatures w14:val="none"/>
              </w:rPr>
              <w:t>100%</w:t>
            </w:r>
          </w:p>
        </w:tc>
      </w:tr>
    </w:tbl>
    <w:p w14:paraId="2F7EB252" w14:textId="77777777" w:rsidR="00AB0724" w:rsidRPr="007E2527" w:rsidRDefault="00AB0724" w:rsidP="00AB0724">
      <w:pPr>
        <w:rPr>
          <w:rFonts w:asciiTheme="minorHAnsi" w:hAnsiTheme="minorHAnsi"/>
          <w:b/>
          <w:bCs/>
          <w:szCs w:val="22"/>
        </w:rPr>
      </w:pPr>
    </w:p>
    <w:p w14:paraId="2AEE3D97" w14:textId="05F4C972" w:rsidR="00482B2A" w:rsidRPr="007E2527" w:rsidRDefault="00482B2A" w:rsidP="008F5364">
      <w:pPr>
        <w:rPr>
          <w:rFonts w:asciiTheme="minorHAnsi" w:hAnsiTheme="minorHAnsi"/>
          <w:b/>
          <w:bCs/>
          <w:szCs w:val="22"/>
        </w:rPr>
      </w:pPr>
    </w:p>
    <w:p w14:paraId="03F469BE" w14:textId="77777777" w:rsidR="00AB0724" w:rsidRPr="007E2527" w:rsidRDefault="00AB0724" w:rsidP="008F5364">
      <w:pPr>
        <w:rPr>
          <w:rFonts w:asciiTheme="minorHAnsi" w:hAnsiTheme="minorHAnsi"/>
          <w:b/>
          <w:bCs/>
          <w:szCs w:val="22"/>
        </w:rPr>
      </w:pPr>
    </w:p>
    <w:p w14:paraId="7B589287" w14:textId="77777777" w:rsidR="00AB0724" w:rsidRPr="007E2527" w:rsidRDefault="00AB0724" w:rsidP="008F5364">
      <w:pPr>
        <w:rPr>
          <w:rFonts w:asciiTheme="minorHAnsi" w:hAnsiTheme="minorHAnsi"/>
          <w:b/>
          <w:bCs/>
          <w:szCs w:val="22"/>
        </w:rPr>
      </w:pPr>
    </w:p>
    <w:p w14:paraId="0E705CF3" w14:textId="77777777" w:rsidR="00AB0724" w:rsidRPr="007E2527" w:rsidRDefault="00AB0724" w:rsidP="008F5364">
      <w:pPr>
        <w:rPr>
          <w:rFonts w:asciiTheme="minorHAnsi" w:hAnsiTheme="minorHAnsi"/>
          <w:b/>
          <w:bCs/>
          <w:szCs w:val="22"/>
        </w:rPr>
      </w:pPr>
    </w:p>
    <w:p w14:paraId="33E6A920" w14:textId="77777777" w:rsidR="00AB0724" w:rsidRPr="007E2527" w:rsidRDefault="00AB0724" w:rsidP="008F5364">
      <w:pPr>
        <w:rPr>
          <w:rFonts w:asciiTheme="minorHAnsi" w:hAnsiTheme="minorHAnsi"/>
          <w:b/>
          <w:bCs/>
          <w:szCs w:val="22"/>
        </w:rPr>
      </w:pPr>
    </w:p>
    <w:p w14:paraId="3F3DED8C" w14:textId="77777777" w:rsidR="00AB0724" w:rsidRPr="007E2527" w:rsidRDefault="00AB0724" w:rsidP="008F5364">
      <w:pPr>
        <w:rPr>
          <w:rFonts w:asciiTheme="minorHAnsi" w:hAnsiTheme="minorHAnsi"/>
          <w:b/>
          <w:bCs/>
          <w:szCs w:val="22"/>
        </w:rPr>
      </w:pPr>
    </w:p>
    <w:p w14:paraId="1DC9A83C" w14:textId="49C2020A" w:rsidR="00227D0A" w:rsidRPr="007E2527" w:rsidRDefault="00C479B9" w:rsidP="00227D0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gender affirmation and grade, 2025 (n=3,381)</w:t>
      </w:r>
    </w:p>
    <w:tbl>
      <w:tblPr>
        <w:tblW w:w="14192" w:type="dxa"/>
        <w:tblLayout w:type="fixed"/>
        <w:tblLook w:val="04A0" w:firstRow="1" w:lastRow="0" w:firstColumn="1" w:lastColumn="0" w:noHBand="0" w:noVBand="1"/>
      </w:tblPr>
      <w:tblGrid>
        <w:gridCol w:w="4592"/>
        <w:gridCol w:w="960"/>
        <w:gridCol w:w="960"/>
        <w:gridCol w:w="960"/>
        <w:gridCol w:w="960"/>
        <w:gridCol w:w="960"/>
        <w:gridCol w:w="960"/>
        <w:gridCol w:w="960"/>
        <w:gridCol w:w="960"/>
        <w:gridCol w:w="960"/>
        <w:gridCol w:w="960"/>
      </w:tblGrid>
      <w:tr w:rsidR="00E97FCD" w:rsidRPr="00316037" w14:paraId="36765C1C" w14:textId="77777777" w:rsidTr="00E97FCD">
        <w:trPr>
          <w:trHeight w:val="300"/>
        </w:trPr>
        <w:tc>
          <w:tcPr>
            <w:tcW w:w="4592" w:type="dxa"/>
            <w:tcBorders>
              <w:top w:val="single" w:sz="4" w:space="0" w:color="auto"/>
              <w:left w:val="single" w:sz="4" w:space="0" w:color="auto"/>
              <w:bottom w:val="nil"/>
              <w:right w:val="nil"/>
            </w:tcBorders>
            <w:shd w:val="clear" w:color="000000" w:fill="FFFFFF"/>
            <w:noWrap/>
            <w:vAlign w:val="bottom"/>
            <w:hideMark/>
          </w:tcPr>
          <w:p w14:paraId="6AEE8450" w14:textId="77777777" w:rsidR="00316037" w:rsidRPr="00316037" w:rsidRDefault="00316037" w:rsidP="00316037">
            <w:pPr>
              <w:spacing w:after="0" w:line="240" w:lineRule="auto"/>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B56DB4F"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A</w:t>
            </w:r>
          </w:p>
        </w:tc>
        <w:tc>
          <w:tcPr>
            <w:tcW w:w="1920" w:type="dxa"/>
            <w:gridSpan w:val="2"/>
            <w:tcBorders>
              <w:top w:val="single" w:sz="4" w:space="0" w:color="auto"/>
              <w:left w:val="nil"/>
              <w:bottom w:val="nil"/>
              <w:right w:val="nil"/>
            </w:tcBorders>
            <w:shd w:val="clear" w:color="000000" w:fill="FFFFFF"/>
            <w:noWrap/>
            <w:vAlign w:val="bottom"/>
            <w:hideMark/>
          </w:tcPr>
          <w:p w14:paraId="2E28556B"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B</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C61BD0A"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C</w:t>
            </w:r>
          </w:p>
        </w:tc>
        <w:tc>
          <w:tcPr>
            <w:tcW w:w="1920" w:type="dxa"/>
            <w:gridSpan w:val="2"/>
            <w:tcBorders>
              <w:top w:val="single" w:sz="4" w:space="0" w:color="auto"/>
              <w:left w:val="nil"/>
              <w:bottom w:val="nil"/>
              <w:right w:val="nil"/>
            </w:tcBorders>
            <w:shd w:val="clear" w:color="000000" w:fill="FFFFFF"/>
            <w:noWrap/>
            <w:vAlign w:val="bottom"/>
            <w:hideMark/>
          </w:tcPr>
          <w:p w14:paraId="2C9E1A4D"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D</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863C481"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E</w:t>
            </w:r>
          </w:p>
        </w:tc>
      </w:tr>
      <w:tr w:rsidR="00316037" w:rsidRPr="007E2527" w14:paraId="23B5E87F" w14:textId="77777777" w:rsidTr="00E97FCD">
        <w:trPr>
          <w:trHeight w:val="300"/>
        </w:trPr>
        <w:tc>
          <w:tcPr>
            <w:tcW w:w="4592" w:type="dxa"/>
            <w:tcBorders>
              <w:top w:val="nil"/>
              <w:left w:val="single" w:sz="4" w:space="0" w:color="auto"/>
              <w:bottom w:val="single" w:sz="4" w:space="0" w:color="auto"/>
              <w:right w:val="nil"/>
            </w:tcBorders>
            <w:shd w:val="clear" w:color="000000" w:fill="FFFFFF"/>
            <w:noWrap/>
            <w:vAlign w:val="bottom"/>
            <w:hideMark/>
          </w:tcPr>
          <w:p w14:paraId="75B87071"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3FBE89D3"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BBA375A"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1EA270E"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EE8EFC6"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9432E70"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1594F50"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A4474A0"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F3AD951"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FAFE54D"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9FC6B87"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r>
      <w:tr w:rsidR="00316037" w:rsidRPr="007E2527" w14:paraId="0198281F"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14A50A6F"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1A8E03F1"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144</w:t>
            </w:r>
          </w:p>
        </w:tc>
        <w:tc>
          <w:tcPr>
            <w:tcW w:w="960" w:type="dxa"/>
            <w:tcBorders>
              <w:top w:val="nil"/>
              <w:left w:val="nil"/>
              <w:bottom w:val="nil"/>
              <w:right w:val="single" w:sz="4" w:space="0" w:color="auto"/>
            </w:tcBorders>
            <w:shd w:val="clear" w:color="000000" w:fill="FFFFFF"/>
            <w:noWrap/>
            <w:vAlign w:val="bottom"/>
            <w:hideMark/>
          </w:tcPr>
          <w:p w14:paraId="5539F031"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50.3%</w:t>
            </w:r>
          </w:p>
        </w:tc>
        <w:tc>
          <w:tcPr>
            <w:tcW w:w="960" w:type="dxa"/>
            <w:tcBorders>
              <w:top w:val="nil"/>
              <w:left w:val="nil"/>
              <w:bottom w:val="nil"/>
              <w:right w:val="nil"/>
            </w:tcBorders>
            <w:shd w:val="clear" w:color="000000" w:fill="FFFFFF"/>
            <w:noWrap/>
            <w:vAlign w:val="bottom"/>
            <w:hideMark/>
          </w:tcPr>
          <w:p w14:paraId="2AC0781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57</w:t>
            </w:r>
          </w:p>
        </w:tc>
        <w:tc>
          <w:tcPr>
            <w:tcW w:w="960" w:type="dxa"/>
            <w:tcBorders>
              <w:top w:val="nil"/>
              <w:left w:val="nil"/>
              <w:bottom w:val="nil"/>
              <w:right w:val="single" w:sz="4" w:space="0" w:color="auto"/>
            </w:tcBorders>
            <w:shd w:val="clear" w:color="000000" w:fill="FFFFFF"/>
            <w:noWrap/>
            <w:vAlign w:val="bottom"/>
            <w:hideMark/>
          </w:tcPr>
          <w:p w14:paraId="34CCFB74"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45.6%</w:t>
            </w:r>
          </w:p>
        </w:tc>
        <w:tc>
          <w:tcPr>
            <w:tcW w:w="960" w:type="dxa"/>
            <w:tcBorders>
              <w:top w:val="nil"/>
              <w:left w:val="nil"/>
              <w:bottom w:val="nil"/>
              <w:right w:val="nil"/>
            </w:tcBorders>
            <w:shd w:val="clear" w:color="000000" w:fill="FFFFFF"/>
            <w:noWrap/>
            <w:vAlign w:val="bottom"/>
            <w:hideMark/>
          </w:tcPr>
          <w:p w14:paraId="36D761D7"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238</w:t>
            </w:r>
          </w:p>
        </w:tc>
        <w:tc>
          <w:tcPr>
            <w:tcW w:w="960" w:type="dxa"/>
            <w:tcBorders>
              <w:top w:val="nil"/>
              <w:left w:val="nil"/>
              <w:bottom w:val="nil"/>
              <w:right w:val="single" w:sz="4" w:space="0" w:color="auto"/>
            </w:tcBorders>
            <w:shd w:val="clear" w:color="000000" w:fill="FFFFFF"/>
            <w:noWrap/>
            <w:vAlign w:val="bottom"/>
            <w:hideMark/>
          </w:tcPr>
          <w:p w14:paraId="7FD140A1"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61.8%</w:t>
            </w:r>
          </w:p>
        </w:tc>
        <w:tc>
          <w:tcPr>
            <w:tcW w:w="960" w:type="dxa"/>
            <w:tcBorders>
              <w:top w:val="nil"/>
              <w:left w:val="nil"/>
              <w:bottom w:val="nil"/>
              <w:right w:val="nil"/>
            </w:tcBorders>
            <w:shd w:val="clear" w:color="000000" w:fill="FFFFFF"/>
            <w:noWrap/>
            <w:vAlign w:val="bottom"/>
            <w:hideMark/>
          </w:tcPr>
          <w:p w14:paraId="19A9644A"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364</w:t>
            </w:r>
          </w:p>
        </w:tc>
        <w:tc>
          <w:tcPr>
            <w:tcW w:w="960" w:type="dxa"/>
            <w:tcBorders>
              <w:top w:val="nil"/>
              <w:left w:val="nil"/>
              <w:bottom w:val="nil"/>
              <w:right w:val="single" w:sz="4" w:space="0" w:color="auto"/>
            </w:tcBorders>
            <w:shd w:val="clear" w:color="000000" w:fill="FFFFFF"/>
            <w:noWrap/>
            <w:vAlign w:val="bottom"/>
            <w:hideMark/>
          </w:tcPr>
          <w:p w14:paraId="127931D8"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60.9%</w:t>
            </w:r>
          </w:p>
        </w:tc>
        <w:tc>
          <w:tcPr>
            <w:tcW w:w="960" w:type="dxa"/>
            <w:tcBorders>
              <w:top w:val="nil"/>
              <w:left w:val="nil"/>
              <w:bottom w:val="nil"/>
              <w:right w:val="nil"/>
            </w:tcBorders>
            <w:shd w:val="clear" w:color="000000" w:fill="FFFFFF"/>
            <w:noWrap/>
            <w:vAlign w:val="bottom"/>
            <w:hideMark/>
          </w:tcPr>
          <w:p w14:paraId="4E79DF78"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342</w:t>
            </w:r>
          </w:p>
        </w:tc>
        <w:tc>
          <w:tcPr>
            <w:tcW w:w="960" w:type="dxa"/>
            <w:tcBorders>
              <w:top w:val="nil"/>
              <w:left w:val="nil"/>
              <w:bottom w:val="nil"/>
              <w:right w:val="single" w:sz="4" w:space="0" w:color="auto"/>
            </w:tcBorders>
            <w:shd w:val="clear" w:color="000000" w:fill="FFFFFF"/>
            <w:noWrap/>
            <w:vAlign w:val="bottom"/>
            <w:hideMark/>
          </w:tcPr>
          <w:p w14:paraId="347EDAA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54.5%</w:t>
            </w:r>
          </w:p>
        </w:tc>
      </w:tr>
      <w:tr w:rsidR="00316037" w:rsidRPr="007E2527" w14:paraId="59DA08A3"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4547D7BF"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702C93DA"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7930F2DA"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5E17B52"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644E8C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CA415E1"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DE839EB"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102DCD8"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5DEF04E"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4B5D620"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EE45D3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r>
      <w:tr w:rsidR="00316037" w:rsidRPr="007E2527" w14:paraId="125B141B" w14:textId="77777777" w:rsidTr="00E97FCD">
        <w:trPr>
          <w:trHeight w:val="300"/>
        </w:trPr>
        <w:tc>
          <w:tcPr>
            <w:tcW w:w="4592" w:type="dxa"/>
            <w:tcBorders>
              <w:top w:val="nil"/>
              <w:left w:val="single" w:sz="4" w:space="0" w:color="auto"/>
              <w:bottom w:val="nil"/>
              <w:right w:val="nil"/>
            </w:tcBorders>
            <w:shd w:val="clear" w:color="000000" w:fill="FFFFFF"/>
            <w:noWrap/>
            <w:vAlign w:val="bottom"/>
            <w:hideMark/>
          </w:tcPr>
          <w:p w14:paraId="1C8A2B63"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7BAF2417"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142</w:t>
            </w:r>
          </w:p>
        </w:tc>
        <w:tc>
          <w:tcPr>
            <w:tcW w:w="960" w:type="dxa"/>
            <w:tcBorders>
              <w:top w:val="nil"/>
              <w:left w:val="nil"/>
              <w:bottom w:val="nil"/>
              <w:right w:val="single" w:sz="4" w:space="0" w:color="auto"/>
            </w:tcBorders>
            <w:shd w:val="clear" w:color="000000" w:fill="FFFFFF"/>
            <w:noWrap/>
            <w:vAlign w:val="bottom"/>
            <w:hideMark/>
          </w:tcPr>
          <w:p w14:paraId="0908903A"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49.7%</w:t>
            </w:r>
          </w:p>
        </w:tc>
        <w:tc>
          <w:tcPr>
            <w:tcW w:w="960" w:type="dxa"/>
            <w:tcBorders>
              <w:top w:val="nil"/>
              <w:left w:val="nil"/>
              <w:bottom w:val="nil"/>
              <w:right w:val="nil"/>
            </w:tcBorders>
            <w:shd w:val="clear" w:color="000000" w:fill="FFFFFF"/>
            <w:noWrap/>
            <w:vAlign w:val="bottom"/>
            <w:hideMark/>
          </w:tcPr>
          <w:p w14:paraId="2891BCF1"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65</w:t>
            </w:r>
          </w:p>
        </w:tc>
        <w:tc>
          <w:tcPr>
            <w:tcW w:w="960" w:type="dxa"/>
            <w:tcBorders>
              <w:top w:val="nil"/>
              <w:left w:val="nil"/>
              <w:bottom w:val="nil"/>
              <w:right w:val="single" w:sz="4" w:space="0" w:color="auto"/>
            </w:tcBorders>
            <w:shd w:val="clear" w:color="000000" w:fill="FFFFFF"/>
            <w:noWrap/>
            <w:vAlign w:val="bottom"/>
            <w:hideMark/>
          </w:tcPr>
          <w:p w14:paraId="7A0A220B"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52.0%</w:t>
            </w:r>
          </w:p>
        </w:tc>
        <w:tc>
          <w:tcPr>
            <w:tcW w:w="960" w:type="dxa"/>
            <w:tcBorders>
              <w:top w:val="nil"/>
              <w:left w:val="nil"/>
              <w:bottom w:val="nil"/>
              <w:right w:val="nil"/>
            </w:tcBorders>
            <w:shd w:val="clear" w:color="000000" w:fill="FFFFFF"/>
            <w:noWrap/>
            <w:vAlign w:val="bottom"/>
            <w:hideMark/>
          </w:tcPr>
          <w:p w14:paraId="71C8FE8C"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146</w:t>
            </w:r>
          </w:p>
        </w:tc>
        <w:tc>
          <w:tcPr>
            <w:tcW w:w="960" w:type="dxa"/>
            <w:tcBorders>
              <w:top w:val="nil"/>
              <w:left w:val="nil"/>
              <w:bottom w:val="nil"/>
              <w:right w:val="single" w:sz="4" w:space="0" w:color="auto"/>
            </w:tcBorders>
            <w:shd w:val="clear" w:color="000000" w:fill="FFFFFF"/>
            <w:noWrap/>
            <w:vAlign w:val="bottom"/>
            <w:hideMark/>
          </w:tcPr>
          <w:p w14:paraId="46DA391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37.9%</w:t>
            </w:r>
          </w:p>
        </w:tc>
        <w:tc>
          <w:tcPr>
            <w:tcW w:w="960" w:type="dxa"/>
            <w:tcBorders>
              <w:top w:val="nil"/>
              <w:left w:val="nil"/>
              <w:bottom w:val="nil"/>
              <w:right w:val="nil"/>
            </w:tcBorders>
            <w:shd w:val="clear" w:color="000000" w:fill="FFFFFF"/>
            <w:noWrap/>
            <w:vAlign w:val="bottom"/>
            <w:hideMark/>
          </w:tcPr>
          <w:p w14:paraId="3CCE2245"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231</w:t>
            </w:r>
          </w:p>
        </w:tc>
        <w:tc>
          <w:tcPr>
            <w:tcW w:w="960" w:type="dxa"/>
            <w:tcBorders>
              <w:top w:val="nil"/>
              <w:left w:val="nil"/>
              <w:bottom w:val="nil"/>
              <w:right w:val="single" w:sz="4" w:space="0" w:color="auto"/>
            </w:tcBorders>
            <w:shd w:val="clear" w:color="000000" w:fill="FFFFFF"/>
            <w:noWrap/>
            <w:vAlign w:val="bottom"/>
            <w:hideMark/>
          </w:tcPr>
          <w:p w14:paraId="4B0579E5"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38.6%</w:t>
            </w:r>
          </w:p>
        </w:tc>
        <w:tc>
          <w:tcPr>
            <w:tcW w:w="960" w:type="dxa"/>
            <w:tcBorders>
              <w:top w:val="nil"/>
              <w:left w:val="nil"/>
              <w:bottom w:val="nil"/>
              <w:right w:val="nil"/>
            </w:tcBorders>
            <w:shd w:val="clear" w:color="000000" w:fill="FFFFFF"/>
            <w:noWrap/>
            <w:vAlign w:val="bottom"/>
            <w:hideMark/>
          </w:tcPr>
          <w:p w14:paraId="2C223550"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284</w:t>
            </w:r>
          </w:p>
        </w:tc>
        <w:tc>
          <w:tcPr>
            <w:tcW w:w="960" w:type="dxa"/>
            <w:tcBorders>
              <w:top w:val="nil"/>
              <w:left w:val="nil"/>
              <w:bottom w:val="nil"/>
              <w:right w:val="single" w:sz="4" w:space="0" w:color="auto"/>
            </w:tcBorders>
            <w:shd w:val="clear" w:color="000000" w:fill="FFFFFF"/>
            <w:noWrap/>
            <w:vAlign w:val="bottom"/>
            <w:hideMark/>
          </w:tcPr>
          <w:p w14:paraId="3763FFDA"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45.3%</w:t>
            </w:r>
          </w:p>
        </w:tc>
      </w:tr>
      <w:tr w:rsidR="00316037" w:rsidRPr="007E2527" w14:paraId="072454C2" w14:textId="77777777" w:rsidTr="00E97FCD">
        <w:trPr>
          <w:trHeight w:val="315"/>
        </w:trPr>
        <w:tc>
          <w:tcPr>
            <w:tcW w:w="4592" w:type="dxa"/>
            <w:tcBorders>
              <w:top w:val="dotted" w:sz="4" w:space="0" w:color="auto"/>
              <w:left w:val="single" w:sz="4" w:space="0" w:color="auto"/>
              <w:bottom w:val="double" w:sz="6" w:space="0" w:color="auto"/>
              <w:right w:val="nil"/>
            </w:tcBorders>
            <w:shd w:val="clear" w:color="000000" w:fill="FFFFFF"/>
            <w:noWrap/>
            <w:vAlign w:val="bottom"/>
            <w:hideMark/>
          </w:tcPr>
          <w:p w14:paraId="4B1F1557" w14:textId="77777777" w:rsidR="00316037" w:rsidRPr="00316037" w:rsidRDefault="00316037" w:rsidP="00316037">
            <w:pPr>
              <w:spacing w:after="0" w:line="240" w:lineRule="auto"/>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2829A07"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286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75BB5D7"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45BD4E5"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125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203333B"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FD11057"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26C8C09"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944F21D"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598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50908E5"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6A7022C"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627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00B28AD"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r>
    </w:tbl>
    <w:p w14:paraId="7A026A43" w14:textId="77777777" w:rsidR="00AB0724" w:rsidRPr="007E2527" w:rsidRDefault="00AB0724" w:rsidP="00AB0724">
      <w:pPr>
        <w:rPr>
          <w:rFonts w:asciiTheme="minorHAnsi" w:hAnsiTheme="minorHAnsi"/>
          <w:b/>
          <w:bCs/>
          <w:szCs w:val="22"/>
        </w:rPr>
      </w:pPr>
    </w:p>
    <w:tbl>
      <w:tblPr>
        <w:tblW w:w="12272" w:type="dxa"/>
        <w:tblLayout w:type="fixed"/>
        <w:tblLook w:val="04A0" w:firstRow="1" w:lastRow="0" w:firstColumn="1" w:lastColumn="0" w:noHBand="0" w:noVBand="1"/>
      </w:tblPr>
      <w:tblGrid>
        <w:gridCol w:w="4592"/>
        <w:gridCol w:w="960"/>
        <w:gridCol w:w="960"/>
        <w:gridCol w:w="960"/>
        <w:gridCol w:w="960"/>
        <w:gridCol w:w="960"/>
        <w:gridCol w:w="960"/>
        <w:gridCol w:w="960"/>
        <w:gridCol w:w="960"/>
      </w:tblGrid>
      <w:tr w:rsidR="00E97FCD" w:rsidRPr="00316037" w14:paraId="05426DC1" w14:textId="77777777" w:rsidTr="00E97FCD">
        <w:trPr>
          <w:trHeight w:val="300"/>
        </w:trPr>
        <w:tc>
          <w:tcPr>
            <w:tcW w:w="4592" w:type="dxa"/>
            <w:tcBorders>
              <w:top w:val="single" w:sz="4" w:space="0" w:color="auto"/>
              <w:left w:val="single" w:sz="4" w:space="0" w:color="auto"/>
              <w:bottom w:val="nil"/>
              <w:right w:val="single" w:sz="4" w:space="0" w:color="auto"/>
            </w:tcBorders>
            <w:shd w:val="clear" w:color="000000" w:fill="FFFFFF"/>
            <w:noWrap/>
            <w:vAlign w:val="bottom"/>
            <w:hideMark/>
          </w:tcPr>
          <w:p w14:paraId="4E76C8FC" w14:textId="77777777" w:rsidR="00316037" w:rsidRPr="00316037" w:rsidRDefault="00316037" w:rsidP="00316037">
            <w:pPr>
              <w:spacing w:after="0" w:line="240" w:lineRule="auto"/>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nil"/>
            </w:tcBorders>
            <w:shd w:val="clear" w:color="000000" w:fill="FFFFFF"/>
            <w:noWrap/>
            <w:vAlign w:val="bottom"/>
            <w:hideMark/>
          </w:tcPr>
          <w:p w14:paraId="3E094696"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4E5CD93"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7F0C3526"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25FEE37" w14:textId="77777777" w:rsidR="00316037" w:rsidRPr="00316037" w:rsidRDefault="00316037" w:rsidP="0031603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Grade I</w:t>
            </w:r>
          </w:p>
        </w:tc>
      </w:tr>
      <w:tr w:rsidR="00316037" w:rsidRPr="007E2527" w14:paraId="0B192461" w14:textId="77777777" w:rsidTr="00E97FCD">
        <w:trPr>
          <w:trHeight w:val="300"/>
        </w:trPr>
        <w:tc>
          <w:tcPr>
            <w:tcW w:w="4592" w:type="dxa"/>
            <w:tcBorders>
              <w:top w:val="nil"/>
              <w:left w:val="single" w:sz="4" w:space="0" w:color="auto"/>
              <w:bottom w:val="single" w:sz="4" w:space="0" w:color="auto"/>
              <w:right w:val="single" w:sz="4" w:space="0" w:color="auto"/>
            </w:tcBorders>
            <w:shd w:val="clear" w:color="000000" w:fill="FFFFFF"/>
            <w:noWrap/>
            <w:vAlign w:val="bottom"/>
            <w:hideMark/>
          </w:tcPr>
          <w:p w14:paraId="60793A50"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25BEE78E"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7C5F9EB"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1118336"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7E39C76"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1F63FCD"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EFA4249"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1CDC7CF"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E772027" w14:textId="77777777" w:rsidR="00316037" w:rsidRPr="00316037" w:rsidRDefault="00316037" w:rsidP="00316037">
            <w:pPr>
              <w:spacing w:after="0" w:line="240" w:lineRule="auto"/>
              <w:jc w:val="center"/>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r>
      <w:tr w:rsidR="00316037" w:rsidRPr="007E2527" w14:paraId="50E716EA" w14:textId="77777777" w:rsidTr="00E97FCD">
        <w:trPr>
          <w:trHeight w:val="300"/>
        </w:trPr>
        <w:tc>
          <w:tcPr>
            <w:tcW w:w="4592" w:type="dxa"/>
            <w:tcBorders>
              <w:top w:val="nil"/>
              <w:left w:val="single" w:sz="4" w:space="0" w:color="auto"/>
              <w:bottom w:val="nil"/>
              <w:right w:val="single" w:sz="4" w:space="0" w:color="auto"/>
            </w:tcBorders>
            <w:shd w:val="clear" w:color="000000" w:fill="FFFFFF"/>
            <w:noWrap/>
            <w:vAlign w:val="bottom"/>
            <w:hideMark/>
          </w:tcPr>
          <w:p w14:paraId="5E955728"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Gender same as sex registered at birth</w:t>
            </w:r>
          </w:p>
        </w:tc>
        <w:tc>
          <w:tcPr>
            <w:tcW w:w="960" w:type="dxa"/>
            <w:tcBorders>
              <w:top w:val="nil"/>
              <w:left w:val="single" w:sz="4" w:space="0" w:color="auto"/>
              <w:bottom w:val="nil"/>
              <w:right w:val="nil"/>
            </w:tcBorders>
            <w:shd w:val="clear" w:color="000000" w:fill="FFFFFF"/>
            <w:noWrap/>
            <w:vAlign w:val="bottom"/>
            <w:hideMark/>
          </w:tcPr>
          <w:p w14:paraId="223D8308"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462</w:t>
            </w:r>
          </w:p>
        </w:tc>
        <w:tc>
          <w:tcPr>
            <w:tcW w:w="960" w:type="dxa"/>
            <w:tcBorders>
              <w:top w:val="nil"/>
              <w:left w:val="nil"/>
              <w:bottom w:val="nil"/>
              <w:right w:val="single" w:sz="4" w:space="0" w:color="auto"/>
            </w:tcBorders>
            <w:shd w:val="clear" w:color="000000" w:fill="FFFFFF"/>
            <w:noWrap/>
            <w:vAlign w:val="bottom"/>
            <w:hideMark/>
          </w:tcPr>
          <w:p w14:paraId="2CD89A28"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55.8%</w:t>
            </w:r>
          </w:p>
        </w:tc>
        <w:tc>
          <w:tcPr>
            <w:tcW w:w="960" w:type="dxa"/>
            <w:tcBorders>
              <w:top w:val="nil"/>
              <w:left w:val="nil"/>
              <w:bottom w:val="nil"/>
              <w:right w:val="nil"/>
            </w:tcBorders>
            <w:shd w:val="clear" w:color="000000" w:fill="FFFFFF"/>
            <w:noWrap/>
            <w:vAlign w:val="bottom"/>
            <w:hideMark/>
          </w:tcPr>
          <w:p w14:paraId="0C9EB89E"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210</w:t>
            </w:r>
          </w:p>
        </w:tc>
        <w:tc>
          <w:tcPr>
            <w:tcW w:w="960" w:type="dxa"/>
            <w:tcBorders>
              <w:top w:val="nil"/>
              <w:left w:val="nil"/>
              <w:bottom w:val="nil"/>
              <w:right w:val="single" w:sz="4" w:space="0" w:color="auto"/>
            </w:tcBorders>
            <w:shd w:val="clear" w:color="000000" w:fill="FFFFFF"/>
            <w:noWrap/>
            <w:vAlign w:val="bottom"/>
            <w:hideMark/>
          </w:tcPr>
          <w:p w14:paraId="401D2ED6"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54.1%</w:t>
            </w:r>
          </w:p>
        </w:tc>
        <w:tc>
          <w:tcPr>
            <w:tcW w:w="960" w:type="dxa"/>
            <w:tcBorders>
              <w:top w:val="nil"/>
              <w:left w:val="nil"/>
              <w:bottom w:val="nil"/>
              <w:right w:val="nil"/>
            </w:tcBorders>
            <w:shd w:val="clear" w:color="000000" w:fill="FFFFFF"/>
            <w:noWrap/>
            <w:vAlign w:val="bottom"/>
            <w:hideMark/>
          </w:tcPr>
          <w:p w14:paraId="3A9A8C61"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54</w:t>
            </w:r>
          </w:p>
        </w:tc>
        <w:tc>
          <w:tcPr>
            <w:tcW w:w="960" w:type="dxa"/>
            <w:tcBorders>
              <w:top w:val="nil"/>
              <w:left w:val="nil"/>
              <w:bottom w:val="nil"/>
              <w:right w:val="single" w:sz="4" w:space="0" w:color="auto"/>
            </w:tcBorders>
            <w:shd w:val="clear" w:color="000000" w:fill="FFFFFF"/>
            <w:noWrap/>
            <w:vAlign w:val="bottom"/>
            <w:hideMark/>
          </w:tcPr>
          <w:p w14:paraId="56082766"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56.8%</w:t>
            </w:r>
          </w:p>
        </w:tc>
        <w:tc>
          <w:tcPr>
            <w:tcW w:w="960" w:type="dxa"/>
            <w:tcBorders>
              <w:top w:val="nil"/>
              <w:left w:val="nil"/>
              <w:bottom w:val="nil"/>
              <w:right w:val="nil"/>
            </w:tcBorders>
            <w:shd w:val="clear" w:color="000000" w:fill="FFFFFF"/>
            <w:noWrap/>
            <w:vAlign w:val="bottom"/>
            <w:hideMark/>
          </w:tcPr>
          <w:p w14:paraId="11DC5CC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single" w:sz="4" w:space="0" w:color="auto"/>
            </w:tcBorders>
            <w:shd w:val="clear" w:color="000000" w:fill="FFFFFF"/>
            <w:noWrap/>
            <w:vAlign w:val="bottom"/>
            <w:hideMark/>
          </w:tcPr>
          <w:p w14:paraId="4DE12220"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42.9%</w:t>
            </w:r>
          </w:p>
        </w:tc>
      </w:tr>
      <w:tr w:rsidR="00316037" w:rsidRPr="007E2527" w14:paraId="7D4FDA90" w14:textId="77777777" w:rsidTr="00E97FCD">
        <w:trPr>
          <w:trHeight w:val="300"/>
        </w:trPr>
        <w:tc>
          <w:tcPr>
            <w:tcW w:w="4592" w:type="dxa"/>
            <w:tcBorders>
              <w:top w:val="nil"/>
              <w:left w:val="single" w:sz="4" w:space="0" w:color="auto"/>
              <w:bottom w:val="nil"/>
              <w:right w:val="single" w:sz="4" w:space="0" w:color="auto"/>
            </w:tcBorders>
            <w:shd w:val="clear" w:color="000000" w:fill="FFFFFF"/>
            <w:noWrap/>
            <w:vAlign w:val="bottom"/>
            <w:hideMark/>
          </w:tcPr>
          <w:p w14:paraId="4C67016C"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Gender not the same as sex registered at birth</w:t>
            </w:r>
          </w:p>
        </w:tc>
        <w:tc>
          <w:tcPr>
            <w:tcW w:w="960" w:type="dxa"/>
            <w:tcBorders>
              <w:top w:val="nil"/>
              <w:left w:val="single" w:sz="4" w:space="0" w:color="auto"/>
              <w:bottom w:val="nil"/>
              <w:right w:val="nil"/>
            </w:tcBorders>
            <w:shd w:val="clear" w:color="000000" w:fill="FFFFFF"/>
            <w:noWrap/>
            <w:vAlign w:val="bottom"/>
            <w:hideMark/>
          </w:tcPr>
          <w:p w14:paraId="26AE7416"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DA84065"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ABB1259"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5BBA7E3"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B249B36"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6634819"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9D1CCFC"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0B1BA96"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 </w:t>
            </w:r>
          </w:p>
        </w:tc>
      </w:tr>
      <w:tr w:rsidR="00316037" w:rsidRPr="007E2527" w14:paraId="6B54B5BC" w14:textId="77777777" w:rsidTr="00E97FCD">
        <w:trPr>
          <w:trHeight w:val="300"/>
        </w:trPr>
        <w:tc>
          <w:tcPr>
            <w:tcW w:w="4592" w:type="dxa"/>
            <w:tcBorders>
              <w:top w:val="nil"/>
              <w:left w:val="single" w:sz="4" w:space="0" w:color="auto"/>
              <w:bottom w:val="nil"/>
              <w:right w:val="single" w:sz="4" w:space="0" w:color="auto"/>
            </w:tcBorders>
            <w:shd w:val="clear" w:color="000000" w:fill="FFFFFF"/>
            <w:noWrap/>
            <w:vAlign w:val="bottom"/>
            <w:hideMark/>
          </w:tcPr>
          <w:p w14:paraId="7B80D0DA" w14:textId="77777777" w:rsidR="00316037" w:rsidRPr="00316037" w:rsidRDefault="00316037" w:rsidP="00316037">
            <w:pPr>
              <w:spacing w:after="0" w:line="240" w:lineRule="auto"/>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7D935DB"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364</w:t>
            </w:r>
          </w:p>
        </w:tc>
        <w:tc>
          <w:tcPr>
            <w:tcW w:w="960" w:type="dxa"/>
            <w:tcBorders>
              <w:top w:val="nil"/>
              <w:left w:val="nil"/>
              <w:bottom w:val="nil"/>
              <w:right w:val="single" w:sz="4" w:space="0" w:color="auto"/>
            </w:tcBorders>
            <w:shd w:val="clear" w:color="000000" w:fill="FFFFFF"/>
            <w:noWrap/>
            <w:vAlign w:val="bottom"/>
            <w:hideMark/>
          </w:tcPr>
          <w:p w14:paraId="02F3D360"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44.0%</w:t>
            </w:r>
          </w:p>
        </w:tc>
        <w:tc>
          <w:tcPr>
            <w:tcW w:w="960" w:type="dxa"/>
            <w:tcBorders>
              <w:top w:val="nil"/>
              <w:left w:val="nil"/>
              <w:bottom w:val="nil"/>
              <w:right w:val="nil"/>
            </w:tcBorders>
            <w:shd w:val="clear" w:color="000000" w:fill="FFFFFF"/>
            <w:noWrap/>
            <w:vAlign w:val="bottom"/>
            <w:hideMark/>
          </w:tcPr>
          <w:p w14:paraId="5F00C1EB"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178</w:t>
            </w:r>
          </w:p>
        </w:tc>
        <w:tc>
          <w:tcPr>
            <w:tcW w:w="960" w:type="dxa"/>
            <w:tcBorders>
              <w:top w:val="nil"/>
              <w:left w:val="nil"/>
              <w:bottom w:val="nil"/>
              <w:right w:val="single" w:sz="4" w:space="0" w:color="auto"/>
            </w:tcBorders>
            <w:shd w:val="clear" w:color="000000" w:fill="FFFFFF"/>
            <w:noWrap/>
            <w:vAlign w:val="bottom"/>
            <w:hideMark/>
          </w:tcPr>
          <w:p w14:paraId="3B1C4F7B"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45.9%</w:t>
            </w:r>
          </w:p>
        </w:tc>
        <w:tc>
          <w:tcPr>
            <w:tcW w:w="960" w:type="dxa"/>
            <w:tcBorders>
              <w:top w:val="nil"/>
              <w:left w:val="nil"/>
              <w:bottom w:val="nil"/>
              <w:right w:val="nil"/>
            </w:tcBorders>
            <w:shd w:val="clear" w:color="000000" w:fill="FFFFFF"/>
            <w:noWrap/>
            <w:vAlign w:val="bottom"/>
            <w:hideMark/>
          </w:tcPr>
          <w:p w14:paraId="4821FCD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41</w:t>
            </w:r>
          </w:p>
        </w:tc>
        <w:tc>
          <w:tcPr>
            <w:tcW w:w="960" w:type="dxa"/>
            <w:tcBorders>
              <w:top w:val="nil"/>
              <w:left w:val="nil"/>
              <w:bottom w:val="nil"/>
              <w:right w:val="single" w:sz="4" w:space="0" w:color="auto"/>
            </w:tcBorders>
            <w:shd w:val="clear" w:color="000000" w:fill="FFFFFF"/>
            <w:noWrap/>
            <w:vAlign w:val="bottom"/>
            <w:hideMark/>
          </w:tcPr>
          <w:p w14:paraId="5AEED306"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43.2%</w:t>
            </w:r>
          </w:p>
        </w:tc>
        <w:tc>
          <w:tcPr>
            <w:tcW w:w="960" w:type="dxa"/>
            <w:tcBorders>
              <w:top w:val="nil"/>
              <w:left w:val="nil"/>
              <w:bottom w:val="nil"/>
              <w:right w:val="nil"/>
            </w:tcBorders>
            <w:shd w:val="clear" w:color="000000" w:fill="FFFFFF"/>
            <w:noWrap/>
            <w:vAlign w:val="bottom"/>
            <w:hideMark/>
          </w:tcPr>
          <w:p w14:paraId="1722691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28</w:t>
            </w:r>
          </w:p>
        </w:tc>
        <w:tc>
          <w:tcPr>
            <w:tcW w:w="960" w:type="dxa"/>
            <w:tcBorders>
              <w:top w:val="nil"/>
              <w:left w:val="nil"/>
              <w:bottom w:val="nil"/>
              <w:right w:val="single" w:sz="4" w:space="0" w:color="auto"/>
            </w:tcBorders>
            <w:shd w:val="clear" w:color="000000" w:fill="FFFFFF"/>
            <w:noWrap/>
            <w:vAlign w:val="bottom"/>
            <w:hideMark/>
          </w:tcPr>
          <w:p w14:paraId="1E2778DF" w14:textId="77777777" w:rsidR="00316037" w:rsidRPr="00316037" w:rsidRDefault="00316037" w:rsidP="00316037">
            <w:pPr>
              <w:spacing w:after="0" w:line="240" w:lineRule="auto"/>
              <w:jc w:val="right"/>
              <w:rPr>
                <w:rFonts w:asciiTheme="minorHAnsi" w:eastAsia="Times New Roman" w:hAnsiTheme="minorHAnsi" w:cs="Times New Roman"/>
                <w:color w:val="000000"/>
                <w:kern w:val="0"/>
                <w:szCs w:val="22"/>
                <w:lang w:eastAsia="en-GB"/>
                <w14:ligatures w14:val="none"/>
              </w:rPr>
            </w:pPr>
            <w:r w:rsidRPr="00316037">
              <w:rPr>
                <w:rFonts w:asciiTheme="minorHAnsi" w:eastAsia="Times New Roman" w:hAnsiTheme="minorHAnsi" w:cs="Times New Roman"/>
                <w:color w:val="000000"/>
                <w:kern w:val="0"/>
                <w:szCs w:val="22"/>
                <w:lang w:eastAsia="en-GB"/>
                <w14:ligatures w14:val="none"/>
              </w:rPr>
              <w:t>57.1%</w:t>
            </w:r>
          </w:p>
        </w:tc>
      </w:tr>
      <w:tr w:rsidR="00316037" w:rsidRPr="007E2527" w14:paraId="6EFAD15A" w14:textId="77777777" w:rsidTr="00E97FCD">
        <w:trPr>
          <w:trHeight w:val="315"/>
        </w:trPr>
        <w:tc>
          <w:tcPr>
            <w:tcW w:w="4592"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2BCCEC60" w14:textId="77777777" w:rsidR="00316037" w:rsidRPr="00316037" w:rsidRDefault="00316037" w:rsidP="00316037">
            <w:pPr>
              <w:spacing w:after="0" w:line="240" w:lineRule="auto"/>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6F94FB1C"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828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1725204"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9C12C35"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388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2C9D567"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40CBCB0"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7AF97D6"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660B5CD"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49</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72B30C6" w14:textId="77777777" w:rsidR="00316037" w:rsidRPr="00316037" w:rsidRDefault="00316037" w:rsidP="0031603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16037">
              <w:rPr>
                <w:rFonts w:asciiTheme="minorHAnsi" w:eastAsia="Times New Roman" w:hAnsiTheme="minorHAnsi" w:cs="Times New Roman"/>
                <w:b/>
                <w:bCs/>
                <w:color w:val="000000"/>
                <w:kern w:val="0"/>
                <w:szCs w:val="22"/>
                <w:lang w:eastAsia="en-GB"/>
                <w14:ligatures w14:val="none"/>
              </w:rPr>
              <w:t>100%</w:t>
            </w:r>
          </w:p>
        </w:tc>
      </w:tr>
    </w:tbl>
    <w:p w14:paraId="19E863C6" w14:textId="77777777" w:rsidR="00316037" w:rsidRDefault="00316037" w:rsidP="00AB0724">
      <w:pPr>
        <w:rPr>
          <w:rFonts w:asciiTheme="minorHAnsi" w:hAnsiTheme="minorHAnsi"/>
          <w:b/>
          <w:bCs/>
          <w:szCs w:val="22"/>
        </w:rPr>
      </w:pPr>
    </w:p>
    <w:p w14:paraId="76FC475A" w14:textId="77777777" w:rsidR="00E97FCD" w:rsidRDefault="00E97FCD" w:rsidP="00AB0724">
      <w:pPr>
        <w:rPr>
          <w:rFonts w:asciiTheme="minorHAnsi" w:hAnsiTheme="minorHAnsi"/>
          <w:b/>
          <w:bCs/>
          <w:szCs w:val="22"/>
        </w:rPr>
      </w:pPr>
    </w:p>
    <w:p w14:paraId="07A6B507" w14:textId="77777777" w:rsidR="00E97FCD" w:rsidRDefault="00E97FCD" w:rsidP="00AB0724">
      <w:pPr>
        <w:rPr>
          <w:rFonts w:asciiTheme="minorHAnsi" w:hAnsiTheme="minorHAnsi"/>
          <w:b/>
          <w:bCs/>
          <w:szCs w:val="22"/>
        </w:rPr>
      </w:pPr>
    </w:p>
    <w:p w14:paraId="196D95DD" w14:textId="77777777" w:rsidR="00E97FCD" w:rsidRDefault="00E97FCD" w:rsidP="00AB0724">
      <w:pPr>
        <w:rPr>
          <w:rFonts w:asciiTheme="minorHAnsi" w:hAnsiTheme="minorHAnsi"/>
          <w:b/>
          <w:bCs/>
          <w:szCs w:val="22"/>
        </w:rPr>
      </w:pPr>
    </w:p>
    <w:p w14:paraId="5183CD24" w14:textId="77777777" w:rsidR="00E97FCD" w:rsidRDefault="00E97FCD" w:rsidP="00AB0724">
      <w:pPr>
        <w:rPr>
          <w:rFonts w:asciiTheme="minorHAnsi" w:hAnsiTheme="minorHAnsi"/>
          <w:b/>
          <w:bCs/>
          <w:szCs w:val="22"/>
        </w:rPr>
      </w:pPr>
    </w:p>
    <w:p w14:paraId="67132CF7" w14:textId="77777777" w:rsidR="00E97FCD" w:rsidRDefault="00E97FCD" w:rsidP="00AB0724">
      <w:pPr>
        <w:rPr>
          <w:rFonts w:asciiTheme="minorHAnsi" w:hAnsiTheme="minorHAnsi"/>
          <w:b/>
          <w:bCs/>
          <w:szCs w:val="22"/>
        </w:rPr>
      </w:pPr>
    </w:p>
    <w:p w14:paraId="4EE4CD33" w14:textId="77777777" w:rsidR="00E97FCD" w:rsidRPr="007E2527" w:rsidRDefault="00E97FCD" w:rsidP="00AB0724">
      <w:pPr>
        <w:rPr>
          <w:rFonts w:asciiTheme="minorHAnsi" w:hAnsiTheme="minorHAnsi"/>
          <w:b/>
          <w:bCs/>
          <w:szCs w:val="22"/>
        </w:rPr>
      </w:pPr>
    </w:p>
    <w:p w14:paraId="6D4344F6" w14:textId="77777777" w:rsidR="00482B2A" w:rsidRDefault="00482B2A" w:rsidP="00227D0A">
      <w:pPr>
        <w:rPr>
          <w:rFonts w:asciiTheme="minorHAnsi" w:hAnsiTheme="minorHAnsi"/>
          <w:b/>
          <w:bCs/>
          <w:szCs w:val="22"/>
        </w:rPr>
      </w:pPr>
    </w:p>
    <w:p w14:paraId="198B9C0E" w14:textId="77777777" w:rsidR="0085441A" w:rsidRPr="007E2527" w:rsidRDefault="0085441A" w:rsidP="00227D0A">
      <w:pPr>
        <w:rPr>
          <w:rFonts w:asciiTheme="minorHAnsi" w:hAnsiTheme="minorHAnsi"/>
          <w:b/>
          <w:bCs/>
          <w:szCs w:val="22"/>
        </w:rPr>
      </w:pPr>
    </w:p>
    <w:p w14:paraId="31EAF589" w14:textId="4036CB75" w:rsidR="00A73BB2" w:rsidRPr="00E97FCD" w:rsidRDefault="00A73BB2" w:rsidP="00A73BB2">
      <w:pPr>
        <w:pStyle w:val="ListParagraph"/>
        <w:numPr>
          <w:ilvl w:val="1"/>
          <w:numId w:val="11"/>
        </w:numPr>
        <w:rPr>
          <w:rFonts w:asciiTheme="minorHAnsi" w:hAnsiTheme="minorHAnsi"/>
          <w:color w:val="0B769F" w:themeColor="accent4" w:themeShade="BF"/>
          <w:sz w:val="28"/>
          <w:szCs w:val="28"/>
        </w:rPr>
      </w:pPr>
      <w:r w:rsidRPr="00E97FCD">
        <w:rPr>
          <w:rFonts w:asciiTheme="minorHAnsi" w:hAnsiTheme="minorHAnsi"/>
          <w:color w:val="0B769F" w:themeColor="accent4" w:themeShade="BF"/>
          <w:sz w:val="28"/>
          <w:szCs w:val="28"/>
        </w:rPr>
        <w:lastRenderedPageBreak/>
        <w:t>Intersectionality</w:t>
      </w:r>
    </w:p>
    <w:p w14:paraId="498E95EB" w14:textId="77777777" w:rsidR="00482B2A" w:rsidRPr="007E2527" w:rsidRDefault="00482B2A" w:rsidP="00482B2A">
      <w:pPr>
        <w:pStyle w:val="ListParagraph"/>
        <w:rPr>
          <w:rFonts w:asciiTheme="minorHAnsi" w:hAnsiTheme="minorHAnsi"/>
          <w:color w:val="0B769F" w:themeColor="accent4" w:themeShade="BF"/>
          <w:szCs w:val="22"/>
        </w:rPr>
      </w:pPr>
    </w:p>
    <w:p w14:paraId="37B3509D" w14:textId="19CD4194" w:rsidR="00816379" w:rsidRPr="007E2527" w:rsidRDefault="00816379" w:rsidP="00816379">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disability status and sex, 2025 (Female n=3,438, Male n=2,803)</w:t>
      </w:r>
    </w:p>
    <w:tbl>
      <w:tblPr>
        <w:tblW w:w="7914" w:type="dxa"/>
        <w:tblLayout w:type="fixed"/>
        <w:tblLook w:val="04A0" w:firstRow="1" w:lastRow="0" w:firstColumn="1" w:lastColumn="0" w:noHBand="0" w:noVBand="1"/>
      </w:tblPr>
      <w:tblGrid>
        <w:gridCol w:w="2154"/>
        <w:gridCol w:w="960"/>
        <w:gridCol w:w="960"/>
        <w:gridCol w:w="960"/>
        <w:gridCol w:w="960"/>
        <w:gridCol w:w="960"/>
        <w:gridCol w:w="960"/>
      </w:tblGrid>
      <w:tr w:rsidR="00D84893" w:rsidRPr="007E2527" w14:paraId="36B8F354" w14:textId="77777777" w:rsidTr="00D84893">
        <w:trPr>
          <w:trHeight w:val="300"/>
        </w:trPr>
        <w:tc>
          <w:tcPr>
            <w:tcW w:w="2154" w:type="dxa"/>
            <w:tcBorders>
              <w:top w:val="single" w:sz="4" w:space="0" w:color="auto"/>
              <w:left w:val="single" w:sz="4" w:space="0" w:color="auto"/>
              <w:bottom w:val="nil"/>
              <w:right w:val="nil"/>
            </w:tcBorders>
            <w:shd w:val="clear" w:color="000000" w:fill="FFFFFF"/>
            <w:noWrap/>
            <w:vAlign w:val="bottom"/>
            <w:hideMark/>
          </w:tcPr>
          <w:p w14:paraId="32818210" w14:textId="77777777" w:rsidR="00D84893" w:rsidRPr="00D84893" w:rsidRDefault="00D84893" w:rsidP="00D84893">
            <w:pPr>
              <w:spacing w:after="0" w:line="240" w:lineRule="auto"/>
              <w:rPr>
                <w:rFonts w:asciiTheme="minorHAnsi" w:eastAsia="Times New Roman" w:hAnsiTheme="minorHAnsi" w:cs="Times New Roman"/>
                <w:b/>
                <w:bCs/>
                <w:color w:val="000000"/>
                <w:kern w:val="0"/>
                <w:szCs w:val="22"/>
                <w:lang w:eastAsia="en-GB"/>
                <w14:ligatures w14:val="none"/>
              </w:rPr>
            </w:pPr>
            <w:r w:rsidRPr="00D84893">
              <w:rPr>
                <w:rFonts w:asciiTheme="minorHAnsi" w:eastAsia="Times New Roman" w:hAnsiTheme="minorHAnsi" w:cs="Times New Roman"/>
                <w:b/>
                <w:bCs/>
                <w:color w:val="000000"/>
                <w:kern w:val="0"/>
                <w:szCs w:val="22"/>
                <w:lang w:eastAsia="en-GB"/>
                <w14:ligatures w14:val="none"/>
              </w:rPr>
              <w:t> </w:t>
            </w:r>
          </w:p>
        </w:tc>
        <w:tc>
          <w:tcPr>
            <w:tcW w:w="2880" w:type="dxa"/>
            <w:gridSpan w:val="3"/>
            <w:tcBorders>
              <w:top w:val="single" w:sz="4" w:space="0" w:color="auto"/>
              <w:left w:val="single" w:sz="4" w:space="0" w:color="auto"/>
              <w:bottom w:val="nil"/>
              <w:right w:val="single" w:sz="4" w:space="0" w:color="000000"/>
            </w:tcBorders>
            <w:shd w:val="clear" w:color="000000" w:fill="FFFFFF"/>
            <w:noWrap/>
            <w:vAlign w:val="bottom"/>
            <w:hideMark/>
          </w:tcPr>
          <w:p w14:paraId="2D6766EC" w14:textId="77777777" w:rsidR="00D84893" w:rsidRPr="00D84893" w:rsidRDefault="00D84893" w:rsidP="00D8489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84893">
              <w:rPr>
                <w:rFonts w:asciiTheme="minorHAnsi" w:eastAsia="Times New Roman" w:hAnsiTheme="minorHAnsi" w:cs="Times New Roman"/>
                <w:b/>
                <w:bCs/>
                <w:color w:val="000000"/>
                <w:kern w:val="0"/>
                <w:szCs w:val="22"/>
                <w:lang w:eastAsia="en-GB"/>
                <w14:ligatures w14:val="none"/>
              </w:rPr>
              <w:t>Female</w:t>
            </w:r>
          </w:p>
        </w:tc>
        <w:tc>
          <w:tcPr>
            <w:tcW w:w="2880" w:type="dxa"/>
            <w:gridSpan w:val="3"/>
            <w:tcBorders>
              <w:top w:val="single" w:sz="4" w:space="0" w:color="auto"/>
              <w:left w:val="nil"/>
              <w:bottom w:val="nil"/>
              <w:right w:val="single" w:sz="4" w:space="0" w:color="000000"/>
            </w:tcBorders>
            <w:shd w:val="clear" w:color="000000" w:fill="FFFFFF"/>
            <w:noWrap/>
            <w:vAlign w:val="bottom"/>
            <w:hideMark/>
          </w:tcPr>
          <w:p w14:paraId="72E42DAB" w14:textId="77777777" w:rsidR="00D84893" w:rsidRPr="00D84893" w:rsidRDefault="00D84893" w:rsidP="00D84893">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84893">
              <w:rPr>
                <w:rFonts w:asciiTheme="minorHAnsi" w:eastAsia="Times New Roman" w:hAnsiTheme="minorHAnsi" w:cs="Times New Roman"/>
                <w:b/>
                <w:bCs/>
                <w:color w:val="000000"/>
                <w:kern w:val="0"/>
                <w:szCs w:val="22"/>
                <w:lang w:eastAsia="en-GB"/>
                <w14:ligatures w14:val="none"/>
              </w:rPr>
              <w:t>Male</w:t>
            </w:r>
          </w:p>
        </w:tc>
      </w:tr>
      <w:tr w:rsidR="00D84893" w:rsidRPr="007E2527" w14:paraId="646CFC88" w14:textId="77777777" w:rsidTr="00D84893">
        <w:trPr>
          <w:trHeight w:val="300"/>
        </w:trPr>
        <w:tc>
          <w:tcPr>
            <w:tcW w:w="2154" w:type="dxa"/>
            <w:tcBorders>
              <w:top w:val="nil"/>
              <w:left w:val="single" w:sz="4" w:space="0" w:color="auto"/>
              <w:bottom w:val="single" w:sz="4" w:space="0" w:color="auto"/>
              <w:right w:val="nil"/>
            </w:tcBorders>
            <w:shd w:val="clear" w:color="000000" w:fill="FFFFFF"/>
            <w:noWrap/>
            <w:vAlign w:val="bottom"/>
            <w:hideMark/>
          </w:tcPr>
          <w:p w14:paraId="705BC13E" w14:textId="77777777" w:rsidR="00D84893" w:rsidRPr="00D84893" w:rsidRDefault="00D84893" w:rsidP="00D84893">
            <w:pPr>
              <w:spacing w:after="0" w:line="240" w:lineRule="auto"/>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0B115EAA" w14:textId="77777777" w:rsidR="00D84893" w:rsidRPr="00D84893" w:rsidRDefault="00D84893" w:rsidP="00D84893">
            <w:pPr>
              <w:spacing w:after="0" w:line="240" w:lineRule="auto"/>
              <w:jc w:val="center"/>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34694C0B" w14:textId="77777777" w:rsidR="00D84893" w:rsidRPr="00D84893" w:rsidRDefault="00D84893" w:rsidP="00D84893">
            <w:pPr>
              <w:spacing w:after="0" w:line="240" w:lineRule="auto"/>
              <w:jc w:val="center"/>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69702E2" w14:textId="77777777" w:rsidR="00D84893" w:rsidRPr="00D84893" w:rsidRDefault="00D84893" w:rsidP="00D84893">
            <w:pPr>
              <w:spacing w:after="0" w:line="240" w:lineRule="auto"/>
              <w:jc w:val="center"/>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A567D7B" w14:textId="77777777" w:rsidR="00D84893" w:rsidRPr="00D84893" w:rsidRDefault="00D84893" w:rsidP="00D84893">
            <w:pPr>
              <w:spacing w:after="0" w:line="240" w:lineRule="auto"/>
              <w:jc w:val="center"/>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5318A84E" w14:textId="77777777" w:rsidR="00D84893" w:rsidRPr="00D84893" w:rsidRDefault="00D84893" w:rsidP="00D84893">
            <w:pPr>
              <w:spacing w:after="0" w:line="240" w:lineRule="auto"/>
              <w:jc w:val="center"/>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73FDA341" w14:textId="77777777" w:rsidR="00D84893" w:rsidRPr="00D84893" w:rsidRDefault="00D84893" w:rsidP="00D84893">
            <w:pPr>
              <w:spacing w:after="0" w:line="240" w:lineRule="auto"/>
              <w:jc w:val="center"/>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w:t>
            </w:r>
          </w:p>
        </w:tc>
      </w:tr>
      <w:tr w:rsidR="00D84893" w:rsidRPr="007E2527" w14:paraId="544FA2A1" w14:textId="77777777" w:rsidTr="00D84893">
        <w:trPr>
          <w:trHeight w:val="300"/>
        </w:trPr>
        <w:tc>
          <w:tcPr>
            <w:tcW w:w="2154" w:type="dxa"/>
            <w:tcBorders>
              <w:top w:val="nil"/>
              <w:left w:val="single" w:sz="4" w:space="0" w:color="auto"/>
              <w:bottom w:val="nil"/>
              <w:right w:val="nil"/>
            </w:tcBorders>
            <w:shd w:val="clear" w:color="000000" w:fill="FFFFFF"/>
            <w:noWrap/>
            <w:vAlign w:val="bottom"/>
            <w:hideMark/>
          </w:tcPr>
          <w:p w14:paraId="4420DA6D" w14:textId="77777777" w:rsidR="00D84893" w:rsidRPr="00D84893" w:rsidRDefault="00D84893" w:rsidP="00D84893">
            <w:pPr>
              <w:spacing w:after="0" w:line="240" w:lineRule="auto"/>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3B686C74"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211</w:t>
            </w:r>
          </w:p>
        </w:tc>
        <w:tc>
          <w:tcPr>
            <w:tcW w:w="960" w:type="dxa"/>
            <w:tcBorders>
              <w:top w:val="nil"/>
              <w:left w:val="nil"/>
              <w:bottom w:val="nil"/>
              <w:right w:val="nil"/>
            </w:tcBorders>
            <w:shd w:val="clear" w:color="000000" w:fill="FFFFFF"/>
            <w:noWrap/>
            <w:vAlign w:val="bottom"/>
            <w:hideMark/>
          </w:tcPr>
          <w:p w14:paraId="3015645A"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67.2%</w:t>
            </w:r>
          </w:p>
        </w:tc>
        <w:tc>
          <w:tcPr>
            <w:tcW w:w="960" w:type="dxa"/>
            <w:tcBorders>
              <w:top w:val="nil"/>
              <w:left w:val="nil"/>
              <w:bottom w:val="nil"/>
              <w:right w:val="single" w:sz="4" w:space="0" w:color="auto"/>
            </w:tcBorders>
            <w:shd w:val="clear" w:color="000000" w:fill="FFFFFF"/>
            <w:noWrap/>
            <w:vAlign w:val="bottom"/>
            <w:hideMark/>
          </w:tcPr>
          <w:p w14:paraId="3FB78BBD"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nil"/>
            </w:tcBorders>
            <w:shd w:val="clear" w:color="000000" w:fill="FFFFFF"/>
            <w:noWrap/>
            <w:vAlign w:val="bottom"/>
            <w:hideMark/>
          </w:tcPr>
          <w:p w14:paraId="7F78B097"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103</w:t>
            </w:r>
          </w:p>
        </w:tc>
        <w:tc>
          <w:tcPr>
            <w:tcW w:w="960" w:type="dxa"/>
            <w:tcBorders>
              <w:top w:val="nil"/>
              <w:left w:val="nil"/>
              <w:bottom w:val="nil"/>
              <w:right w:val="nil"/>
            </w:tcBorders>
            <w:shd w:val="clear" w:color="000000" w:fill="FFFFFF"/>
            <w:noWrap/>
            <w:vAlign w:val="bottom"/>
            <w:hideMark/>
          </w:tcPr>
          <w:p w14:paraId="541B9660"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32.8%</w:t>
            </w:r>
          </w:p>
        </w:tc>
        <w:tc>
          <w:tcPr>
            <w:tcW w:w="960" w:type="dxa"/>
            <w:tcBorders>
              <w:top w:val="nil"/>
              <w:left w:val="nil"/>
              <w:bottom w:val="nil"/>
              <w:right w:val="single" w:sz="4" w:space="0" w:color="auto"/>
            </w:tcBorders>
            <w:shd w:val="clear" w:color="000000" w:fill="FFFFFF"/>
            <w:noWrap/>
            <w:vAlign w:val="bottom"/>
            <w:hideMark/>
          </w:tcPr>
          <w:p w14:paraId="4164D517"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3.7%</w:t>
            </w:r>
          </w:p>
        </w:tc>
      </w:tr>
      <w:tr w:rsidR="00D84893" w:rsidRPr="007E2527" w14:paraId="45F42BAE" w14:textId="77777777" w:rsidTr="00D84893">
        <w:trPr>
          <w:trHeight w:val="300"/>
        </w:trPr>
        <w:tc>
          <w:tcPr>
            <w:tcW w:w="2154" w:type="dxa"/>
            <w:tcBorders>
              <w:top w:val="nil"/>
              <w:left w:val="single" w:sz="4" w:space="0" w:color="auto"/>
              <w:bottom w:val="nil"/>
              <w:right w:val="nil"/>
            </w:tcBorders>
            <w:shd w:val="clear" w:color="000000" w:fill="FFFFFF"/>
            <w:noWrap/>
            <w:vAlign w:val="bottom"/>
            <w:hideMark/>
          </w:tcPr>
          <w:p w14:paraId="0E1EDB13" w14:textId="77777777" w:rsidR="00D84893" w:rsidRPr="00D84893" w:rsidRDefault="00D84893" w:rsidP="00D84893">
            <w:pPr>
              <w:spacing w:after="0" w:line="240" w:lineRule="auto"/>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50C7208C"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3191</w:t>
            </w:r>
          </w:p>
        </w:tc>
        <w:tc>
          <w:tcPr>
            <w:tcW w:w="960" w:type="dxa"/>
            <w:tcBorders>
              <w:top w:val="nil"/>
              <w:left w:val="nil"/>
              <w:bottom w:val="nil"/>
              <w:right w:val="nil"/>
            </w:tcBorders>
            <w:shd w:val="clear" w:color="000000" w:fill="FFFFFF"/>
            <w:noWrap/>
            <w:vAlign w:val="bottom"/>
            <w:hideMark/>
          </w:tcPr>
          <w:p w14:paraId="023880FE"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54.4%</w:t>
            </w:r>
          </w:p>
        </w:tc>
        <w:tc>
          <w:tcPr>
            <w:tcW w:w="960" w:type="dxa"/>
            <w:tcBorders>
              <w:top w:val="nil"/>
              <w:left w:val="nil"/>
              <w:bottom w:val="nil"/>
              <w:right w:val="single" w:sz="4" w:space="0" w:color="auto"/>
            </w:tcBorders>
            <w:shd w:val="clear" w:color="000000" w:fill="FFFFFF"/>
            <w:noWrap/>
            <w:vAlign w:val="bottom"/>
            <w:hideMark/>
          </w:tcPr>
          <w:p w14:paraId="4CB9337D"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92.8%</w:t>
            </w:r>
          </w:p>
        </w:tc>
        <w:tc>
          <w:tcPr>
            <w:tcW w:w="960" w:type="dxa"/>
            <w:tcBorders>
              <w:top w:val="nil"/>
              <w:left w:val="nil"/>
              <w:bottom w:val="nil"/>
              <w:right w:val="nil"/>
            </w:tcBorders>
            <w:shd w:val="clear" w:color="000000" w:fill="FFFFFF"/>
            <w:noWrap/>
            <w:vAlign w:val="bottom"/>
            <w:hideMark/>
          </w:tcPr>
          <w:p w14:paraId="77F92A7C"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2674</w:t>
            </w:r>
          </w:p>
        </w:tc>
        <w:tc>
          <w:tcPr>
            <w:tcW w:w="960" w:type="dxa"/>
            <w:tcBorders>
              <w:top w:val="nil"/>
              <w:left w:val="nil"/>
              <w:bottom w:val="nil"/>
              <w:right w:val="nil"/>
            </w:tcBorders>
            <w:shd w:val="clear" w:color="000000" w:fill="FFFFFF"/>
            <w:noWrap/>
            <w:vAlign w:val="bottom"/>
            <w:hideMark/>
          </w:tcPr>
          <w:p w14:paraId="2CDFD35B"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45.6%</w:t>
            </w:r>
          </w:p>
        </w:tc>
        <w:tc>
          <w:tcPr>
            <w:tcW w:w="960" w:type="dxa"/>
            <w:tcBorders>
              <w:top w:val="nil"/>
              <w:left w:val="nil"/>
              <w:bottom w:val="nil"/>
              <w:right w:val="single" w:sz="4" w:space="0" w:color="auto"/>
            </w:tcBorders>
            <w:shd w:val="clear" w:color="000000" w:fill="FFFFFF"/>
            <w:noWrap/>
            <w:vAlign w:val="bottom"/>
            <w:hideMark/>
          </w:tcPr>
          <w:p w14:paraId="21BC0AB9"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95.4%</w:t>
            </w:r>
          </w:p>
        </w:tc>
      </w:tr>
      <w:tr w:rsidR="00D84893" w:rsidRPr="007E2527" w14:paraId="79320C50" w14:textId="77777777" w:rsidTr="00D84893">
        <w:trPr>
          <w:trHeight w:val="315"/>
        </w:trPr>
        <w:tc>
          <w:tcPr>
            <w:tcW w:w="2154" w:type="dxa"/>
            <w:tcBorders>
              <w:top w:val="nil"/>
              <w:left w:val="single" w:sz="4" w:space="0" w:color="auto"/>
              <w:bottom w:val="double" w:sz="6" w:space="0" w:color="auto"/>
              <w:right w:val="nil"/>
            </w:tcBorders>
            <w:shd w:val="clear" w:color="000000" w:fill="FFFFFF"/>
            <w:noWrap/>
            <w:vAlign w:val="bottom"/>
            <w:hideMark/>
          </w:tcPr>
          <w:p w14:paraId="433C8F32" w14:textId="77777777" w:rsidR="00D84893" w:rsidRPr="00D84893" w:rsidRDefault="00D84893" w:rsidP="00D84893">
            <w:pPr>
              <w:spacing w:after="0" w:line="240" w:lineRule="auto"/>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054E5AF7"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36</w:t>
            </w:r>
          </w:p>
        </w:tc>
        <w:tc>
          <w:tcPr>
            <w:tcW w:w="960" w:type="dxa"/>
            <w:tcBorders>
              <w:top w:val="nil"/>
              <w:left w:val="nil"/>
              <w:bottom w:val="double" w:sz="6" w:space="0" w:color="auto"/>
              <w:right w:val="nil"/>
            </w:tcBorders>
            <w:shd w:val="clear" w:color="000000" w:fill="FFFFFF"/>
            <w:noWrap/>
            <w:vAlign w:val="bottom"/>
            <w:hideMark/>
          </w:tcPr>
          <w:p w14:paraId="2A047B7E"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58.1%</w:t>
            </w:r>
          </w:p>
        </w:tc>
        <w:tc>
          <w:tcPr>
            <w:tcW w:w="960" w:type="dxa"/>
            <w:tcBorders>
              <w:top w:val="nil"/>
              <w:left w:val="nil"/>
              <w:bottom w:val="double" w:sz="6" w:space="0" w:color="auto"/>
              <w:right w:val="single" w:sz="4" w:space="0" w:color="auto"/>
            </w:tcBorders>
            <w:shd w:val="clear" w:color="000000" w:fill="FFFFFF"/>
            <w:noWrap/>
            <w:vAlign w:val="bottom"/>
            <w:hideMark/>
          </w:tcPr>
          <w:p w14:paraId="09024860"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double" w:sz="6" w:space="0" w:color="auto"/>
              <w:right w:val="nil"/>
            </w:tcBorders>
            <w:shd w:val="clear" w:color="000000" w:fill="FFFFFF"/>
            <w:noWrap/>
            <w:vAlign w:val="bottom"/>
            <w:hideMark/>
          </w:tcPr>
          <w:p w14:paraId="379F35CF"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double" w:sz="6" w:space="0" w:color="auto"/>
              <w:right w:val="nil"/>
            </w:tcBorders>
            <w:shd w:val="clear" w:color="000000" w:fill="FFFFFF"/>
            <w:noWrap/>
            <w:vAlign w:val="bottom"/>
            <w:hideMark/>
          </w:tcPr>
          <w:p w14:paraId="71E0231C"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41.9%</w:t>
            </w:r>
          </w:p>
        </w:tc>
        <w:tc>
          <w:tcPr>
            <w:tcW w:w="960" w:type="dxa"/>
            <w:tcBorders>
              <w:top w:val="nil"/>
              <w:left w:val="nil"/>
              <w:bottom w:val="double" w:sz="6" w:space="0" w:color="auto"/>
              <w:right w:val="single" w:sz="4" w:space="0" w:color="auto"/>
            </w:tcBorders>
            <w:shd w:val="clear" w:color="000000" w:fill="FFFFFF"/>
            <w:noWrap/>
            <w:vAlign w:val="bottom"/>
            <w:hideMark/>
          </w:tcPr>
          <w:p w14:paraId="3EAFCC01" w14:textId="77777777" w:rsidR="00D84893" w:rsidRPr="00D84893" w:rsidRDefault="00D84893" w:rsidP="00D84893">
            <w:pPr>
              <w:spacing w:after="0" w:line="240" w:lineRule="auto"/>
              <w:jc w:val="right"/>
              <w:rPr>
                <w:rFonts w:asciiTheme="minorHAnsi" w:eastAsia="Times New Roman" w:hAnsiTheme="minorHAnsi" w:cs="Times New Roman"/>
                <w:color w:val="000000"/>
                <w:kern w:val="0"/>
                <w:szCs w:val="22"/>
                <w:lang w:eastAsia="en-GB"/>
                <w14:ligatures w14:val="none"/>
              </w:rPr>
            </w:pPr>
            <w:r w:rsidRPr="00D84893">
              <w:rPr>
                <w:rFonts w:asciiTheme="minorHAnsi" w:eastAsia="Times New Roman" w:hAnsiTheme="minorHAnsi" w:cs="Times New Roman"/>
                <w:color w:val="000000"/>
                <w:kern w:val="0"/>
                <w:szCs w:val="22"/>
                <w:lang w:eastAsia="en-GB"/>
                <w14:ligatures w14:val="none"/>
              </w:rPr>
              <w:t>0.9%</w:t>
            </w:r>
          </w:p>
        </w:tc>
      </w:tr>
    </w:tbl>
    <w:p w14:paraId="4C0DC505" w14:textId="77777777" w:rsidR="00E97FCD" w:rsidRDefault="00E97FCD" w:rsidP="00E97FCD">
      <w:pPr>
        <w:rPr>
          <w:rFonts w:asciiTheme="minorHAnsi" w:hAnsiTheme="minorHAnsi"/>
          <w:b/>
          <w:bCs/>
          <w:szCs w:val="22"/>
        </w:rPr>
      </w:pPr>
    </w:p>
    <w:p w14:paraId="279657BF" w14:textId="77777777" w:rsidR="00E97FCD" w:rsidRPr="00E97FCD" w:rsidRDefault="00E97FCD" w:rsidP="00E97FCD">
      <w:pPr>
        <w:rPr>
          <w:rFonts w:asciiTheme="minorHAnsi" w:hAnsiTheme="minorHAnsi"/>
          <w:b/>
          <w:bCs/>
          <w:szCs w:val="22"/>
        </w:rPr>
      </w:pPr>
    </w:p>
    <w:p w14:paraId="5332BA7F" w14:textId="3AA0F618" w:rsidR="00816379" w:rsidRPr="007E2527" w:rsidRDefault="00816379" w:rsidP="00816379">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disability status and ethnicity, 2025 (N=6,241)</w:t>
      </w:r>
    </w:p>
    <w:tbl>
      <w:tblPr>
        <w:tblW w:w="10794" w:type="dxa"/>
        <w:tblLayout w:type="fixed"/>
        <w:tblLook w:val="04A0" w:firstRow="1" w:lastRow="0" w:firstColumn="1" w:lastColumn="0" w:noHBand="0" w:noVBand="1"/>
      </w:tblPr>
      <w:tblGrid>
        <w:gridCol w:w="2154"/>
        <w:gridCol w:w="960"/>
        <w:gridCol w:w="960"/>
        <w:gridCol w:w="960"/>
        <w:gridCol w:w="960"/>
        <w:gridCol w:w="960"/>
        <w:gridCol w:w="960"/>
        <w:gridCol w:w="960"/>
        <w:gridCol w:w="960"/>
        <w:gridCol w:w="960"/>
      </w:tblGrid>
      <w:tr w:rsidR="002C353B" w:rsidRPr="002C353B" w14:paraId="5C139028" w14:textId="77777777" w:rsidTr="00E7421E">
        <w:trPr>
          <w:trHeight w:val="300"/>
        </w:trPr>
        <w:tc>
          <w:tcPr>
            <w:tcW w:w="2154" w:type="dxa"/>
            <w:tcBorders>
              <w:top w:val="single" w:sz="4" w:space="0" w:color="auto"/>
              <w:left w:val="single" w:sz="4" w:space="0" w:color="auto"/>
              <w:bottom w:val="nil"/>
              <w:right w:val="nil"/>
            </w:tcBorders>
            <w:shd w:val="clear" w:color="000000" w:fill="FFFFFF"/>
            <w:noWrap/>
            <w:vAlign w:val="bottom"/>
            <w:hideMark/>
          </w:tcPr>
          <w:p w14:paraId="505ADD4B" w14:textId="77777777" w:rsidR="002C353B" w:rsidRPr="002C353B" w:rsidRDefault="002C353B" w:rsidP="002C353B">
            <w:pPr>
              <w:spacing w:after="0" w:line="240" w:lineRule="auto"/>
              <w:rPr>
                <w:rFonts w:asciiTheme="minorHAnsi" w:eastAsia="Times New Roman" w:hAnsiTheme="minorHAnsi" w:cs="Times New Roman"/>
                <w:b/>
                <w:bCs/>
                <w:color w:val="000000"/>
                <w:kern w:val="0"/>
                <w:szCs w:val="22"/>
                <w:lang w:eastAsia="en-GB"/>
                <w14:ligatures w14:val="none"/>
              </w:rPr>
            </w:pPr>
            <w:r w:rsidRPr="002C353B">
              <w:rPr>
                <w:rFonts w:asciiTheme="minorHAnsi" w:eastAsia="Times New Roman" w:hAnsiTheme="minorHAnsi" w:cs="Times New Roman"/>
                <w:b/>
                <w:bCs/>
                <w:color w:val="000000"/>
                <w:kern w:val="0"/>
                <w:szCs w:val="22"/>
                <w:lang w:eastAsia="en-GB"/>
                <w14:ligatures w14:val="none"/>
              </w:rPr>
              <w:t> </w:t>
            </w:r>
          </w:p>
        </w:tc>
        <w:tc>
          <w:tcPr>
            <w:tcW w:w="2880" w:type="dxa"/>
            <w:gridSpan w:val="3"/>
            <w:tcBorders>
              <w:top w:val="single" w:sz="4" w:space="0" w:color="auto"/>
              <w:left w:val="single" w:sz="4" w:space="0" w:color="auto"/>
              <w:bottom w:val="nil"/>
              <w:right w:val="single" w:sz="4" w:space="0" w:color="000000"/>
            </w:tcBorders>
            <w:shd w:val="clear" w:color="000000" w:fill="FFFFFF"/>
            <w:noWrap/>
            <w:vAlign w:val="center"/>
            <w:hideMark/>
          </w:tcPr>
          <w:p w14:paraId="48E87943" w14:textId="77777777" w:rsidR="002C353B" w:rsidRPr="002C353B" w:rsidRDefault="002C353B" w:rsidP="00E7421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C353B">
              <w:rPr>
                <w:rFonts w:asciiTheme="minorHAnsi" w:eastAsia="Times New Roman" w:hAnsiTheme="minorHAnsi" w:cs="Times New Roman"/>
                <w:b/>
                <w:bCs/>
                <w:color w:val="000000"/>
                <w:kern w:val="0"/>
                <w:szCs w:val="22"/>
                <w:lang w:eastAsia="en-GB"/>
                <w14:ligatures w14:val="none"/>
              </w:rPr>
              <w:t>Minoritised ethnic background</w:t>
            </w:r>
          </w:p>
        </w:tc>
        <w:tc>
          <w:tcPr>
            <w:tcW w:w="2880" w:type="dxa"/>
            <w:gridSpan w:val="3"/>
            <w:tcBorders>
              <w:top w:val="single" w:sz="4" w:space="0" w:color="auto"/>
              <w:left w:val="nil"/>
              <w:bottom w:val="nil"/>
              <w:right w:val="single" w:sz="4" w:space="0" w:color="000000"/>
            </w:tcBorders>
            <w:shd w:val="clear" w:color="000000" w:fill="FFFFFF"/>
            <w:noWrap/>
            <w:vAlign w:val="center"/>
            <w:hideMark/>
          </w:tcPr>
          <w:p w14:paraId="1980D237" w14:textId="77777777" w:rsidR="002C353B" w:rsidRPr="002C353B" w:rsidRDefault="002C353B" w:rsidP="00E7421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C353B">
              <w:rPr>
                <w:rFonts w:asciiTheme="minorHAnsi" w:eastAsia="Times New Roman" w:hAnsiTheme="minorHAnsi" w:cs="Times New Roman"/>
                <w:b/>
                <w:bCs/>
                <w:color w:val="000000"/>
                <w:kern w:val="0"/>
                <w:szCs w:val="22"/>
                <w:lang w:eastAsia="en-GB"/>
                <w14:ligatures w14:val="none"/>
              </w:rPr>
              <w:t>White</w:t>
            </w:r>
          </w:p>
        </w:tc>
        <w:tc>
          <w:tcPr>
            <w:tcW w:w="2880" w:type="dxa"/>
            <w:gridSpan w:val="3"/>
            <w:tcBorders>
              <w:top w:val="single" w:sz="4" w:space="0" w:color="auto"/>
              <w:left w:val="nil"/>
              <w:bottom w:val="nil"/>
              <w:right w:val="single" w:sz="4" w:space="0" w:color="000000"/>
            </w:tcBorders>
            <w:shd w:val="clear" w:color="000000" w:fill="FFFFFF"/>
            <w:noWrap/>
            <w:vAlign w:val="center"/>
            <w:hideMark/>
          </w:tcPr>
          <w:p w14:paraId="7E0D3768" w14:textId="77777777" w:rsidR="002C353B" w:rsidRPr="002C353B" w:rsidRDefault="002C353B" w:rsidP="00E7421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2C353B">
              <w:rPr>
                <w:rFonts w:asciiTheme="minorHAnsi" w:eastAsia="Times New Roman" w:hAnsiTheme="minorHAnsi" w:cs="Times New Roman"/>
                <w:b/>
                <w:bCs/>
                <w:color w:val="000000"/>
                <w:kern w:val="0"/>
                <w:szCs w:val="22"/>
                <w:lang w:eastAsia="en-GB"/>
                <w14:ligatures w14:val="none"/>
              </w:rPr>
              <w:t>Prefer not to say</w:t>
            </w:r>
          </w:p>
        </w:tc>
      </w:tr>
      <w:tr w:rsidR="002C353B" w:rsidRPr="007E2527" w14:paraId="3E7DF5CD" w14:textId="77777777" w:rsidTr="00833B58">
        <w:trPr>
          <w:trHeight w:val="300"/>
        </w:trPr>
        <w:tc>
          <w:tcPr>
            <w:tcW w:w="2154" w:type="dxa"/>
            <w:tcBorders>
              <w:top w:val="nil"/>
              <w:left w:val="single" w:sz="4" w:space="0" w:color="auto"/>
              <w:bottom w:val="single" w:sz="4" w:space="0" w:color="auto"/>
              <w:right w:val="nil"/>
            </w:tcBorders>
            <w:shd w:val="clear" w:color="000000" w:fill="FFFFFF"/>
            <w:noWrap/>
            <w:vAlign w:val="bottom"/>
            <w:hideMark/>
          </w:tcPr>
          <w:p w14:paraId="758E46A3" w14:textId="77777777" w:rsidR="002C353B" w:rsidRPr="002C353B" w:rsidRDefault="002C353B" w:rsidP="002C353B">
            <w:pPr>
              <w:spacing w:after="0" w:line="240" w:lineRule="auto"/>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6E38E1EF"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17407E72"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03F8F31"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16511FC"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5D6FB973"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222A66DE"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FB91050"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09B3B9B6"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4EE83D21" w14:textId="77777777" w:rsidR="002C353B" w:rsidRPr="002C353B" w:rsidRDefault="002C353B" w:rsidP="002C353B">
            <w:pPr>
              <w:spacing w:after="0" w:line="240" w:lineRule="auto"/>
              <w:jc w:val="center"/>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r>
      <w:tr w:rsidR="002C353B" w:rsidRPr="007E2527" w14:paraId="36DDB61D" w14:textId="77777777" w:rsidTr="00833B58">
        <w:trPr>
          <w:trHeight w:val="300"/>
        </w:trPr>
        <w:tc>
          <w:tcPr>
            <w:tcW w:w="2154" w:type="dxa"/>
            <w:tcBorders>
              <w:top w:val="nil"/>
              <w:left w:val="single" w:sz="4" w:space="0" w:color="auto"/>
              <w:bottom w:val="nil"/>
              <w:right w:val="nil"/>
            </w:tcBorders>
            <w:shd w:val="clear" w:color="000000" w:fill="FFFFFF"/>
            <w:noWrap/>
            <w:vAlign w:val="bottom"/>
            <w:hideMark/>
          </w:tcPr>
          <w:p w14:paraId="014B9903" w14:textId="77777777" w:rsidR="002C353B" w:rsidRPr="002C353B" w:rsidRDefault="002C353B" w:rsidP="002C353B">
            <w:pPr>
              <w:spacing w:after="0" w:line="240" w:lineRule="auto"/>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Disabled</w:t>
            </w:r>
          </w:p>
        </w:tc>
        <w:tc>
          <w:tcPr>
            <w:tcW w:w="960" w:type="dxa"/>
            <w:tcBorders>
              <w:top w:val="nil"/>
              <w:left w:val="single" w:sz="4" w:space="0" w:color="auto"/>
              <w:bottom w:val="nil"/>
              <w:right w:val="nil"/>
            </w:tcBorders>
            <w:shd w:val="clear" w:color="000000" w:fill="FFFFFF"/>
            <w:noWrap/>
            <w:vAlign w:val="bottom"/>
            <w:hideMark/>
          </w:tcPr>
          <w:p w14:paraId="4C39ABE8"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nil"/>
            </w:tcBorders>
            <w:shd w:val="clear" w:color="000000" w:fill="FFFFFF"/>
            <w:noWrap/>
            <w:vAlign w:val="bottom"/>
            <w:hideMark/>
          </w:tcPr>
          <w:p w14:paraId="5B84B660"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8.0%</w:t>
            </w:r>
          </w:p>
        </w:tc>
        <w:tc>
          <w:tcPr>
            <w:tcW w:w="960" w:type="dxa"/>
            <w:tcBorders>
              <w:top w:val="nil"/>
              <w:left w:val="nil"/>
              <w:bottom w:val="nil"/>
              <w:right w:val="single" w:sz="4" w:space="0" w:color="auto"/>
            </w:tcBorders>
            <w:shd w:val="clear" w:color="000000" w:fill="FFFFFF"/>
            <w:noWrap/>
            <w:vAlign w:val="bottom"/>
            <w:hideMark/>
          </w:tcPr>
          <w:p w14:paraId="0D55770A"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nil"/>
            </w:tcBorders>
            <w:shd w:val="clear" w:color="000000" w:fill="FFFFFF"/>
            <w:noWrap/>
            <w:vAlign w:val="bottom"/>
            <w:hideMark/>
          </w:tcPr>
          <w:p w14:paraId="22C47F45"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282</w:t>
            </w:r>
          </w:p>
        </w:tc>
        <w:tc>
          <w:tcPr>
            <w:tcW w:w="960" w:type="dxa"/>
            <w:tcBorders>
              <w:top w:val="nil"/>
              <w:left w:val="nil"/>
              <w:bottom w:val="nil"/>
              <w:right w:val="nil"/>
            </w:tcBorders>
            <w:shd w:val="clear" w:color="000000" w:fill="FFFFFF"/>
            <w:noWrap/>
            <w:vAlign w:val="bottom"/>
            <w:hideMark/>
          </w:tcPr>
          <w:p w14:paraId="67533C3A"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89.8%</w:t>
            </w:r>
          </w:p>
        </w:tc>
        <w:tc>
          <w:tcPr>
            <w:tcW w:w="960" w:type="dxa"/>
            <w:tcBorders>
              <w:top w:val="nil"/>
              <w:left w:val="nil"/>
              <w:bottom w:val="nil"/>
              <w:right w:val="single" w:sz="4" w:space="0" w:color="auto"/>
            </w:tcBorders>
            <w:shd w:val="clear" w:color="000000" w:fill="FFFFFF"/>
            <w:noWrap/>
            <w:vAlign w:val="bottom"/>
            <w:hideMark/>
          </w:tcPr>
          <w:p w14:paraId="7F3A65D1"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5.6%</w:t>
            </w:r>
          </w:p>
        </w:tc>
        <w:tc>
          <w:tcPr>
            <w:tcW w:w="960" w:type="dxa"/>
            <w:tcBorders>
              <w:top w:val="nil"/>
              <w:left w:val="nil"/>
              <w:bottom w:val="nil"/>
              <w:right w:val="nil"/>
            </w:tcBorders>
            <w:shd w:val="clear" w:color="000000" w:fill="FFFFFF"/>
            <w:noWrap/>
            <w:vAlign w:val="bottom"/>
            <w:hideMark/>
          </w:tcPr>
          <w:p w14:paraId="7E610094"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nil"/>
            </w:tcBorders>
            <w:shd w:val="clear" w:color="000000" w:fill="FFFFFF"/>
            <w:noWrap/>
            <w:vAlign w:val="bottom"/>
            <w:hideMark/>
          </w:tcPr>
          <w:p w14:paraId="6A601F21"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2.2%</w:t>
            </w:r>
          </w:p>
        </w:tc>
        <w:tc>
          <w:tcPr>
            <w:tcW w:w="960" w:type="dxa"/>
            <w:tcBorders>
              <w:top w:val="nil"/>
              <w:left w:val="nil"/>
              <w:bottom w:val="nil"/>
              <w:right w:val="single" w:sz="4" w:space="0" w:color="auto"/>
            </w:tcBorders>
            <w:shd w:val="clear" w:color="000000" w:fill="FFFFFF"/>
            <w:noWrap/>
            <w:vAlign w:val="bottom"/>
            <w:hideMark/>
          </w:tcPr>
          <w:p w14:paraId="04972E73"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1.9%</w:t>
            </w:r>
          </w:p>
        </w:tc>
      </w:tr>
      <w:tr w:rsidR="002C353B" w:rsidRPr="007E2527" w14:paraId="26684CEE" w14:textId="77777777" w:rsidTr="00833B58">
        <w:trPr>
          <w:trHeight w:val="300"/>
        </w:trPr>
        <w:tc>
          <w:tcPr>
            <w:tcW w:w="2154" w:type="dxa"/>
            <w:tcBorders>
              <w:top w:val="nil"/>
              <w:left w:val="single" w:sz="4" w:space="0" w:color="auto"/>
              <w:bottom w:val="nil"/>
              <w:right w:val="nil"/>
            </w:tcBorders>
            <w:shd w:val="clear" w:color="000000" w:fill="FFFFFF"/>
            <w:noWrap/>
            <w:vAlign w:val="bottom"/>
            <w:hideMark/>
          </w:tcPr>
          <w:p w14:paraId="72A0432F" w14:textId="77777777" w:rsidR="002C353B" w:rsidRPr="002C353B" w:rsidRDefault="002C353B" w:rsidP="002C353B">
            <w:pPr>
              <w:spacing w:after="0" w:line="240" w:lineRule="auto"/>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No known disability</w:t>
            </w:r>
          </w:p>
        </w:tc>
        <w:tc>
          <w:tcPr>
            <w:tcW w:w="960" w:type="dxa"/>
            <w:tcBorders>
              <w:top w:val="nil"/>
              <w:left w:val="single" w:sz="4" w:space="0" w:color="auto"/>
              <w:bottom w:val="nil"/>
              <w:right w:val="nil"/>
            </w:tcBorders>
            <w:shd w:val="clear" w:color="000000" w:fill="FFFFFF"/>
            <w:noWrap/>
            <w:vAlign w:val="bottom"/>
            <w:hideMark/>
          </w:tcPr>
          <w:p w14:paraId="093E5B50"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808</w:t>
            </w:r>
          </w:p>
        </w:tc>
        <w:tc>
          <w:tcPr>
            <w:tcW w:w="960" w:type="dxa"/>
            <w:tcBorders>
              <w:top w:val="nil"/>
              <w:left w:val="nil"/>
              <w:bottom w:val="nil"/>
              <w:right w:val="nil"/>
            </w:tcBorders>
            <w:shd w:val="clear" w:color="000000" w:fill="FFFFFF"/>
            <w:noWrap/>
            <w:vAlign w:val="bottom"/>
            <w:hideMark/>
          </w:tcPr>
          <w:p w14:paraId="3841BBA5"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13.8%</w:t>
            </w:r>
          </w:p>
        </w:tc>
        <w:tc>
          <w:tcPr>
            <w:tcW w:w="960" w:type="dxa"/>
            <w:tcBorders>
              <w:top w:val="nil"/>
              <w:left w:val="nil"/>
              <w:bottom w:val="nil"/>
              <w:right w:val="single" w:sz="4" w:space="0" w:color="auto"/>
            </w:tcBorders>
            <w:shd w:val="clear" w:color="000000" w:fill="FFFFFF"/>
            <w:noWrap/>
            <w:vAlign w:val="bottom"/>
            <w:hideMark/>
          </w:tcPr>
          <w:p w14:paraId="4CC86987"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96.7%</w:t>
            </w:r>
          </w:p>
        </w:tc>
        <w:tc>
          <w:tcPr>
            <w:tcW w:w="960" w:type="dxa"/>
            <w:tcBorders>
              <w:top w:val="nil"/>
              <w:left w:val="nil"/>
              <w:bottom w:val="nil"/>
              <w:right w:val="nil"/>
            </w:tcBorders>
            <w:shd w:val="clear" w:color="000000" w:fill="FFFFFF"/>
            <w:noWrap/>
            <w:vAlign w:val="bottom"/>
            <w:hideMark/>
          </w:tcPr>
          <w:p w14:paraId="3F854FE9"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4730</w:t>
            </w:r>
          </w:p>
        </w:tc>
        <w:tc>
          <w:tcPr>
            <w:tcW w:w="960" w:type="dxa"/>
            <w:tcBorders>
              <w:top w:val="nil"/>
              <w:left w:val="nil"/>
              <w:bottom w:val="nil"/>
              <w:right w:val="nil"/>
            </w:tcBorders>
            <w:shd w:val="clear" w:color="000000" w:fill="FFFFFF"/>
            <w:noWrap/>
            <w:vAlign w:val="bottom"/>
            <w:hideMark/>
          </w:tcPr>
          <w:p w14:paraId="78577EC0"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80.6%</w:t>
            </w:r>
          </w:p>
        </w:tc>
        <w:tc>
          <w:tcPr>
            <w:tcW w:w="960" w:type="dxa"/>
            <w:tcBorders>
              <w:top w:val="nil"/>
              <w:left w:val="nil"/>
              <w:bottom w:val="nil"/>
              <w:right w:val="single" w:sz="4" w:space="0" w:color="auto"/>
            </w:tcBorders>
            <w:shd w:val="clear" w:color="000000" w:fill="FFFFFF"/>
            <w:noWrap/>
            <w:vAlign w:val="bottom"/>
            <w:hideMark/>
          </w:tcPr>
          <w:p w14:paraId="4FA6752C"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93.9%</w:t>
            </w:r>
          </w:p>
        </w:tc>
        <w:tc>
          <w:tcPr>
            <w:tcW w:w="960" w:type="dxa"/>
            <w:tcBorders>
              <w:top w:val="nil"/>
              <w:left w:val="nil"/>
              <w:bottom w:val="nil"/>
              <w:right w:val="nil"/>
            </w:tcBorders>
            <w:shd w:val="clear" w:color="000000" w:fill="FFFFFF"/>
            <w:noWrap/>
            <w:vAlign w:val="bottom"/>
            <w:hideMark/>
          </w:tcPr>
          <w:p w14:paraId="3FEA08B4"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327</w:t>
            </w:r>
          </w:p>
        </w:tc>
        <w:tc>
          <w:tcPr>
            <w:tcW w:w="960" w:type="dxa"/>
            <w:tcBorders>
              <w:top w:val="nil"/>
              <w:left w:val="nil"/>
              <w:bottom w:val="nil"/>
              <w:right w:val="nil"/>
            </w:tcBorders>
            <w:shd w:val="clear" w:color="000000" w:fill="FFFFFF"/>
            <w:noWrap/>
            <w:vAlign w:val="bottom"/>
            <w:hideMark/>
          </w:tcPr>
          <w:p w14:paraId="105CB490"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5.6%</w:t>
            </w:r>
          </w:p>
        </w:tc>
        <w:tc>
          <w:tcPr>
            <w:tcW w:w="960" w:type="dxa"/>
            <w:tcBorders>
              <w:top w:val="nil"/>
              <w:left w:val="nil"/>
              <w:bottom w:val="nil"/>
              <w:right w:val="single" w:sz="4" w:space="0" w:color="auto"/>
            </w:tcBorders>
            <w:shd w:val="clear" w:color="000000" w:fill="FFFFFF"/>
            <w:noWrap/>
            <w:vAlign w:val="bottom"/>
            <w:hideMark/>
          </w:tcPr>
          <w:p w14:paraId="4F87C39D"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89.1%</w:t>
            </w:r>
          </w:p>
        </w:tc>
      </w:tr>
      <w:tr w:rsidR="002C353B" w:rsidRPr="007E2527" w14:paraId="4E2708E1" w14:textId="77777777" w:rsidTr="00833B58">
        <w:trPr>
          <w:trHeight w:val="315"/>
        </w:trPr>
        <w:tc>
          <w:tcPr>
            <w:tcW w:w="2154" w:type="dxa"/>
            <w:tcBorders>
              <w:top w:val="nil"/>
              <w:left w:val="single" w:sz="4" w:space="0" w:color="auto"/>
              <w:bottom w:val="double" w:sz="6" w:space="0" w:color="auto"/>
              <w:right w:val="nil"/>
            </w:tcBorders>
            <w:shd w:val="clear" w:color="000000" w:fill="FFFFFF"/>
            <w:noWrap/>
            <w:vAlign w:val="bottom"/>
            <w:hideMark/>
          </w:tcPr>
          <w:p w14:paraId="0A5C19B6" w14:textId="77777777" w:rsidR="002C353B" w:rsidRPr="002C353B" w:rsidRDefault="002C353B" w:rsidP="002C353B">
            <w:pPr>
              <w:spacing w:after="0" w:line="240" w:lineRule="auto"/>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0A530707"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double" w:sz="6" w:space="0" w:color="auto"/>
              <w:right w:val="nil"/>
            </w:tcBorders>
            <w:shd w:val="clear" w:color="000000" w:fill="FFFFFF"/>
            <w:noWrap/>
            <w:vAlign w:val="bottom"/>
            <w:hideMark/>
          </w:tcPr>
          <w:p w14:paraId="2E415BF4"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double" w:sz="6" w:space="0" w:color="auto"/>
              <w:right w:val="single" w:sz="4" w:space="0" w:color="auto"/>
            </w:tcBorders>
            <w:shd w:val="clear" w:color="000000" w:fill="FFFFFF"/>
            <w:noWrap/>
            <w:vAlign w:val="bottom"/>
            <w:hideMark/>
          </w:tcPr>
          <w:p w14:paraId="1C717343"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double" w:sz="6" w:space="0" w:color="auto"/>
              <w:right w:val="nil"/>
            </w:tcBorders>
            <w:shd w:val="clear" w:color="000000" w:fill="FFFFFF"/>
            <w:noWrap/>
            <w:vAlign w:val="bottom"/>
            <w:hideMark/>
          </w:tcPr>
          <w:p w14:paraId="475FA017"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double" w:sz="6" w:space="0" w:color="auto"/>
              <w:right w:val="nil"/>
            </w:tcBorders>
            <w:shd w:val="clear" w:color="000000" w:fill="FFFFFF"/>
            <w:noWrap/>
            <w:vAlign w:val="bottom"/>
            <w:hideMark/>
          </w:tcPr>
          <w:p w14:paraId="3A8D6886"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41.9%</w:t>
            </w:r>
          </w:p>
        </w:tc>
        <w:tc>
          <w:tcPr>
            <w:tcW w:w="960" w:type="dxa"/>
            <w:tcBorders>
              <w:top w:val="nil"/>
              <w:left w:val="nil"/>
              <w:bottom w:val="double" w:sz="6" w:space="0" w:color="auto"/>
              <w:right w:val="single" w:sz="4" w:space="0" w:color="auto"/>
            </w:tcBorders>
            <w:shd w:val="clear" w:color="000000" w:fill="FFFFFF"/>
            <w:noWrap/>
            <w:vAlign w:val="bottom"/>
            <w:hideMark/>
          </w:tcPr>
          <w:p w14:paraId="5DEFB22C"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0.5%</w:t>
            </w:r>
          </w:p>
        </w:tc>
        <w:tc>
          <w:tcPr>
            <w:tcW w:w="960" w:type="dxa"/>
            <w:tcBorders>
              <w:top w:val="nil"/>
              <w:left w:val="nil"/>
              <w:bottom w:val="double" w:sz="6" w:space="0" w:color="auto"/>
              <w:right w:val="nil"/>
            </w:tcBorders>
            <w:shd w:val="clear" w:color="000000" w:fill="FFFFFF"/>
            <w:noWrap/>
            <w:vAlign w:val="bottom"/>
            <w:hideMark/>
          </w:tcPr>
          <w:p w14:paraId="4F93257D"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33</w:t>
            </w:r>
          </w:p>
        </w:tc>
        <w:tc>
          <w:tcPr>
            <w:tcW w:w="960" w:type="dxa"/>
            <w:tcBorders>
              <w:top w:val="nil"/>
              <w:left w:val="nil"/>
              <w:bottom w:val="double" w:sz="6" w:space="0" w:color="auto"/>
              <w:right w:val="nil"/>
            </w:tcBorders>
            <w:shd w:val="clear" w:color="000000" w:fill="FFFFFF"/>
            <w:noWrap/>
            <w:vAlign w:val="bottom"/>
            <w:hideMark/>
          </w:tcPr>
          <w:p w14:paraId="5B120EA4"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53.2%</w:t>
            </w:r>
          </w:p>
        </w:tc>
        <w:tc>
          <w:tcPr>
            <w:tcW w:w="960" w:type="dxa"/>
            <w:tcBorders>
              <w:top w:val="nil"/>
              <w:left w:val="nil"/>
              <w:bottom w:val="double" w:sz="6" w:space="0" w:color="auto"/>
              <w:right w:val="single" w:sz="4" w:space="0" w:color="auto"/>
            </w:tcBorders>
            <w:shd w:val="clear" w:color="000000" w:fill="FFFFFF"/>
            <w:noWrap/>
            <w:vAlign w:val="bottom"/>
            <w:hideMark/>
          </w:tcPr>
          <w:p w14:paraId="5EC88870" w14:textId="77777777" w:rsidR="002C353B" w:rsidRPr="002C353B" w:rsidRDefault="002C353B" w:rsidP="002C353B">
            <w:pPr>
              <w:spacing w:after="0" w:line="240" w:lineRule="auto"/>
              <w:jc w:val="right"/>
              <w:rPr>
                <w:rFonts w:asciiTheme="minorHAnsi" w:eastAsia="Times New Roman" w:hAnsiTheme="minorHAnsi" w:cs="Times New Roman"/>
                <w:color w:val="000000"/>
                <w:kern w:val="0"/>
                <w:szCs w:val="22"/>
                <w:lang w:eastAsia="en-GB"/>
                <w14:ligatures w14:val="none"/>
              </w:rPr>
            </w:pPr>
            <w:r w:rsidRPr="002C353B">
              <w:rPr>
                <w:rFonts w:asciiTheme="minorHAnsi" w:eastAsia="Times New Roman" w:hAnsiTheme="minorHAnsi" w:cs="Times New Roman"/>
                <w:color w:val="000000"/>
                <w:kern w:val="0"/>
                <w:szCs w:val="22"/>
                <w:lang w:eastAsia="en-GB"/>
                <w14:ligatures w14:val="none"/>
              </w:rPr>
              <w:t>9.0%</w:t>
            </w:r>
          </w:p>
        </w:tc>
      </w:tr>
    </w:tbl>
    <w:p w14:paraId="2373F5B7" w14:textId="77777777" w:rsidR="00816379" w:rsidRDefault="00816379" w:rsidP="00816379">
      <w:pPr>
        <w:rPr>
          <w:rFonts w:asciiTheme="minorHAnsi" w:hAnsiTheme="minorHAnsi"/>
          <w:b/>
          <w:bCs/>
          <w:szCs w:val="22"/>
        </w:rPr>
      </w:pPr>
    </w:p>
    <w:p w14:paraId="5732E274" w14:textId="77777777" w:rsidR="0082078F" w:rsidRDefault="0082078F" w:rsidP="00816379">
      <w:pPr>
        <w:rPr>
          <w:rFonts w:asciiTheme="minorHAnsi" w:hAnsiTheme="minorHAnsi"/>
          <w:b/>
          <w:bCs/>
          <w:szCs w:val="22"/>
        </w:rPr>
      </w:pPr>
    </w:p>
    <w:p w14:paraId="1ACB2CAE" w14:textId="77777777" w:rsidR="0082078F" w:rsidRDefault="0082078F" w:rsidP="00816379">
      <w:pPr>
        <w:rPr>
          <w:rFonts w:asciiTheme="minorHAnsi" w:hAnsiTheme="minorHAnsi"/>
          <w:b/>
          <w:bCs/>
          <w:szCs w:val="22"/>
        </w:rPr>
      </w:pPr>
    </w:p>
    <w:p w14:paraId="1B0F38A8" w14:textId="77777777" w:rsidR="0082078F" w:rsidRDefault="0082078F" w:rsidP="00816379">
      <w:pPr>
        <w:rPr>
          <w:rFonts w:asciiTheme="minorHAnsi" w:hAnsiTheme="minorHAnsi"/>
          <w:b/>
          <w:bCs/>
          <w:szCs w:val="22"/>
        </w:rPr>
      </w:pPr>
    </w:p>
    <w:p w14:paraId="5E3EF8ED" w14:textId="77777777" w:rsidR="0082078F" w:rsidRDefault="0082078F" w:rsidP="00816379">
      <w:pPr>
        <w:rPr>
          <w:rFonts w:asciiTheme="minorHAnsi" w:hAnsiTheme="minorHAnsi"/>
          <w:b/>
          <w:bCs/>
          <w:szCs w:val="22"/>
        </w:rPr>
      </w:pPr>
    </w:p>
    <w:p w14:paraId="30C56B15" w14:textId="77777777" w:rsidR="0082078F" w:rsidRPr="007E2527" w:rsidRDefault="0082078F" w:rsidP="00816379">
      <w:pPr>
        <w:rPr>
          <w:rFonts w:asciiTheme="minorHAnsi" w:hAnsiTheme="minorHAnsi"/>
          <w:b/>
          <w:bCs/>
          <w:szCs w:val="22"/>
        </w:rPr>
      </w:pPr>
    </w:p>
    <w:p w14:paraId="2D2F5760" w14:textId="16E57A93" w:rsidR="00816379" w:rsidRPr="007E2527" w:rsidRDefault="007A27D3" w:rsidP="00816379">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ethnicity and sex, 2025 (Female n=3,438, Male n=2,803)</w:t>
      </w:r>
    </w:p>
    <w:tbl>
      <w:tblPr>
        <w:tblW w:w="8708" w:type="dxa"/>
        <w:tblLayout w:type="fixed"/>
        <w:tblLook w:val="04A0" w:firstRow="1" w:lastRow="0" w:firstColumn="1" w:lastColumn="0" w:noHBand="0" w:noVBand="1"/>
      </w:tblPr>
      <w:tblGrid>
        <w:gridCol w:w="2948"/>
        <w:gridCol w:w="960"/>
        <w:gridCol w:w="960"/>
        <w:gridCol w:w="960"/>
        <w:gridCol w:w="960"/>
        <w:gridCol w:w="960"/>
        <w:gridCol w:w="960"/>
      </w:tblGrid>
      <w:tr w:rsidR="00833B58" w:rsidRPr="00833B58" w14:paraId="6F829B08" w14:textId="77777777" w:rsidTr="00833B58">
        <w:trPr>
          <w:trHeight w:val="300"/>
        </w:trPr>
        <w:tc>
          <w:tcPr>
            <w:tcW w:w="2948" w:type="dxa"/>
            <w:tcBorders>
              <w:top w:val="single" w:sz="4" w:space="0" w:color="auto"/>
              <w:left w:val="single" w:sz="4" w:space="0" w:color="auto"/>
              <w:bottom w:val="nil"/>
              <w:right w:val="nil"/>
            </w:tcBorders>
            <w:shd w:val="clear" w:color="000000" w:fill="FFFFFF"/>
            <w:noWrap/>
            <w:vAlign w:val="bottom"/>
            <w:hideMark/>
          </w:tcPr>
          <w:p w14:paraId="4D90DB2E" w14:textId="77777777" w:rsidR="00833B58" w:rsidRPr="00833B58" w:rsidRDefault="00833B58" w:rsidP="00833B58">
            <w:pPr>
              <w:spacing w:after="0" w:line="240" w:lineRule="auto"/>
              <w:rPr>
                <w:rFonts w:asciiTheme="minorHAnsi" w:eastAsia="Times New Roman" w:hAnsiTheme="minorHAnsi" w:cs="Times New Roman"/>
                <w:b/>
                <w:bCs/>
                <w:color w:val="000000"/>
                <w:kern w:val="0"/>
                <w:szCs w:val="22"/>
                <w:lang w:eastAsia="en-GB"/>
                <w14:ligatures w14:val="none"/>
              </w:rPr>
            </w:pPr>
            <w:r w:rsidRPr="00833B58">
              <w:rPr>
                <w:rFonts w:asciiTheme="minorHAnsi" w:eastAsia="Times New Roman" w:hAnsiTheme="minorHAnsi" w:cs="Times New Roman"/>
                <w:b/>
                <w:bCs/>
                <w:color w:val="000000"/>
                <w:kern w:val="0"/>
                <w:szCs w:val="22"/>
                <w:lang w:eastAsia="en-GB"/>
                <w14:ligatures w14:val="none"/>
              </w:rPr>
              <w:t> </w:t>
            </w:r>
          </w:p>
        </w:tc>
        <w:tc>
          <w:tcPr>
            <w:tcW w:w="2880" w:type="dxa"/>
            <w:gridSpan w:val="3"/>
            <w:tcBorders>
              <w:top w:val="single" w:sz="4" w:space="0" w:color="auto"/>
              <w:left w:val="single" w:sz="4" w:space="0" w:color="auto"/>
              <w:bottom w:val="nil"/>
              <w:right w:val="single" w:sz="4" w:space="0" w:color="000000"/>
            </w:tcBorders>
            <w:shd w:val="clear" w:color="000000" w:fill="FFFFFF"/>
            <w:noWrap/>
            <w:vAlign w:val="bottom"/>
            <w:hideMark/>
          </w:tcPr>
          <w:p w14:paraId="49354DED" w14:textId="77777777" w:rsidR="00833B58" w:rsidRPr="00833B58" w:rsidRDefault="00833B58" w:rsidP="00833B5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33B58">
              <w:rPr>
                <w:rFonts w:asciiTheme="minorHAnsi" w:eastAsia="Times New Roman" w:hAnsiTheme="minorHAnsi" w:cs="Times New Roman"/>
                <w:b/>
                <w:bCs/>
                <w:color w:val="000000"/>
                <w:kern w:val="0"/>
                <w:szCs w:val="22"/>
                <w:lang w:eastAsia="en-GB"/>
                <w14:ligatures w14:val="none"/>
              </w:rPr>
              <w:t>Female</w:t>
            </w:r>
          </w:p>
        </w:tc>
        <w:tc>
          <w:tcPr>
            <w:tcW w:w="2880" w:type="dxa"/>
            <w:gridSpan w:val="3"/>
            <w:tcBorders>
              <w:top w:val="single" w:sz="4" w:space="0" w:color="auto"/>
              <w:left w:val="nil"/>
              <w:bottom w:val="nil"/>
              <w:right w:val="single" w:sz="4" w:space="0" w:color="000000"/>
            </w:tcBorders>
            <w:shd w:val="clear" w:color="000000" w:fill="FFFFFF"/>
            <w:noWrap/>
            <w:vAlign w:val="bottom"/>
            <w:hideMark/>
          </w:tcPr>
          <w:p w14:paraId="1CFB4B40" w14:textId="77777777" w:rsidR="00833B58" w:rsidRPr="00833B58" w:rsidRDefault="00833B58" w:rsidP="00833B5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33B58">
              <w:rPr>
                <w:rFonts w:asciiTheme="minorHAnsi" w:eastAsia="Times New Roman" w:hAnsiTheme="minorHAnsi" w:cs="Times New Roman"/>
                <w:b/>
                <w:bCs/>
                <w:color w:val="000000"/>
                <w:kern w:val="0"/>
                <w:szCs w:val="22"/>
                <w:lang w:eastAsia="en-GB"/>
                <w14:ligatures w14:val="none"/>
              </w:rPr>
              <w:t>Male</w:t>
            </w:r>
          </w:p>
        </w:tc>
      </w:tr>
      <w:tr w:rsidR="00833B58" w:rsidRPr="00833B58" w14:paraId="4D01B918" w14:textId="77777777" w:rsidTr="00833B58">
        <w:trPr>
          <w:trHeight w:val="300"/>
        </w:trPr>
        <w:tc>
          <w:tcPr>
            <w:tcW w:w="2948" w:type="dxa"/>
            <w:tcBorders>
              <w:top w:val="nil"/>
              <w:left w:val="single" w:sz="4" w:space="0" w:color="auto"/>
              <w:bottom w:val="single" w:sz="4" w:space="0" w:color="auto"/>
              <w:right w:val="nil"/>
            </w:tcBorders>
            <w:shd w:val="clear" w:color="000000" w:fill="FFFFFF"/>
            <w:noWrap/>
            <w:vAlign w:val="bottom"/>
            <w:hideMark/>
          </w:tcPr>
          <w:p w14:paraId="0082785F" w14:textId="77777777" w:rsidR="00833B58" w:rsidRPr="00833B58" w:rsidRDefault="00833B58" w:rsidP="00833B58">
            <w:pPr>
              <w:spacing w:after="0" w:line="240" w:lineRule="auto"/>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28508EBC" w14:textId="77777777" w:rsidR="00833B58" w:rsidRPr="00833B58" w:rsidRDefault="00833B58" w:rsidP="00833B58">
            <w:pPr>
              <w:spacing w:after="0" w:line="240" w:lineRule="auto"/>
              <w:jc w:val="center"/>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35807AF2" w14:textId="77777777" w:rsidR="00833B58" w:rsidRPr="00833B58" w:rsidRDefault="00833B58" w:rsidP="00833B58">
            <w:pPr>
              <w:spacing w:after="0" w:line="240" w:lineRule="auto"/>
              <w:jc w:val="center"/>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1CF9612F" w14:textId="77777777" w:rsidR="00833B58" w:rsidRPr="00833B58" w:rsidRDefault="00833B58" w:rsidP="00833B58">
            <w:pPr>
              <w:spacing w:after="0" w:line="240" w:lineRule="auto"/>
              <w:jc w:val="center"/>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611F9FA" w14:textId="77777777" w:rsidR="00833B58" w:rsidRPr="00833B58" w:rsidRDefault="00833B58" w:rsidP="00833B58">
            <w:pPr>
              <w:spacing w:after="0" w:line="240" w:lineRule="auto"/>
              <w:jc w:val="center"/>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1AAFC49D" w14:textId="77777777" w:rsidR="00833B58" w:rsidRPr="00833B58" w:rsidRDefault="00833B58" w:rsidP="00833B58">
            <w:pPr>
              <w:spacing w:after="0" w:line="240" w:lineRule="auto"/>
              <w:jc w:val="center"/>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single" w:sz="4" w:space="0" w:color="auto"/>
            </w:tcBorders>
            <w:shd w:val="clear" w:color="000000" w:fill="FFFFFF"/>
            <w:noWrap/>
            <w:vAlign w:val="bottom"/>
            <w:hideMark/>
          </w:tcPr>
          <w:p w14:paraId="641677E0" w14:textId="77777777" w:rsidR="00833B58" w:rsidRPr="00833B58" w:rsidRDefault="00833B58" w:rsidP="00833B58">
            <w:pPr>
              <w:spacing w:after="0" w:line="240" w:lineRule="auto"/>
              <w:jc w:val="center"/>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w:t>
            </w:r>
          </w:p>
        </w:tc>
      </w:tr>
      <w:tr w:rsidR="00833B58" w:rsidRPr="00833B58" w14:paraId="31303A45" w14:textId="77777777" w:rsidTr="00833B58">
        <w:trPr>
          <w:trHeight w:val="300"/>
        </w:trPr>
        <w:tc>
          <w:tcPr>
            <w:tcW w:w="2948" w:type="dxa"/>
            <w:tcBorders>
              <w:top w:val="nil"/>
              <w:left w:val="single" w:sz="4" w:space="0" w:color="auto"/>
              <w:bottom w:val="nil"/>
              <w:right w:val="nil"/>
            </w:tcBorders>
            <w:shd w:val="clear" w:color="000000" w:fill="FFFFFF"/>
            <w:noWrap/>
            <w:vAlign w:val="bottom"/>
            <w:hideMark/>
          </w:tcPr>
          <w:p w14:paraId="5626BD10" w14:textId="77777777" w:rsidR="00833B58" w:rsidRPr="00833B58" w:rsidRDefault="00833B58" w:rsidP="00833B58">
            <w:pPr>
              <w:spacing w:after="0" w:line="240" w:lineRule="auto"/>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Minoritised ethnic background</w:t>
            </w:r>
          </w:p>
        </w:tc>
        <w:tc>
          <w:tcPr>
            <w:tcW w:w="960" w:type="dxa"/>
            <w:tcBorders>
              <w:top w:val="nil"/>
              <w:left w:val="single" w:sz="4" w:space="0" w:color="auto"/>
              <w:bottom w:val="nil"/>
              <w:right w:val="nil"/>
            </w:tcBorders>
            <w:shd w:val="clear" w:color="000000" w:fill="FFFFFF"/>
            <w:noWrap/>
            <w:vAlign w:val="bottom"/>
            <w:hideMark/>
          </w:tcPr>
          <w:p w14:paraId="272FE582"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427</w:t>
            </w:r>
          </w:p>
        </w:tc>
        <w:tc>
          <w:tcPr>
            <w:tcW w:w="960" w:type="dxa"/>
            <w:tcBorders>
              <w:top w:val="nil"/>
              <w:left w:val="nil"/>
              <w:bottom w:val="nil"/>
              <w:right w:val="nil"/>
            </w:tcBorders>
            <w:shd w:val="clear" w:color="000000" w:fill="FFFFFF"/>
            <w:noWrap/>
            <w:vAlign w:val="bottom"/>
            <w:hideMark/>
          </w:tcPr>
          <w:p w14:paraId="738465C5"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51.1%</w:t>
            </w:r>
          </w:p>
        </w:tc>
        <w:tc>
          <w:tcPr>
            <w:tcW w:w="960" w:type="dxa"/>
            <w:tcBorders>
              <w:top w:val="nil"/>
              <w:left w:val="nil"/>
              <w:bottom w:val="nil"/>
              <w:right w:val="single" w:sz="4" w:space="0" w:color="auto"/>
            </w:tcBorders>
            <w:shd w:val="clear" w:color="000000" w:fill="FFFFFF"/>
            <w:noWrap/>
            <w:vAlign w:val="bottom"/>
            <w:hideMark/>
          </w:tcPr>
          <w:p w14:paraId="39412396"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12.4%</w:t>
            </w:r>
          </w:p>
        </w:tc>
        <w:tc>
          <w:tcPr>
            <w:tcW w:w="960" w:type="dxa"/>
            <w:tcBorders>
              <w:top w:val="nil"/>
              <w:left w:val="nil"/>
              <w:bottom w:val="nil"/>
              <w:right w:val="nil"/>
            </w:tcBorders>
            <w:shd w:val="clear" w:color="000000" w:fill="FFFFFF"/>
            <w:noWrap/>
            <w:vAlign w:val="bottom"/>
            <w:hideMark/>
          </w:tcPr>
          <w:p w14:paraId="12FF166C"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409</w:t>
            </w:r>
          </w:p>
        </w:tc>
        <w:tc>
          <w:tcPr>
            <w:tcW w:w="960" w:type="dxa"/>
            <w:tcBorders>
              <w:top w:val="nil"/>
              <w:left w:val="nil"/>
              <w:bottom w:val="nil"/>
              <w:right w:val="nil"/>
            </w:tcBorders>
            <w:shd w:val="clear" w:color="000000" w:fill="FFFFFF"/>
            <w:noWrap/>
            <w:vAlign w:val="bottom"/>
            <w:hideMark/>
          </w:tcPr>
          <w:p w14:paraId="5F0BFA69"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48.9%</w:t>
            </w:r>
          </w:p>
        </w:tc>
        <w:tc>
          <w:tcPr>
            <w:tcW w:w="960" w:type="dxa"/>
            <w:tcBorders>
              <w:top w:val="nil"/>
              <w:left w:val="nil"/>
              <w:bottom w:val="nil"/>
              <w:right w:val="single" w:sz="4" w:space="0" w:color="auto"/>
            </w:tcBorders>
            <w:shd w:val="clear" w:color="000000" w:fill="FFFFFF"/>
            <w:noWrap/>
            <w:vAlign w:val="bottom"/>
            <w:hideMark/>
          </w:tcPr>
          <w:p w14:paraId="69926B6E"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14.6%</w:t>
            </w:r>
          </w:p>
        </w:tc>
      </w:tr>
      <w:tr w:rsidR="00833B58" w:rsidRPr="00833B58" w14:paraId="2AAB7898" w14:textId="77777777" w:rsidTr="00833B58">
        <w:trPr>
          <w:trHeight w:val="300"/>
        </w:trPr>
        <w:tc>
          <w:tcPr>
            <w:tcW w:w="2948" w:type="dxa"/>
            <w:tcBorders>
              <w:top w:val="nil"/>
              <w:left w:val="single" w:sz="4" w:space="0" w:color="auto"/>
              <w:bottom w:val="nil"/>
              <w:right w:val="nil"/>
            </w:tcBorders>
            <w:shd w:val="clear" w:color="000000" w:fill="FFFFFF"/>
            <w:noWrap/>
            <w:vAlign w:val="bottom"/>
            <w:hideMark/>
          </w:tcPr>
          <w:p w14:paraId="223844B5" w14:textId="77777777" w:rsidR="00833B58" w:rsidRPr="00833B58" w:rsidRDefault="00833B58" w:rsidP="00833B58">
            <w:pPr>
              <w:spacing w:after="0" w:line="240" w:lineRule="auto"/>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White</w:t>
            </w:r>
          </w:p>
        </w:tc>
        <w:tc>
          <w:tcPr>
            <w:tcW w:w="960" w:type="dxa"/>
            <w:tcBorders>
              <w:top w:val="nil"/>
              <w:left w:val="single" w:sz="4" w:space="0" w:color="auto"/>
              <w:bottom w:val="nil"/>
              <w:right w:val="nil"/>
            </w:tcBorders>
            <w:shd w:val="clear" w:color="000000" w:fill="FFFFFF"/>
            <w:noWrap/>
            <w:vAlign w:val="bottom"/>
            <w:hideMark/>
          </w:tcPr>
          <w:p w14:paraId="63B08CD9"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2831</w:t>
            </w:r>
          </w:p>
        </w:tc>
        <w:tc>
          <w:tcPr>
            <w:tcW w:w="960" w:type="dxa"/>
            <w:tcBorders>
              <w:top w:val="nil"/>
              <w:left w:val="nil"/>
              <w:bottom w:val="nil"/>
              <w:right w:val="nil"/>
            </w:tcBorders>
            <w:shd w:val="clear" w:color="000000" w:fill="FFFFFF"/>
            <w:noWrap/>
            <w:vAlign w:val="bottom"/>
            <w:hideMark/>
          </w:tcPr>
          <w:p w14:paraId="07184A69"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56.2%</w:t>
            </w:r>
          </w:p>
        </w:tc>
        <w:tc>
          <w:tcPr>
            <w:tcW w:w="960" w:type="dxa"/>
            <w:tcBorders>
              <w:top w:val="nil"/>
              <w:left w:val="nil"/>
              <w:bottom w:val="nil"/>
              <w:right w:val="single" w:sz="4" w:space="0" w:color="auto"/>
            </w:tcBorders>
            <w:shd w:val="clear" w:color="000000" w:fill="FFFFFF"/>
            <w:noWrap/>
            <w:vAlign w:val="bottom"/>
            <w:hideMark/>
          </w:tcPr>
          <w:p w14:paraId="49EB4EFF"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82.3%</w:t>
            </w:r>
          </w:p>
        </w:tc>
        <w:tc>
          <w:tcPr>
            <w:tcW w:w="960" w:type="dxa"/>
            <w:tcBorders>
              <w:top w:val="nil"/>
              <w:left w:val="nil"/>
              <w:bottom w:val="nil"/>
              <w:right w:val="nil"/>
            </w:tcBorders>
            <w:shd w:val="clear" w:color="000000" w:fill="FFFFFF"/>
            <w:noWrap/>
            <w:vAlign w:val="bottom"/>
            <w:hideMark/>
          </w:tcPr>
          <w:p w14:paraId="634276F5"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2207</w:t>
            </w:r>
          </w:p>
        </w:tc>
        <w:tc>
          <w:tcPr>
            <w:tcW w:w="960" w:type="dxa"/>
            <w:tcBorders>
              <w:top w:val="nil"/>
              <w:left w:val="nil"/>
              <w:bottom w:val="nil"/>
              <w:right w:val="nil"/>
            </w:tcBorders>
            <w:shd w:val="clear" w:color="000000" w:fill="FFFFFF"/>
            <w:noWrap/>
            <w:vAlign w:val="bottom"/>
            <w:hideMark/>
          </w:tcPr>
          <w:p w14:paraId="07DA8B8B"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43.8%</w:t>
            </w:r>
          </w:p>
        </w:tc>
        <w:tc>
          <w:tcPr>
            <w:tcW w:w="960" w:type="dxa"/>
            <w:tcBorders>
              <w:top w:val="nil"/>
              <w:left w:val="nil"/>
              <w:bottom w:val="nil"/>
              <w:right w:val="single" w:sz="4" w:space="0" w:color="auto"/>
            </w:tcBorders>
            <w:shd w:val="clear" w:color="000000" w:fill="FFFFFF"/>
            <w:noWrap/>
            <w:vAlign w:val="bottom"/>
            <w:hideMark/>
          </w:tcPr>
          <w:p w14:paraId="6628149B"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78.7%</w:t>
            </w:r>
          </w:p>
        </w:tc>
      </w:tr>
      <w:tr w:rsidR="00833B58" w:rsidRPr="00833B58" w14:paraId="4A83F2C8" w14:textId="77777777" w:rsidTr="00833B58">
        <w:trPr>
          <w:trHeight w:val="315"/>
        </w:trPr>
        <w:tc>
          <w:tcPr>
            <w:tcW w:w="2948" w:type="dxa"/>
            <w:tcBorders>
              <w:top w:val="nil"/>
              <w:left w:val="single" w:sz="4" w:space="0" w:color="auto"/>
              <w:bottom w:val="double" w:sz="6" w:space="0" w:color="auto"/>
              <w:right w:val="nil"/>
            </w:tcBorders>
            <w:shd w:val="clear" w:color="000000" w:fill="FFFFFF"/>
            <w:noWrap/>
            <w:vAlign w:val="bottom"/>
            <w:hideMark/>
          </w:tcPr>
          <w:p w14:paraId="0F3E237B" w14:textId="77777777" w:rsidR="00833B58" w:rsidRPr="00833B58" w:rsidRDefault="00833B58" w:rsidP="00833B58">
            <w:pPr>
              <w:spacing w:after="0" w:line="240" w:lineRule="auto"/>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5DE3EB5E"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180</w:t>
            </w:r>
          </w:p>
        </w:tc>
        <w:tc>
          <w:tcPr>
            <w:tcW w:w="960" w:type="dxa"/>
            <w:tcBorders>
              <w:top w:val="nil"/>
              <w:left w:val="nil"/>
              <w:bottom w:val="double" w:sz="6" w:space="0" w:color="auto"/>
              <w:right w:val="nil"/>
            </w:tcBorders>
            <w:shd w:val="clear" w:color="000000" w:fill="FFFFFF"/>
            <w:noWrap/>
            <w:vAlign w:val="bottom"/>
            <w:hideMark/>
          </w:tcPr>
          <w:p w14:paraId="0BC94C25"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49.0%</w:t>
            </w:r>
          </w:p>
        </w:tc>
        <w:tc>
          <w:tcPr>
            <w:tcW w:w="960" w:type="dxa"/>
            <w:tcBorders>
              <w:top w:val="nil"/>
              <w:left w:val="nil"/>
              <w:bottom w:val="double" w:sz="6" w:space="0" w:color="auto"/>
              <w:right w:val="single" w:sz="4" w:space="0" w:color="auto"/>
            </w:tcBorders>
            <w:shd w:val="clear" w:color="000000" w:fill="FFFFFF"/>
            <w:noWrap/>
            <w:vAlign w:val="bottom"/>
            <w:hideMark/>
          </w:tcPr>
          <w:p w14:paraId="447AD67F"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5.2%</w:t>
            </w:r>
          </w:p>
        </w:tc>
        <w:tc>
          <w:tcPr>
            <w:tcW w:w="960" w:type="dxa"/>
            <w:tcBorders>
              <w:top w:val="nil"/>
              <w:left w:val="nil"/>
              <w:bottom w:val="double" w:sz="6" w:space="0" w:color="auto"/>
              <w:right w:val="nil"/>
            </w:tcBorders>
            <w:shd w:val="clear" w:color="000000" w:fill="FFFFFF"/>
            <w:noWrap/>
            <w:vAlign w:val="bottom"/>
            <w:hideMark/>
          </w:tcPr>
          <w:p w14:paraId="3783A2AD"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187</w:t>
            </w:r>
          </w:p>
        </w:tc>
        <w:tc>
          <w:tcPr>
            <w:tcW w:w="960" w:type="dxa"/>
            <w:tcBorders>
              <w:top w:val="nil"/>
              <w:left w:val="nil"/>
              <w:bottom w:val="double" w:sz="6" w:space="0" w:color="auto"/>
              <w:right w:val="nil"/>
            </w:tcBorders>
            <w:shd w:val="clear" w:color="000000" w:fill="FFFFFF"/>
            <w:noWrap/>
            <w:vAlign w:val="bottom"/>
            <w:hideMark/>
          </w:tcPr>
          <w:p w14:paraId="500486D6"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51.0%</w:t>
            </w:r>
          </w:p>
        </w:tc>
        <w:tc>
          <w:tcPr>
            <w:tcW w:w="960" w:type="dxa"/>
            <w:tcBorders>
              <w:top w:val="nil"/>
              <w:left w:val="nil"/>
              <w:bottom w:val="double" w:sz="6" w:space="0" w:color="auto"/>
              <w:right w:val="single" w:sz="4" w:space="0" w:color="auto"/>
            </w:tcBorders>
            <w:shd w:val="clear" w:color="000000" w:fill="FFFFFF"/>
            <w:noWrap/>
            <w:vAlign w:val="bottom"/>
            <w:hideMark/>
          </w:tcPr>
          <w:p w14:paraId="58B59E3A" w14:textId="77777777" w:rsidR="00833B58" w:rsidRPr="00833B58" w:rsidRDefault="00833B58" w:rsidP="00833B58">
            <w:pPr>
              <w:spacing w:after="0" w:line="240" w:lineRule="auto"/>
              <w:jc w:val="right"/>
              <w:rPr>
                <w:rFonts w:asciiTheme="minorHAnsi" w:eastAsia="Times New Roman" w:hAnsiTheme="minorHAnsi" w:cs="Times New Roman"/>
                <w:color w:val="000000"/>
                <w:kern w:val="0"/>
                <w:szCs w:val="22"/>
                <w:lang w:eastAsia="en-GB"/>
                <w14:ligatures w14:val="none"/>
              </w:rPr>
            </w:pPr>
            <w:r w:rsidRPr="00833B58">
              <w:rPr>
                <w:rFonts w:asciiTheme="minorHAnsi" w:eastAsia="Times New Roman" w:hAnsiTheme="minorHAnsi" w:cs="Times New Roman"/>
                <w:color w:val="000000"/>
                <w:kern w:val="0"/>
                <w:szCs w:val="22"/>
                <w:lang w:eastAsia="en-GB"/>
                <w14:ligatures w14:val="none"/>
              </w:rPr>
              <w:t>6.7%</w:t>
            </w:r>
          </w:p>
        </w:tc>
      </w:tr>
    </w:tbl>
    <w:p w14:paraId="3F1C68EE" w14:textId="20A9C84B" w:rsidR="007A27D3" w:rsidRDefault="007A27D3">
      <w:pPr>
        <w:rPr>
          <w:rFonts w:asciiTheme="minorHAnsi" w:hAnsiTheme="minorHAnsi"/>
          <w:b/>
          <w:bCs/>
          <w:szCs w:val="22"/>
        </w:rPr>
      </w:pPr>
    </w:p>
    <w:p w14:paraId="0C5C883E" w14:textId="77777777" w:rsidR="0082078F" w:rsidRDefault="0082078F">
      <w:pPr>
        <w:rPr>
          <w:rFonts w:asciiTheme="minorHAnsi" w:hAnsiTheme="minorHAnsi"/>
          <w:b/>
          <w:bCs/>
          <w:szCs w:val="22"/>
        </w:rPr>
      </w:pPr>
    </w:p>
    <w:p w14:paraId="33248BBA" w14:textId="77777777" w:rsidR="0082078F" w:rsidRPr="007E2527" w:rsidRDefault="0082078F">
      <w:pPr>
        <w:rPr>
          <w:rFonts w:asciiTheme="minorHAnsi" w:hAnsiTheme="minorHAnsi"/>
          <w:b/>
          <w:bCs/>
          <w:szCs w:val="22"/>
        </w:rPr>
      </w:pPr>
    </w:p>
    <w:p w14:paraId="3F354E81" w14:textId="2CD0C667" w:rsidR="007A27D3" w:rsidRPr="0082078F" w:rsidRDefault="007A27D3" w:rsidP="007A27D3">
      <w:pPr>
        <w:pStyle w:val="ListParagraph"/>
        <w:numPr>
          <w:ilvl w:val="1"/>
          <w:numId w:val="11"/>
        </w:numPr>
        <w:rPr>
          <w:rFonts w:asciiTheme="minorHAnsi" w:hAnsiTheme="minorHAnsi"/>
          <w:color w:val="0B769F" w:themeColor="accent4" w:themeShade="BF"/>
          <w:sz w:val="28"/>
          <w:szCs w:val="28"/>
        </w:rPr>
      </w:pPr>
      <w:r w:rsidRPr="0082078F">
        <w:rPr>
          <w:rFonts w:asciiTheme="minorHAnsi" w:hAnsiTheme="minorHAnsi"/>
          <w:color w:val="0B769F" w:themeColor="accent4" w:themeShade="BF"/>
          <w:sz w:val="28"/>
          <w:szCs w:val="28"/>
        </w:rPr>
        <w:t>Marital Status</w:t>
      </w:r>
    </w:p>
    <w:p w14:paraId="32529BE7" w14:textId="77777777" w:rsidR="00482B2A" w:rsidRPr="007E2527" w:rsidRDefault="00482B2A" w:rsidP="00482B2A">
      <w:pPr>
        <w:pStyle w:val="ListParagraph"/>
        <w:rPr>
          <w:rFonts w:asciiTheme="minorHAnsi" w:hAnsiTheme="minorHAnsi"/>
          <w:color w:val="0B769F" w:themeColor="accent4" w:themeShade="BF"/>
          <w:szCs w:val="22"/>
        </w:rPr>
      </w:pPr>
    </w:p>
    <w:p w14:paraId="4F06C4E4" w14:textId="5ACEDF9A" w:rsidR="007A27D3" w:rsidRPr="007E2527" w:rsidRDefault="00F15A2F" w:rsidP="00F15A2F">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marital status, 2025 (N=6241)</w:t>
      </w:r>
    </w:p>
    <w:tbl>
      <w:tblPr>
        <w:tblW w:w="5095" w:type="dxa"/>
        <w:tblLook w:val="04A0" w:firstRow="1" w:lastRow="0" w:firstColumn="1" w:lastColumn="0" w:noHBand="0" w:noVBand="1"/>
      </w:tblPr>
      <w:tblGrid>
        <w:gridCol w:w="3175"/>
        <w:gridCol w:w="960"/>
        <w:gridCol w:w="960"/>
      </w:tblGrid>
      <w:tr w:rsidR="00054A29" w:rsidRPr="007E2527" w14:paraId="2B07B501" w14:textId="77777777" w:rsidTr="00054A29">
        <w:trPr>
          <w:trHeight w:val="300"/>
        </w:trPr>
        <w:tc>
          <w:tcPr>
            <w:tcW w:w="3175" w:type="dxa"/>
            <w:tcBorders>
              <w:top w:val="single" w:sz="4" w:space="0" w:color="auto"/>
              <w:left w:val="single" w:sz="4" w:space="0" w:color="auto"/>
              <w:bottom w:val="single" w:sz="4" w:space="0" w:color="auto"/>
              <w:right w:val="nil"/>
            </w:tcBorders>
            <w:shd w:val="clear" w:color="000000" w:fill="FFFFFF"/>
            <w:noWrap/>
            <w:vAlign w:val="bottom"/>
            <w:hideMark/>
          </w:tcPr>
          <w:p w14:paraId="6FCBD655" w14:textId="77777777" w:rsidR="00054A29" w:rsidRPr="00054A29" w:rsidRDefault="00054A29" w:rsidP="00054A29">
            <w:pPr>
              <w:spacing w:after="0" w:line="240" w:lineRule="auto"/>
              <w:rPr>
                <w:rFonts w:asciiTheme="minorHAnsi" w:eastAsia="Times New Roman" w:hAnsiTheme="minorHAnsi" w:cs="Times New Roman"/>
                <w:b/>
                <w:bCs/>
                <w:color w:val="000000"/>
                <w:kern w:val="0"/>
                <w:szCs w:val="22"/>
                <w:lang w:eastAsia="en-GB"/>
                <w14:ligatures w14:val="none"/>
              </w:rPr>
            </w:pPr>
            <w:r w:rsidRPr="00054A29">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EA6413" w14:textId="77777777" w:rsidR="00054A29" w:rsidRPr="00054A29" w:rsidRDefault="00054A29" w:rsidP="00054A2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4A29">
              <w:rPr>
                <w:rFonts w:asciiTheme="minorHAnsi" w:eastAsia="Times New Roman" w:hAnsiTheme="minorHAnsi" w:cs="Times New Roman"/>
                <w:b/>
                <w:bCs/>
                <w:color w:val="000000"/>
                <w:kern w:val="0"/>
                <w:szCs w:val="22"/>
                <w:lang w:eastAsia="en-GB"/>
                <w14:ligatures w14:val="none"/>
              </w:rPr>
              <w:t>n</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300E2E01" w14:textId="77777777" w:rsidR="00054A29" w:rsidRPr="00054A29" w:rsidRDefault="00054A29" w:rsidP="00054A2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4A29">
              <w:rPr>
                <w:rFonts w:asciiTheme="minorHAnsi" w:eastAsia="Times New Roman" w:hAnsiTheme="minorHAnsi" w:cs="Times New Roman"/>
                <w:b/>
                <w:bCs/>
                <w:color w:val="000000"/>
                <w:kern w:val="0"/>
                <w:szCs w:val="22"/>
                <w:lang w:eastAsia="en-GB"/>
                <w14:ligatures w14:val="none"/>
              </w:rPr>
              <w:t>%↓</w:t>
            </w:r>
          </w:p>
        </w:tc>
      </w:tr>
      <w:tr w:rsidR="00054A29" w:rsidRPr="007E2527" w14:paraId="32618540"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61B7BCA1"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Co-habiting</w:t>
            </w:r>
          </w:p>
        </w:tc>
        <w:tc>
          <w:tcPr>
            <w:tcW w:w="960" w:type="dxa"/>
            <w:tcBorders>
              <w:top w:val="nil"/>
              <w:left w:val="single" w:sz="4" w:space="0" w:color="auto"/>
              <w:bottom w:val="nil"/>
              <w:right w:val="single" w:sz="4" w:space="0" w:color="auto"/>
            </w:tcBorders>
            <w:shd w:val="clear" w:color="000000" w:fill="FFFFFF"/>
            <w:noWrap/>
            <w:vAlign w:val="bottom"/>
            <w:hideMark/>
          </w:tcPr>
          <w:p w14:paraId="60CC6173"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32</w:t>
            </w:r>
          </w:p>
        </w:tc>
        <w:tc>
          <w:tcPr>
            <w:tcW w:w="960" w:type="dxa"/>
            <w:tcBorders>
              <w:top w:val="nil"/>
              <w:left w:val="nil"/>
              <w:bottom w:val="nil"/>
              <w:right w:val="single" w:sz="4" w:space="0" w:color="auto"/>
            </w:tcBorders>
            <w:shd w:val="clear" w:color="000000" w:fill="FFFFFF"/>
            <w:noWrap/>
            <w:vAlign w:val="bottom"/>
            <w:hideMark/>
          </w:tcPr>
          <w:p w14:paraId="1BC36760"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0.5%</w:t>
            </w:r>
          </w:p>
        </w:tc>
      </w:tr>
      <w:tr w:rsidR="00054A29" w:rsidRPr="007E2527" w14:paraId="1DE5DE5D"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6241A4A4"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Divorced</w:t>
            </w:r>
          </w:p>
        </w:tc>
        <w:tc>
          <w:tcPr>
            <w:tcW w:w="960" w:type="dxa"/>
            <w:tcBorders>
              <w:top w:val="nil"/>
              <w:left w:val="single" w:sz="4" w:space="0" w:color="auto"/>
              <w:bottom w:val="nil"/>
              <w:right w:val="single" w:sz="4" w:space="0" w:color="auto"/>
            </w:tcBorders>
            <w:shd w:val="clear" w:color="000000" w:fill="FFFFFF"/>
            <w:noWrap/>
            <w:vAlign w:val="bottom"/>
            <w:hideMark/>
          </w:tcPr>
          <w:p w14:paraId="0B5610DB"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single" w:sz="4" w:space="0" w:color="auto"/>
            </w:tcBorders>
            <w:shd w:val="clear" w:color="000000" w:fill="FFFFFF"/>
            <w:noWrap/>
            <w:vAlign w:val="bottom"/>
            <w:hideMark/>
          </w:tcPr>
          <w:p w14:paraId="7FD15CE6"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0.2%</w:t>
            </w:r>
          </w:p>
        </w:tc>
      </w:tr>
      <w:tr w:rsidR="00054A29" w:rsidRPr="007E2527" w14:paraId="36F60BB7"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1690648A"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Married or in a Civil Partnership</w:t>
            </w:r>
          </w:p>
        </w:tc>
        <w:tc>
          <w:tcPr>
            <w:tcW w:w="960" w:type="dxa"/>
            <w:tcBorders>
              <w:top w:val="nil"/>
              <w:left w:val="single" w:sz="4" w:space="0" w:color="auto"/>
              <w:bottom w:val="nil"/>
              <w:right w:val="single" w:sz="4" w:space="0" w:color="auto"/>
            </w:tcBorders>
            <w:shd w:val="clear" w:color="000000" w:fill="FFFFFF"/>
            <w:noWrap/>
            <w:vAlign w:val="bottom"/>
            <w:hideMark/>
          </w:tcPr>
          <w:p w14:paraId="3C6DB1F0"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1489</w:t>
            </w:r>
          </w:p>
        </w:tc>
        <w:tc>
          <w:tcPr>
            <w:tcW w:w="960" w:type="dxa"/>
            <w:tcBorders>
              <w:top w:val="nil"/>
              <w:left w:val="nil"/>
              <w:bottom w:val="nil"/>
              <w:right w:val="single" w:sz="4" w:space="0" w:color="auto"/>
            </w:tcBorders>
            <w:shd w:val="clear" w:color="000000" w:fill="FFFFFF"/>
            <w:noWrap/>
            <w:vAlign w:val="bottom"/>
            <w:hideMark/>
          </w:tcPr>
          <w:p w14:paraId="575019AE"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23.9%</w:t>
            </w:r>
          </w:p>
        </w:tc>
      </w:tr>
      <w:tr w:rsidR="00054A29" w:rsidRPr="007E2527" w14:paraId="512BBCFC"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182C4DB7"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Separated</w:t>
            </w:r>
          </w:p>
        </w:tc>
        <w:tc>
          <w:tcPr>
            <w:tcW w:w="960" w:type="dxa"/>
            <w:tcBorders>
              <w:top w:val="nil"/>
              <w:left w:val="single" w:sz="4" w:space="0" w:color="auto"/>
              <w:bottom w:val="nil"/>
              <w:right w:val="single" w:sz="4" w:space="0" w:color="auto"/>
            </w:tcBorders>
            <w:shd w:val="clear" w:color="000000" w:fill="FFFFFF"/>
            <w:noWrap/>
            <w:vAlign w:val="bottom"/>
            <w:hideMark/>
          </w:tcPr>
          <w:p w14:paraId="76AE1DF9"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0C0D804"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w:t>
            </w:r>
          </w:p>
        </w:tc>
      </w:tr>
      <w:tr w:rsidR="00054A29" w:rsidRPr="007E2527" w14:paraId="2772A9E4"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15FDFDD8"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Single</w:t>
            </w:r>
          </w:p>
        </w:tc>
        <w:tc>
          <w:tcPr>
            <w:tcW w:w="960" w:type="dxa"/>
            <w:tcBorders>
              <w:top w:val="nil"/>
              <w:left w:val="single" w:sz="4" w:space="0" w:color="auto"/>
              <w:bottom w:val="nil"/>
              <w:right w:val="single" w:sz="4" w:space="0" w:color="auto"/>
            </w:tcBorders>
            <w:shd w:val="clear" w:color="000000" w:fill="FFFFFF"/>
            <w:noWrap/>
            <w:vAlign w:val="bottom"/>
            <w:hideMark/>
          </w:tcPr>
          <w:p w14:paraId="4C000955"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1411</w:t>
            </w:r>
          </w:p>
        </w:tc>
        <w:tc>
          <w:tcPr>
            <w:tcW w:w="960" w:type="dxa"/>
            <w:tcBorders>
              <w:top w:val="nil"/>
              <w:left w:val="nil"/>
              <w:bottom w:val="nil"/>
              <w:right w:val="single" w:sz="4" w:space="0" w:color="auto"/>
            </w:tcBorders>
            <w:shd w:val="clear" w:color="000000" w:fill="FFFFFF"/>
            <w:noWrap/>
            <w:vAlign w:val="bottom"/>
            <w:hideMark/>
          </w:tcPr>
          <w:p w14:paraId="3872CEC2"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22.6%</w:t>
            </w:r>
          </w:p>
        </w:tc>
      </w:tr>
      <w:tr w:rsidR="00054A29" w:rsidRPr="007E2527" w14:paraId="1B042768"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74EC5941"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Widow</w:t>
            </w:r>
          </w:p>
        </w:tc>
        <w:tc>
          <w:tcPr>
            <w:tcW w:w="960" w:type="dxa"/>
            <w:tcBorders>
              <w:top w:val="nil"/>
              <w:left w:val="single" w:sz="4" w:space="0" w:color="auto"/>
              <w:bottom w:val="nil"/>
              <w:right w:val="single" w:sz="4" w:space="0" w:color="auto"/>
            </w:tcBorders>
            <w:shd w:val="clear" w:color="000000" w:fill="FFFFFF"/>
            <w:noWrap/>
            <w:vAlign w:val="bottom"/>
            <w:hideMark/>
          </w:tcPr>
          <w:p w14:paraId="2A29131E"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4CF2D29"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w:t>
            </w:r>
          </w:p>
        </w:tc>
      </w:tr>
      <w:tr w:rsidR="00054A29" w:rsidRPr="007E2527" w14:paraId="306DF22E"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09688C63"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single" w:sz="4" w:space="0" w:color="auto"/>
            </w:tcBorders>
            <w:shd w:val="clear" w:color="000000" w:fill="FFFFFF"/>
            <w:noWrap/>
            <w:vAlign w:val="bottom"/>
            <w:hideMark/>
          </w:tcPr>
          <w:p w14:paraId="0ADE7002"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single" w:sz="4" w:space="0" w:color="auto"/>
            </w:tcBorders>
            <w:shd w:val="clear" w:color="000000" w:fill="FFFFFF"/>
            <w:noWrap/>
            <w:vAlign w:val="bottom"/>
            <w:hideMark/>
          </w:tcPr>
          <w:p w14:paraId="127BBF7E"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0.7%</w:t>
            </w:r>
          </w:p>
        </w:tc>
      </w:tr>
      <w:tr w:rsidR="00054A29" w:rsidRPr="007E2527" w14:paraId="7819960E" w14:textId="77777777" w:rsidTr="00054A29">
        <w:trPr>
          <w:trHeight w:val="300"/>
        </w:trPr>
        <w:tc>
          <w:tcPr>
            <w:tcW w:w="3175" w:type="dxa"/>
            <w:tcBorders>
              <w:top w:val="nil"/>
              <w:left w:val="single" w:sz="4" w:space="0" w:color="auto"/>
              <w:bottom w:val="dotted" w:sz="4" w:space="0" w:color="auto"/>
              <w:right w:val="nil"/>
            </w:tcBorders>
            <w:shd w:val="clear" w:color="000000" w:fill="FFFFFF"/>
            <w:noWrap/>
            <w:vAlign w:val="bottom"/>
            <w:hideMark/>
          </w:tcPr>
          <w:p w14:paraId="04F0AB67"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No response provided</w:t>
            </w:r>
          </w:p>
        </w:tc>
        <w:tc>
          <w:tcPr>
            <w:tcW w:w="960" w:type="dxa"/>
            <w:tcBorders>
              <w:top w:val="nil"/>
              <w:left w:val="single" w:sz="4" w:space="0" w:color="auto"/>
              <w:bottom w:val="dotted" w:sz="4" w:space="0" w:color="auto"/>
              <w:right w:val="single" w:sz="4" w:space="0" w:color="auto"/>
            </w:tcBorders>
            <w:shd w:val="clear" w:color="000000" w:fill="FFFFFF"/>
            <w:noWrap/>
            <w:vAlign w:val="bottom"/>
            <w:hideMark/>
          </w:tcPr>
          <w:p w14:paraId="1FEC35FB"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3251</w:t>
            </w:r>
          </w:p>
        </w:tc>
        <w:tc>
          <w:tcPr>
            <w:tcW w:w="960" w:type="dxa"/>
            <w:tcBorders>
              <w:top w:val="nil"/>
              <w:left w:val="nil"/>
              <w:bottom w:val="dotted" w:sz="4" w:space="0" w:color="auto"/>
              <w:right w:val="single" w:sz="4" w:space="0" w:color="auto"/>
            </w:tcBorders>
            <w:shd w:val="clear" w:color="000000" w:fill="FFFFFF"/>
            <w:noWrap/>
            <w:vAlign w:val="bottom"/>
            <w:hideMark/>
          </w:tcPr>
          <w:p w14:paraId="43DFB46D"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52.1%</w:t>
            </w:r>
          </w:p>
        </w:tc>
      </w:tr>
      <w:tr w:rsidR="00054A29" w:rsidRPr="007E2527" w14:paraId="73CB98F0" w14:textId="77777777" w:rsidTr="00054A29">
        <w:trPr>
          <w:trHeight w:val="300"/>
        </w:trPr>
        <w:tc>
          <w:tcPr>
            <w:tcW w:w="3175" w:type="dxa"/>
            <w:tcBorders>
              <w:top w:val="nil"/>
              <w:left w:val="single" w:sz="4" w:space="0" w:color="auto"/>
              <w:bottom w:val="nil"/>
              <w:right w:val="nil"/>
            </w:tcBorders>
            <w:shd w:val="clear" w:color="000000" w:fill="FFFFFF"/>
            <w:noWrap/>
            <w:vAlign w:val="bottom"/>
            <w:hideMark/>
          </w:tcPr>
          <w:p w14:paraId="089E9CD6" w14:textId="77777777" w:rsidR="00054A29" w:rsidRPr="00054A29" w:rsidRDefault="00054A29" w:rsidP="00054A29">
            <w:pPr>
              <w:spacing w:after="0" w:line="240" w:lineRule="auto"/>
              <w:rPr>
                <w:rFonts w:asciiTheme="minorHAnsi" w:eastAsia="Times New Roman" w:hAnsiTheme="minorHAnsi" w:cs="Times New Roman"/>
                <w:b/>
                <w:bCs/>
                <w:color w:val="000000"/>
                <w:kern w:val="0"/>
                <w:szCs w:val="22"/>
                <w:lang w:eastAsia="en-GB"/>
                <w14:ligatures w14:val="none"/>
              </w:rPr>
            </w:pPr>
            <w:r w:rsidRPr="00054A29">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nil"/>
              <w:left w:val="single" w:sz="4" w:space="0" w:color="auto"/>
              <w:bottom w:val="nil"/>
              <w:right w:val="single" w:sz="4" w:space="0" w:color="auto"/>
            </w:tcBorders>
            <w:shd w:val="clear" w:color="000000" w:fill="FFFFFF"/>
            <w:noWrap/>
            <w:vAlign w:val="bottom"/>
            <w:hideMark/>
          </w:tcPr>
          <w:p w14:paraId="47F37A0F" w14:textId="77777777" w:rsidR="00054A29" w:rsidRPr="00054A29" w:rsidRDefault="00054A29" w:rsidP="00054A2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4A29">
              <w:rPr>
                <w:rFonts w:asciiTheme="minorHAnsi" w:eastAsia="Times New Roman" w:hAnsiTheme="minorHAnsi" w:cs="Times New Roman"/>
                <w:b/>
                <w:bCs/>
                <w:color w:val="000000"/>
                <w:kern w:val="0"/>
                <w:szCs w:val="22"/>
                <w:lang w:eastAsia="en-GB"/>
                <w14:ligatures w14:val="none"/>
              </w:rPr>
              <w:t>6241</w:t>
            </w:r>
          </w:p>
        </w:tc>
        <w:tc>
          <w:tcPr>
            <w:tcW w:w="960" w:type="dxa"/>
            <w:tcBorders>
              <w:top w:val="nil"/>
              <w:left w:val="nil"/>
              <w:bottom w:val="nil"/>
              <w:right w:val="single" w:sz="4" w:space="0" w:color="auto"/>
            </w:tcBorders>
            <w:shd w:val="clear" w:color="000000" w:fill="FFFFFF"/>
            <w:noWrap/>
            <w:vAlign w:val="bottom"/>
            <w:hideMark/>
          </w:tcPr>
          <w:p w14:paraId="629E73C1" w14:textId="77777777" w:rsidR="00054A29" w:rsidRPr="00054A29" w:rsidRDefault="00054A29" w:rsidP="00054A2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4A29">
              <w:rPr>
                <w:rFonts w:asciiTheme="minorHAnsi" w:eastAsia="Times New Roman" w:hAnsiTheme="minorHAnsi" w:cs="Times New Roman"/>
                <w:b/>
                <w:bCs/>
                <w:color w:val="000000"/>
                <w:kern w:val="0"/>
                <w:szCs w:val="22"/>
                <w:lang w:eastAsia="en-GB"/>
                <w14:ligatures w14:val="none"/>
              </w:rPr>
              <w:t>100%</w:t>
            </w:r>
          </w:p>
        </w:tc>
      </w:tr>
      <w:tr w:rsidR="00054A29" w:rsidRPr="007E2527" w14:paraId="08CBFCBA" w14:textId="77777777" w:rsidTr="00054A29">
        <w:trPr>
          <w:trHeight w:val="315"/>
        </w:trPr>
        <w:tc>
          <w:tcPr>
            <w:tcW w:w="3175" w:type="dxa"/>
            <w:tcBorders>
              <w:top w:val="dotted" w:sz="4" w:space="0" w:color="auto"/>
              <w:left w:val="single" w:sz="4" w:space="0" w:color="auto"/>
              <w:bottom w:val="double" w:sz="6" w:space="0" w:color="auto"/>
              <w:right w:val="nil"/>
            </w:tcBorders>
            <w:shd w:val="clear" w:color="000000" w:fill="FFFFFF"/>
            <w:noWrap/>
            <w:vAlign w:val="bottom"/>
            <w:hideMark/>
          </w:tcPr>
          <w:p w14:paraId="64B7299E" w14:textId="77777777" w:rsidR="00054A29" w:rsidRPr="00054A29" w:rsidRDefault="00054A29" w:rsidP="00054A29">
            <w:pPr>
              <w:spacing w:after="0" w:line="240" w:lineRule="auto"/>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Data sharing rate</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61C48B1B"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2990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C197C8D" w14:textId="77777777" w:rsidR="00054A29" w:rsidRPr="00054A29" w:rsidRDefault="00054A29" w:rsidP="00054A29">
            <w:pPr>
              <w:spacing w:after="0" w:line="240" w:lineRule="auto"/>
              <w:jc w:val="right"/>
              <w:rPr>
                <w:rFonts w:asciiTheme="minorHAnsi" w:eastAsia="Times New Roman" w:hAnsiTheme="minorHAnsi" w:cs="Times New Roman"/>
                <w:color w:val="000000"/>
                <w:kern w:val="0"/>
                <w:szCs w:val="22"/>
                <w:lang w:eastAsia="en-GB"/>
                <w14:ligatures w14:val="none"/>
              </w:rPr>
            </w:pPr>
            <w:r w:rsidRPr="00054A29">
              <w:rPr>
                <w:rFonts w:asciiTheme="minorHAnsi" w:eastAsia="Times New Roman" w:hAnsiTheme="minorHAnsi" w:cs="Times New Roman"/>
                <w:color w:val="000000"/>
                <w:kern w:val="0"/>
                <w:szCs w:val="22"/>
                <w:lang w:eastAsia="en-GB"/>
                <w14:ligatures w14:val="none"/>
              </w:rPr>
              <w:t>47.9%</w:t>
            </w:r>
          </w:p>
        </w:tc>
      </w:tr>
    </w:tbl>
    <w:p w14:paraId="2AE4F3F1" w14:textId="77777777" w:rsidR="00054A29" w:rsidRPr="007E2527" w:rsidRDefault="00054A29" w:rsidP="00054A29">
      <w:pPr>
        <w:rPr>
          <w:rFonts w:asciiTheme="minorHAnsi" w:hAnsiTheme="minorHAnsi"/>
          <w:b/>
          <w:bCs/>
          <w:szCs w:val="22"/>
        </w:rPr>
      </w:pPr>
    </w:p>
    <w:p w14:paraId="0EB8682F" w14:textId="77777777" w:rsidR="00054A29" w:rsidRPr="007E2527" w:rsidRDefault="00054A29" w:rsidP="00F15A2F">
      <w:pPr>
        <w:rPr>
          <w:rFonts w:asciiTheme="minorHAnsi" w:hAnsiTheme="minorHAnsi"/>
          <w:b/>
          <w:bCs/>
          <w:szCs w:val="22"/>
        </w:rPr>
      </w:pPr>
    </w:p>
    <w:p w14:paraId="60F60EA3" w14:textId="275A270E" w:rsidR="00F15A2F" w:rsidRPr="0082078F" w:rsidRDefault="00772974" w:rsidP="00F15A2F">
      <w:pPr>
        <w:pStyle w:val="ListParagraph"/>
        <w:numPr>
          <w:ilvl w:val="1"/>
          <w:numId w:val="11"/>
        </w:numPr>
        <w:rPr>
          <w:rFonts w:asciiTheme="minorHAnsi" w:hAnsiTheme="minorHAnsi"/>
          <w:color w:val="0B769F" w:themeColor="accent4" w:themeShade="BF"/>
          <w:sz w:val="32"/>
          <w:szCs w:val="32"/>
        </w:rPr>
      </w:pPr>
      <w:r w:rsidRPr="0082078F">
        <w:rPr>
          <w:rFonts w:asciiTheme="minorHAnsi" w:hAnsiTheme="minorHAnsi"/>
          <w:color w:val="0B769F" w:themeColor="accent4" w:themeShade="BF"/>
          <w:sz w:val="32"/>
          <w:szCs w:val="32"/>
        </w:rPr>
        <w:lastRenderedPageBreak/>
        <w:t>Nationality</w:t>
      </w:r>
    </w:p>
    <w:p w14:paraId="33ED2C7B" w14:textId="77777777" w:rsidR="00482B2A" w:rsidRPr="007E2527" w:rsidRDefault="00482B2A" w:rsidP="00482B2A">
      <w:pPr>
        <w:pStyle w:val="ListParagraph"/>
        <w:rPr>
          <w:rFonts w:asciiTheme="minorHAnsi" w:hAnsiTheme="minorHAnsi"/>
          <w:color w:val="0B769F" w:themeColor="accent4" w:themeShade="BF"/>
          <w:szCs w:val="22"/>
        </w:rPr>
      </w:pPr>
    </w:p>
    <w:p w14:paraId="5A9C5BA1" w14:textId="53E906F9" w:rsidR="00F15A2F" w:rsidRPr="007E2527" w:rsidRDefault="00772974" w:rsidP="00F15A2F">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Non-UK/UK over time, 2023-2025</w:t>
      </w:r>
    </w:p>
    <w:tbl>
      <w:tblPr>
        <w:tblW w:w="7524" w:type="dxa"/>
        <w:tblLayout w:type="fixed"/>
        <w:tblLook w:val="04A0" w:firstRow="1" w:lastRow="0" w:firstColumn="1" w:lastColumn="0" w:noHBand="0" w:noVBand="1"/>
      </w:tblPr>
      <w:tblGrid>
        <w:gridCol w:w="1644"/>
        <w:gridCol w:w="980"/>
        <w:gridCol w:w="980"/>
        <w:gridCol w:w="980"/>
        <w:gridCol w:w="980"/>
        <w:gridCol w:w="980"/>
        <w:gridCol w:w="980"/>
      </w:tblGrid>
      <w:tr w:rsidR="00866EB4" w:rsidRPr="00866EB4" w14:paraId="6928B4AE" w14:textId="77777777" w:rsidTr="0082078F">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327EA632" w14:textId="77777777" w:rsidR="00866EB4" w:rsidRPr="00866EB4" w:rsidRDefault="00866EB4" w:rsidP="00866EB4">
            <w:pPr>
              <w:spacing w:after="0" w:line="240" w:lineRule="auto"/>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FBA955F"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2023</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740122BE"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2024</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6A9ECCEE"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2025</w:t>
            </w:r>
          </w:p>
        </w:tc>
      </w:tr>
      <w:tr w:rsidR="007E2527" w:rsidRPr="007E2527" w14:paraId="485495BB" w14:textId="77777777" w:rsidTr="0082078F">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59A85877"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2A56C498"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5DC0BC41"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4602FCEE"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7BADFED7"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5D1669C7"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3FE4D1E2"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w:t>
            </w:r>
          </w:p>
        </w:tc>
      </w:tr>
      <w:tr w:rsidR="007E2527" w:rsidRPr="007E2527" w14:paraId="616EF8A5" w14:textId="77777777" w:rsidTr="0082078F">
        <w:trPr>
          <w:trHeight w:val="300"/>
        </w:trPr>
        <w:tc>
          <w:tcPr>
            <w:tcW w:w="1644" w:type="dxa"/>
            <w:tcBorders>
              <w:top w:val="nil"/>
              <w:left w:val="single" w:sz="4" w:space="0" w:color="auto"/>
              <w:bottom w:val="nil"/>
              <w:right w:val="nil"/>
            </w:tcBorders>
            <w:shd w:val="clear" w:color="000000" w:fill="FFFFFF"/>
            <w:noWrap/>
            <w:vAlign w:val="bottom"/>
            <w:hideMark/>
          </w:tcPr>
          <w:p w14:paraId="7000FD79"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7109034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1132</w:t>
            </w:r>
          </w:p>
        </w:tc>
        <w:tc>
          <w:tcPr>
            <w:tcW w:w="980" w:type="dxa"/>
            <w:tcBorders>
              <w:top w:val="nil"/>
              <w:left w:val="nil"/>
              <w:bottom w:val="nil"/>
              <w:right w:val="single" w:sz="4" w:space="0" w:color="auto"/>
            </w:tcBorders>
            <w:shd w:val="clear" w:color="000000" w:fill="FFFFFF"/>
            <w:noWrap/>
            <w:vAlign w:val="bottom"/>
            <w:hideMark/>
          </w:tcPr>
          <w:p w14:paraId="01D0234D"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17.7%</w:t>
            </w:r>
          </w:p>
        </w:tc>
        <w:tc>
          <w:tcPr>
            <w:tcW w:w="980" w:type="dxa"/>
            <w:tcBorders>
              <w:top w:val="nil"/>
              <w:left w:val="nil"/>
              <w:bottom w:val="nil"/>
              <w:right w:val="nil"/>
            </w:tcBorders>
            <w:shd w:val="clear" w:color="000000" w:fill="FFFFFF"/>
            <w:noWrap/>
            <w:vAlign w:val="bottom"/>
            <w:hideMark/>
          </w:tcPr>
          <w:p w14:paraId="28E6E65D"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1221</w:t>
            </w:r>
          </w:p>
        </w:tc>
        <w:tc>
          <w:tcPr>
            <w:tcW w:w="980" w:type="dxa"/>
            <w:tcBorders>
              <w:top w:val="nil"/>
              <w:left w:val="nil"/>
              <w:bottom w:val="nil"/>
              <w:right w:val="single" w:sz="4" w:space="0" w:color="auto"/>
            </w:tcBorders>
            <w:shd w:val="clear" w:color="000000" w:fill="FFFFFF"/>
            <w:noWrap/>
            <w:vAlign w:val="bottom"/>
            <w:hideMark/>
          </w:tcPr>
          <w:p w14:paraId="3D2049C4"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18.6%</w:t>
            </w:r>
          </w:p>
        </w:tc>
        <w:tc>
          <w:tcPr>
            <w:tcW w:w="980" w:type="dxa"/>
            <w:tcBorders>
              <w:top w:val="nil"/>
              <w:left w:val="nil"/>
              <w:bottom w:val="nil"/>
              <w:right w:val="nil"/>
            </w:tcBorders>
            <w:shd w:val="clear" w:color="000000" w:fill="FFFFFF"/>
            <w:noWrap/>
            <w:vAlign w:val="bottom"/>
            <w:hideMark/>
          </w:tcPr>
          <w:p w14:paraId="1ABAB5B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1200</w:t>
            </w:r>
          </w:p>
        </w:tc>
        <w:tc>
          <w:tcPr>
            <w:tcW w:w="980" w:type="dxa"/>
            <w:tcBorders>
              <w:top w:val="nil"/>
              <w:left w:val="nil"/>
              <w:bottom w:val="nil"/>
              <w:right w:val="single" w:sz="4" w:space="0" w:color="auto"/>
            </w:tcBorders>
            <w:shd w:val="clear" w:color="000000" w:fill="FFFFFF"/>
            <w:noWrap/>
            <w:vAlign w:val="bottom"/>
            <w:hideMark/>
          </w:tcPr>
          <w:p w14:paraId="07DA6C07"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19.2%</w:t>
            </w:r>
          </w:p>
        </w:tc>
      </w:tr>
      <w:tr w:rsidR="007E2527" w:rsidRPr="007E2527" w14:paraId="49E416AB" w14:textId="77777777" w:rsidTr="0082078F">
        <w:trPr>
          <w:trHeight w:val="300"/>
        </w:trPr>
        <w:tc>
          <w:tcPr>
            <w:tcW w:w="1644" w:type="dxa"/>
            <w:tcBorders>
              <w:top w:val="nil"/>
              <w:left w:val="single" w:sz="4" w:space="0" w:color="auto"/>
              <w:bottom w:val="nil"/>
              <w:right w:val="nil"/>
            </w:tcBorders>
            <w:shd w:val="clear" w:color="000000" w:fill="FFFFFF"/>
            <w:noWrap/>
            <w:vAlign w:val="bottom"/>
            <w:hideMark/>
          </w:tcPr>
          <w:p w14:paraId="7945C34E"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046280B9"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5263</w:t>
            </w:r>
          </w:p>
        </w:tc>
        <w:tc>
          <w:tcPr>
            <w:tcW w:w="980" w:type="dxa"/>
            <w:tcBorders>
              <w:top w:val="nil"/>
              <w:left w:val="nil"/>
              <w:bottom w:val="nil"/>
              <w:right w:val="single" w:sz="4" w:space="0" w:color="auto"/>
            </w:tcBorders>
            <w:shd w:val="clear" w:color="000000" w:fill="FFFFFF"/>
            <w:noWrap/>
            <w:vAlign w:val="bottom"/>
            <w:hideMark/>
          </w:tcPr>
          <w:p w14:paraId="51F0F693"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82.3%</w:t>
            </w:r>
          </w:p>
        </w:tc>
        <w:tc>
          <w:tcPr>
            <w:tcW w:w="980" w:type="dxa"/>
            <w:tcBorders>
              <w:top w:val="nil"/>
              <w:left w:val="nil"/>
              <w:bottom w:val="nil"/>
              <w:right w:val="nil"/>
            </w:tcBorders>
            <w:shd w:val="clear" w:color="000000" w:fill="FFFFFF"/>
            <w:noWrap/>
            <w:vAlign w:val="bottom"/>
            <w:hideMark/>
          </w:tcPr>
          <w:p w14:paraId="2430362D"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5353</w:t>
            </w:r>
          </w:p>
        </w:tc>
        <w:tc>
          <w:tcPr>
            <w:tcW w:w="980" w:type="dxa"/>
            <w:tcBorders>
              <w:top w:val="nil"/>
              <w:left w:val="nil"/>
              <w:bottom w:val="nil"/>
              <w:right w:val="single" w:sz="4" w:space="0" w:color="auto"/>
            </w:tcBorders>
            <w:shd w:val="clear" w:color="000000" w:fill="FFFFFF"/>
            <w:noWrap/>
            <w:vAlign w:val="bottom"/>
            <w:hideMark/>
          </w:tcPr>
          <w:p w14:paraId="689B2ED7"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81.4%</w:t>
            </w:r>
          </w:p>
        </w:tc>
        <w:tc>
          <w:tcPr>
            <w:tcW w:w="980" w:type="dxa"/>
            <w:tcBorders>
              <w:top w:val="nil"/>
              <w:left w:val="nil"/>
              <w:bottom w:val="nil"/>
              <w:right w:val="nil"/>
            </w:tcBorders>
            <w:shd w:val="clear" w:color="000000" w:fill="FFFFFF"/>
            <w:noWrap/>
            <w:vAlign w:val="bottom"/>
            <w:hideMark/>
          </w:tcPr>
          <w:p w14:paraId="2460EDC9"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5041</w:t>
            </w:r>
          </w:p>
        </w:tc>
        <w:tc>
          <w:tcPr>
            <w:tcW w:w="980" w:type="dxa"/>
            <w:tcBorders>
              <w:top w:val="nil"/>
              <w:left w:val="nil"/>
              <w:bottom w:val="nil"/>
              <w:right w:val="single" w:sz="4" w:space="0" w:color="auto"/>
            </w:tcBorders>
            <w:shd w:val="clear" w:color="000000" w:fill="FFFFFF"/>
            <w:noWrap/>
            <w:vAlign w:val="bottom"/>
            <w:hideMark/>
          </w:tcPr>
          <w:p w14:paraId="358EFF47"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80.8%</w:t>
            </w:r>
          </w:p>
        </w:tc>
      </w:tr>
      <w:tr w:rsidR="007E2527" w:rsidRPr="007E2527" w14:paraId="36BB7A08" w14:textId="77777777" w:rsidTr="0082078F">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4E4669B9" w14:textId="77777777" w:rsidR="00866EB4" w:rsidRPr="00866EB4" w:rsidRDefault="00866EB4" w:rsidP="00866EB4">
            <w:pPr>
              <w:spacing w:after="0" w:line="240" w:lineRule="auto"/>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7E52C29C" w14:textId="77777777" w:rsidR="00866EB4" w:rsidRPr="00866EB4" w:rsidRDefault="00866EB4" w:rsidP="00866EB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6395</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4800C3CC" w14:textId="77777777" w:rsidR="00866EB4" w:rsidRPr="00866EB4" w:rsidRDefault="00866EB4" w:rsidP="00866EB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60643CF4" w14:textId="77777777" w:rsidR="00866EB4" w:rsidRPr="00866EB4" w:rsidRDefault="00866EB4" w:rsidP="00866EB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6574</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0083404D" w14:textId="77777777" w:rsidR="00866EB4" w:rsidRPr="00866EB4" w:rsidRDefault="00866EB4" w:rsidP="00866EB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46466D6A" w14:textId="77777777" w:rsidR="00866EB4" w:rsidRPr="00866EB4" w:rsidRDefault="00866EB4" w:rsidP="00866EB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6241</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16E05221" w14:textId="77777777" w:rsidR="00866EB4" w:rsidRPr="00866EB4" w:rsidRDefault="00866EB4" w:rsidP="00866EB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100%</w:t>
            </w:r>
          </w:p>
        </w:tc>
      </w:tr>
    </w:tbl>
    <w:p w14:paraId="09B3BDE1" w14:textId="77777777" w:rsidR="0082078F" w:rsidRDefault="0082078F" w:rsidP="0082078F">
      <w:pPr>
        <w:rPr>
          <w:rFonts w:asciiTheme="minorHAnsi" w:hAnsiTheme="minorHAnsi"/>
          <w:b/>
          <w:bCs/>
          <w:szCs w:val="22"/>
        </w:rPr>
      </w:pPr>
    </w:p>
    <w:p w14:paraId="57FA1C0A" w14:textId="77777777" w:rsidR="0082078F" w:rsidRPr="00216CED" w:rsidRDefault="0082078F" w:rsidP="0082078F">
      <w:pPr>
        <w:rPr>
          <w:rFonts w:asciiTheme="minorHAnsi" w:hAnsiTheme="minorHAnsi"/>
          <w:b/>
          <w:bCs/>
          <w:sz w:val="12"/>
          <w:szCs w:val="12"/>
        </w:rPr>
      </w:pPr>
    </w:p>
    <w:p w14:paraId="155569C4" w14:textId="26A10118" w:rsidR="00B313AD" w:rsidRPr="007E2527" w:rsidRDefault="00B313AD" w:rsidP="00B313AD">
      <w:pPr>
        <w:pStyle w:val="ListParagraph"/>
        <w:numPr>
          <w:ilvl w:val="2"/>
          <w:numId w:val="11"/>
        </w:numPr>
        <w:rPr>
          <w:rFonts w:asciiTheme="minorHAnsi" w:hAnsiTheme="minorHAnsi"/>
          <w:b/>
          <w:bCs/>
          <w:szCs w:val="22"/>
        </w:rPr>
      </w:pPr>
      <w:r w:rsidRPr="007E2527">
        <w:rPr>
          <w:rFonts w:asciiTheme="minorHAnsi" w:hAnsiTheme="minorHAnsi"/>
          <w:b/>
          <w:bCs/>
          <w:szCs w:val="22"/>
        </w:rPr>
        <w:t>International colleagues - Top 10 most-represented international nationalities only</w:t>
      </w:r>
    </w:p>
    <w:tbl>
      <w:tblPr>
        <w:tblW w:w="9544" w:type="dxa"/>
        <w:tblLook w:val="04A0" w:firstRow="1" w:lastRow="0" w:firstColumn="1" w:lastColumn="0" w:noHBand="0" w:noVBand="1"/>
      </w:tblPr>
      <w:tblGrid>
        <w:gridCol w:w="1526"/>
        <w:gridCol w:w="1403"/>
        <w:gridCol w:w="604"/>
        <w:gridCol w:w="1601"/>
        <w:gridCol w:w="604"/>
        <w:gridCol w:w="1601"/>
        <w:gridCol w:w="604"/>
        <w:gridCol w:w="1601"/>
      </w:tblGrid>
      <w:tr w:rsidR="00BB7483" w:rsidRPr="007E2527" w14:paraId="78A5E90B" w14:textId="77777777" w:rsidTr="00422488">
        <w:trPr>
          <w:trHeight w:val="299"/>
        </w:trPr>
        <w:tc>
          <w:tcPr>
            <w:tcW w:w="1526" w:type="dxa"/>
            <w:tcBorders>
              <w:top w:val="single" w:sz="4" w:space="0" w:color="auto"/>
              <w:left w:val="single" w:sz="4" w:space="0" w:color="auto"/>
              <w:bottom w:val="nil"/>
              <w:right w:val="nil"/>
            </w:tcBorders>
            <w:shd w:val="clear" w:color="000000" w:fill="FFFFFF"/>
            <w:noWrap/>
            <w:vAlign w:val="bottom"/>
            <w:hideMark/>
          </w:tcPr>
          <w:p w14:paraId="324C7462" w14:textId="77777777" w:rsidR="00866EB4" w:rsidRPr="00866EB4" w:rsidRDefault="00866EB4" w:rsidP="00866EB4">
            <w:pPr>
              <w:spacing w:after="0" w:line="240" w:lineRule="auto"/>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 </w:t>
            </w:r>
          </w:p>
        </w:tc>
        <w:tc>
          <w:tcPr>
            <w:tcW w:w="1403" w:type="dxa"/>
            <w:tcBorders>
              <w:top w:val="single" w:sz="4" w:space="0" w:color="auto"/>
              <w:left w:val="single" w:sz="4" w:space="0" w:color="auto"/>
              <w:bottom w:val="nil"/>
              <w:right w:val="nil"/>
            </w:tcBorders>
            <w:shd w:val="clear" w:color="000000" w:fill="FFFFFF"/>
            <w:noWrap/>
            <w:vAlign w:val="bottom"/>
            <w:hideMark/>
          </w:tcPr>
          <w:p w14:paraId="3A19AC3E" w14:textId="77777777" w:rsidR="00866EB4" w:rsidRPr="00866EB4" w:rsidRDefault="00866EB4" w:rsidP="00866EB4">
            <w:pPr>
              <w:spacing w:after="0" w:line="240" w:lineRule="auto"/>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 </w:t>
            </w:r>
          </w:p>
        </w:tc>
        <w:tc>
          <w:tcPr>
            <w:tcW w:w="2205"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5F19BCC"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2023</w:t>
            </w:r>
          </w:p>
        </w:tc>
        <w:tc>
          <w:tcPr>
            <w:tcW w:w="2205" w:type="dxa"/>
            <w:gridSpan w:val="2"/>
            <w:tcBorders>
              <w:top w:val="single" w:sz="4" w:space="0" w:color="auto"/>
              <w:left w:val="nil"/>
              <w:bottom w:val="nil"/>
              <w:right w:val="single" w:sz="4" w:space="0" w:color="000000"/>
            </w:tcBorders>
            <w:shd w:val="clear" w:color="000000" w:fill="FFFFFF"/>
            <w:noWrap/>
            <w:vAlign w:val="bottom"/>
            <w:hideMark/>
          </w:tcPr>
          <w:p w14:paraId="20F28959"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2024</w:t>
            </w:r>
          </w:p>
        </w:tc>
        <w:tc>
          <w:tcPr>
            <w:tcW w:w="2205" w:type="dxa"/>
            <w:gridSpan w:val="2"/>
            <w:tcBorders>
              <w:top w:val="single" w:sz="4" w:space="0" w:color="auto"/>
              <w:left w:val="nil"/>
              <w:bottom w:val="nil"/>
              <w:right w:val="single" w:sz="4" w:space="0" w:color="000000"/>
            </w:tcBorders>
            <w:shd w:val="clear" w:color="000000" w:fill="FFFFFF"/>
            <w:noWrap/>
            <w:vAlign w:val="bottom"/>
            <w:hideMark/>
          </w:tcPr>
          <w:p w14:paraId="138BE391"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2025</w:t>
            </w:r>
          </w:p>
        </w:tc>
      </w:tr>
      <w:tr w:rsidR="00422488" w:rsidRPr="007E2527" w14:paraId="5AE60307" w14:textId="77777777" w:rsidTr="00422488">
        <w:trPr>
          <w:trHeight w:val="553"/>
        </w:trPr>
        <w:tc>
          <w:tcPr>
            <w:tcW w:w="1526" w:type="dxa"/>
            <w:tcBorders>
              <w:top w:val="nil"/>
              <w:left w:val="single" w:sz="4" w:space="0" w:color="auto"/>
              <w:bottom w:val="single" w:sz="4" w:space="0" w:color="auto"/>
              <w:right w:val="nil"/>
            </w:tcBorders>
            <w:shd w:val="clear" w:color="000000" w:fill="FFFFFF"/>
            <w:vAlign w:val="center"/>
            <w:hideMark/>
          </w:tcPr>
          <w:p w14:paraId="0FEA541E"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Top 10 (2025)</w:t>
            </w:r>
          </w:p>
        </w:tc>
        <w:tc>
          <w:tcPr>
            <w:tcW w:w="1403" w:type="dxa"/>
            <w:tcBorders>
              <w:top w:val="nil"/>
              <w:left w:val="single" w:sz="4" w:space="0" w:color="auto"/>
              <w:bottom w:val="single" w:sz="4" w:space="0" w:color="auto"/>
              <w:right w:val="nil"/>
            </w:tcBorders>
            <w:shd w:val="clear" w:color="000000" w:fill="FFFFFF"/>
            <w:noWrap/>
            <w:vAlign w:val="center"/>
            <w:hideMark/>
          </w:tcPr>
          <w:p w14:paraId="2BA9C5F6" w14:textId="77777777" w:rsidR="00866EB4" w:rsidRPr="00866EB4" w:rsidRDefault="00866EB4" w:rsidP="00866EB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66EB4">
              <w:rPr>
                <w:rFonts w:asciiTheme="minorHAnsi" w:eastAsia="Times New Roman" w:hAnsiTheme="minorHAnsi" w:cs="Times New Roman"/>
                <w:b/>
                <w:bCs/>
                <w:color w:val="000000"/>
                <w:kern w:val="0"/>
                <w:szCs w:val="22"/>
                <w:lang w:eastAsia="en-GB"/>
                <w14:ligatures w14:val="none"/>
              </w:rPr>
              <w:t>Nationality</w:t>
            </w:r>
          </w:p>
        </w:tc>
        <w:tc>
          <w:tcPr>
            <w:tcW w:w="604" w:type="dxa"/>
            <w:tcBorders>
              <w:top w:val="nil"/>
              <w:left w:val="single" w:sz="4" w:space="0" w:color="auto"/>
              <w:bottom w:val="single" w:sz="4" w:space="0" w:color="auto"/>
              <w:right w:val="nil"/>
            </w:tcBorders>
            <w:shd w:val="clear" w:color="000000" w:fill="FFFFFF"/>
            <w:noWrap/>
            <w:vAlign w:val="center"/>
            <w:hideMark/>
          </w:tcPr>
          <w:p w14:paraId="2B1C37A6"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n</w:t>
            </w:r>
          </w:p>
        </w:tc>
        <w:tc>
          <w:tcPr>
            <w:tcW w:w="1601" w:type="dxa"/>
            <w:tcBorders>
              <w:top w:val="nil"/>
              <w:left w:val="nil"/>
              <w:bottom w:val="single" w:sz="4" w:space="0" w:color="auto"/>
              <w:right w:val="single" w:sz="4" w:space="0" w:color="auto"/>
            </w:tcBorders>
            <w:shd w:val="clear" w:color="000000" w:fill="FFFFFF"/>
            <w:vAlign w:val="center"/>
            <w:hideMark/>
          </w:tcPr>
          <w:p w14:paraId="748FA781" w14:textId="2F107A88"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 of total</w:t>
            </w:r>
            <w:r w:rsidR="00BB7483" w:rsidRPr="007E2527">
              <w:rPr>
                <w:rFonts w:asciiTheme="minorHAnsi" w:eastAsia="Times New Roman" w:hAnsiTheme="minorHAnsi" w:cs="Times New Roman"/>
                <w:color w:val="000000"/>
                <w:kern w:val="0"/>
                <w:szCs w:val="22"/>
                <w:lang w:eastAsia="en-GB"/>
                <w14:ligatures w14:val="none"/>
              </w:rPr>
              <w:t xml:space="preserve"> </w:t>
            </w:r>
            <w:r w:rsidRPr="00866EB4">
              <w:rPr>
                <w:rFonts w:asciiTheme="minorHAnsi" w:eastAsia="Times New Roman" w:hAnsiTheme="minorHAnsi" w:cs="Times New Roman"/>
                <w:color w:val="000000"/>
                <w:kern w:val="0"/>
                <w:szCs w:val="22"/>
                <w:lang w:eastAsia="en-GB"/>
                <w14:ligatures w14:val="none"/>
              </w:rPr>
              <w:t>international</w:t>
            </w:r>
            <w:r w:rsidR="00BB7483" w:rsidRPr="007E2527">
              <w:rPr>
                <w:rFonts w:asciiTheme="minorHAnsi" w:eastAsia="Times New Roman" w:hAnsiTheme="minorHAnsi" w:cs="Times New Roman"/>
                <w:color w:val="000000"/>
                <w:kern w:val="0"/>
                <w:szCs w:val="22"/>
                <w:lang w:eastAsia="en-GB"/>
                <w14:ligatures w14:val="none"/>
              </w:rPr>
              <w:t xml:space="preserve"> </w:t>
            </w:r>
            <w:r w:rsidRPr="00866EB4">
              <w:rPr>
                <w:rFonts w:asciiTheme="minorHAnsi" w:eastAsia="Times New Roman" w:hAnsiTheme="minorHAnsi" w:cs="Times New Roman"/>
                <w:color w:val="000000"/>
                <w:kern w:val="0"/>
                <w:szCs w:val="22"/>
                <w:lang w:eastAsia="en-GB"/>
                <w14:ligatures w14:val="none"/>
              </w:rPr>
              <w:t>colleagues</w:t>
            </w:r>
          </w:p>
        </w:tc>
        <w:tc>
          <w:tcPr>
            <w:tcW w:w="604" w:type="dxa"/>
            <w:tcBorders>
              <w:top w:val="nil"/>
              <w:left w:val="nil"/>
              <w:bottom w:val="single" w:sz="4" w:space="0" w:color="auto"/>
              <w:right w:val="nil"/>
            </w:tcBorders>
            <w:shd w:val="clear" w:color="000000" w:fill="FFFFFF"/>
            <w:noWrap/>
            <w:vAlign w:val="center"/>
            <w:hideMark/>
          </w:tcPr>
          <w:p w14:paraId="4619F5A7"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n</w:t>
            </w:r>
          </w:p>
        </w:tc>
        <w:tc>
          <w:tcPr>
            <w:tcW w:w="1601" w:type="dxa"/>
            <w:tcBorders>
              <w:top w:val="nil"/>
              <w:left w:val="nil"/>
              <w:bottom w:val="single" w:sz="4" w:space="0" w:color="auto"/>
              <w:right w:val="single" w:sz="4" w:space="0" w:color="auto"/>
            </w:tcBorders>
            <w:shd w:val="clear" w:color="000000" w:fill="FFFFFF"/>
            <w:vAlign w:val="center"/>
            <w:hideMark/>
          </w:tcPr>
          <w:p w14:paraId="6CF1CFD2" w14:textId="26E782B7" w:rsidR="00866EB4" w:rsidRPr="00866EB4" w:rsidRDefault="000E1A7C"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 of total</w:t>
            </w:r>
            <w:r w:rsidRPr="007E2527">
              <w:rPr>
                <w:rFonts w:asciiTheme="minorHAnsi" w:eastAsia="Times New Roman" w:hAnsiTheme="minorHAnsi" w:cs="Times New Roman"/>
                <w:color w:val="000000"/>
                <w:kern w:val="0"/>
                <w:szCs w:val="22"/>
                <w:lang w:eastAsia="en-GB"/>
                <w14:ligatures w14:val="none"/>
              </w:rPr>
              <w:t xml:space="preserve"> </w:t>
            </w:r>
            <w:r w:rsidRPr="00866EB4">
              <w:rPr>
                <w:rFonts w:asciiTheme="minorHAnsi" w:eastAsia="Times New Roman" w:hAnsiTheme="minorHAnsi" w:cs="Times New Roman"/>
                <w:color w:val="000000"/>
                <w:kern w:val="0"/>
                <w:szCs w:val="22"/>
                <w:lang w:eastAsia="en-GB"/>
                <w14:ligatures w14:val="none"/>
              </w:rPr>
              <w:t>international</w:t>
            </w:r>
            <w:r w:rsidRPr="007E2527">
              <w:rPr>
                <w:rFonts w:asciiTheme="minorHAnsi" w:eastAsia="Times New Roman" w:hAnsiTheme="minorHAnsi" w:cs="Times New Roman"/>
                <w:color w:val="000000"/>
                <w:kern w:val="0"/>
                <w:szCs w:val="22"/>
                <w:lang w:eastAsia="en-GB"/>
                <w14:ligatures w14:val="none"/>
              </w:rPr>
              <w:t xml:space="preserve"> </w:t>
            </w:r>
            <w:r w:rsidRPr="00866EB4">
              <w:rPr>
                <w:rFonts w:asciiTheme="minorHAnsi" w:eastAsia="Times New Roman" w:hAnsiTheme="minorHAnsi" w:cs="Times New Roman"/>
                <w:color w:val="000000"/>
                <w:kern w:val="0"/>
                <w:szCs w:val="22"/>
                <w:lang w:eastAsia="en-GB"/>
                <w14:ligatures w14:val="none"/>
              </w:rPr>
              <w:t>colleagues</w:t>
            </w:r>
          </w:p>
        </w:tc>
        <w:tc>
          <w:tcPr>
            <w:tcW w:w="604" w:type="dxa"/>
            <w:tcBorders>
              <w:top w:val="nil"/>
              <w:left w:val="nil"/>
              <w:bottom w:val="single" w:sz="4" w:space="0" w:color="auto"/>
              <w:right w:val="nil"/>
            </w:tcBorders>
            <w:shd w:val="clear" w:color="000000" w:fill="FFFFFF"/>
            <w:noWrap/>
            <w:vAlign w:val="center"/>
            <w:hideMark/>
          </w:tcPr>
          <w:p w14:paraId="13BEA86C"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n</w:t>
            </w:r>
          </w:p>
        </w:tc>
        <w:tc>
          <w:tcPr>
            <w:tcW w:w="1601" w:type="dxa"/>
            <w:tcBorders>
              <w:top w:val="nil"/>
              <w:left w:val="nil"/>
              <w:bottom w:val="single" w:sz="4" w:space="0" w:color="auto"/>
              <w:right w:val="single" w:sz="4" w:space="0" w:color="auto"/>
            </w:tcBorders>
            <w:shd w:val="clear" w:color="000000" w:fill="FFFFFF"/>
            <w:vAlign w:val="center"/>
            <w:hideMark/>
          </w:tcPr>
          <w:p w14:paraId="144FF7E7" w14:textId="67F77A4B" w:rsidR="00866EB4" w:rsidRPr="00866EB4" w:rsidRDefault="000E1A7C"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 of total</w:t>
            </w:r>
            <w:r w:rsidRPr="007E2527">
              <w:rPr>
                <w:rFonts w:asciiTheme="minorHAnsi" w:eastAsia="Times New Roman" w:hAnsiTheme="minorHAnsi" w:cs="Times New Roman"/>
                <w:color w:val="000000"/>
                <w:kern w:val="0"/>
                <w:szCs w:val="22"/>
                <w:lang w:eastAsia="en-GB"/>
                <w14:ligatures w14:val="none"/>
              </w:rPr>
              <w:t xml:space="preserve"> </w:t>
            </w:r>
            <w:r w:rsidRPr="00866EB4">
              <w:rPr>
                <w:rFonts w:asciiTheme="minorHAnsi" w:eastAsia="Times New Roman" w:hAnsiTheme="minorHAnsi" w:cs="Times New Roman"/>
                <w:color w:val="000000"/>
                <w:kern w:val="0"/>
                <w:szCs w:val="22"/>
                <w:lang w:eastAsia="en-GB"/>
                <w14:ligatures w14:val="none"/>
              </w:rPr>
              <w:t>international</w:t>
            </w:r>
            <w:r w:rsidRPr="007E2527">
              <w:rPr>
                <w:rFonts w:asciiTheme="minorHAnsi" w:eastAsia="Times New Roman" w:hAnsiTheme="minorHAnsi" w:cs="Times New Roman"/>
                <w:color w:val="000000"/>
                <w:kern w:val="0"/>
                <w:szCs w:val="22"/>
                <w:lang w:eastAsia="en-GB"/>
                <w14:ligatures w14:val="none"/>
              </w:rPr>
              <w:t xml:space="preserve"> </w:t>
            </w:r>
            <w:r w:rsidRPr="00866EB4">
              <w:rPr>
                <w:rFonts w:asciiTheme="minorHAnsi" w:eastAsia="Times New Roman" w:hAnsiTheme="minorHAnsi" w:cs="Times New Roman"/>
                <w:color w:val="000000"/>
                <w:kern w:val="0"/>
                <w:szCs w:val="22"/>
                <w:lang w:eastAsia="en-GB"/>
                <w14:ligatures w14:val="none"/>
              </w:rPr>
              <w:t>colleagues</w:t>
            </w:r>
          </w:p>
        </w:tc>
      </w:tr>
      <w:tr w:rsidR="00422488" w:rsidRPr="007E2527" w14:paraId="3EF8C579"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450F0087"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w:t>
            </w:r>
          </w:p>
        </w:tc>
        <w:tc>
          <w:tcPr>
            <w:tcW w:w="1403" w:type="dxa"/>
            <w:tcBorders>
              <w:top w:val="nil"/>
              <w:left w:val="single" w:sz="4" w:space="0" w:color="auto"/>
              <w:bottom w:val="nil"/>
              <w:right w:val="nil"/>
            </w:tcBorders>
            <w:shd w:val="clear" w:color="000000" w:fill="FFFFFF"/>
            <w:noWrap/>
            <w:vAlign w:val="bottom"/>
            <w:hideMark/>
          </w:tcPr>
          <w:p w14:paraId="6B9424D7"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Chinese</w:t>
            </w:r>
          </w:p>
        </w:tc>
        <w:tc>
          <w:tcPr>
            <w:tcW w:w="604" w:type="dxa"/>
            <w:tcBorders>
              <w:top w:val="nil"/>
              <w:left w:val="single" w:sz="4" w:space="0" w:color="auto"/>
              <w:bottom w:val="nil"/>
              <w:right w:val="nil"/>
            </w:tcBorders>
            <w:shd w:val="clear" w:color="000000" w:fill="FFFFFF"/>
            <w:noWrap/>
            <w:vAlign w:val="bottom"/>
            <w:hideMark/>
          </w:tcPr>
          <w:p w14:paraId="2D56383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109</w:t>
            </w:r>
          </w:p>
        </w:tc>
        <w:tc>
          <w:tcPr>
            <w:tcW w:w="1601" w:type="dxa"/>
            <w:tcBorders>
              <w:top w:val="nil"/>
              <w:left w:val="nil"/>
              <w:bottom w:val="nil"/>
              <w:right w:val="single" w:sz="4" w:space="0" w:color="auto"/>
            </w:tcBorders>
            <w:shd w:val="clear" w:color="000000" w:fill="FFFFFF"/>
            <w:noWrap/>
            <w:vAlign w:val="bottom"/>
            <w:hideMark/>
          </w:tcPr>
          <w:p w14:paraId="5FB7E71B"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9.6%</w:t>
            </w:r>
          </w:p>
        </w:tc>
        <w:tc>
          <w:tcPr>
            <w:tcW w:w="604" w:type="dxa"/>
            <w:tcBorders>
              <w:top w:val="nil"/>
              <w:left w:val="nil"/>
              <w:bottom w:val="nil"/>
              <w:right w:val="nil"/>
            </w:tcBorders>
            <w:shd w:val="clear" w:color="000000" w:fill="FFFFFF"/>
            <w:noWrap/>
            <w:vAlign w:val="bottom"/>
            <w:hideMark/>
          </w:tcPr>
          <w:p w14:paraId="2D29CF13"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133</w:t>
            </w:r>
          </w:p>
        </w:tc>
        <w:tc>
          <w:tcPr>
            <w:tcW w:w="1601" w:type="dxa"/>
            <w:tcBorders>
              <w:top w:val="nil"/>
              <w:left w:val="nil"/>
              <w:bottom w:val="nil"/>
              <w:right w:val="single" w:sz="4" w:space="0" w:color="auto"/>
            </w:tcBorders>
            <w:shd w:val="clear" w:color="000000" w:fill="FFFFFF"/>
            <w:noWrap/>
            <w:vAlign w:val="bottom"/>
            <w:hideMark/>
          </w:tcPr>
          <w:p w14:paraId="37F9E4B1"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10.9%</w:t>
            </w:r>
          </w:p>
        </w:tc>
        <w:tc>
          <w:tcPr>
            <w:tcW w:w="604" w:type="dxa"/>
            <w:tcBorders>
              <w:top w:val="nil"/>
              <w:left w:val="nil"/>
              <w:bottom w:val="nil"/>
              <w:right w:val="nil"/>
            </w:tcBorders>
            <w:shd w:val="clear" w:color="000000" w:fill="FFFFFF"/>
            <w:noWrap/>
            <w:vAlign w:val="bottom"/>
            <w:hideMark/>
          </w:tcPr>
          <w:p w14:paraId="08C73D82"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150</w:t>
            </w:r>
          </w:p>
        </w:tc>
        <w:tc>
          <w:tcPr>
            <w:tcW w:w="1601" w:type="dxa"/>
            <w:tcBorders>
              <w:top w:val="nil"/>
              <w:left w:val="nil"/>
              <w:bottom w:val="nil"/>
              <w:right w:val="single" w:sz="4" w:space="0" w:color="auto"/>
            </w:tcBorders>
            <w:shd w:val="clear" w:color="000000" w:fill="FFFFFF"/>
            <w:noWrap/>
            <w:vAlign w:val="bottom"/>
            <w:hideMark/>
          </w:tcPr>
          <w:p w14:paraId="5E8F6A95"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12.5%</w:t>
            </w:r>
          </w:p>
        </w:tc>
      </w:tr>
      <w:tr w:rsidR="00422488" w:rsidRPr="007E2527" w14:paraId="0B19BD37"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68BC89A6"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2</w:t>
            </w:r>
          </w:p>
        </w:tc>
        <w:tc>
          <w:tcPr>
            <w:tcW w:w="1403" w:type="dxa"/>
            <w:tcBorders>
              <w:top w:val="nil"/>
              <w:left w:val="single" w:sz="4" w:space="0" w:color="auto"/>
              <w:bottom w:val="nil"/>
              <w:right w:val="nil"/>
            </w:tcBorders>
            <w:shd w:val="clear" w:color="000000" w:fill="FFFFFF"/>
            <w:noWrap/>
            <w:vAlign w:val="bottom"/>
            <w:hideMark/>
          </w:tcPr>
          <w:p w14:paraId="23F98537"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Indian</w:t>
            </w:r>
          </w:p>
        </w:tc>
        <w:tc>
          <w:tcPr>
            <w:tcW w:w="604" w:type="dxa"/>
            <w:tcBorders>
              <w:top w:val="nil"/>
              <w:left w:val="single" w:sz="4" w:space="0" w:color="auto"/>
              <w:bottom w:val="nil"/>
              <w:right w:val="nil"/>
            </w:tcBorders>
            <w:shd w:val="clear" w:color="000000" w:fill="FFFFFF"/>
            <w:noWrap/>
            <w:vAlign w:val="bottom"/>
            <w:hideMark/>
          </w:tcPr>
          <w:p w14:paraId="367855A4"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92</w:t>
            </w:r>
          </w:p>
        </w:tc>
        <w:tc>
          <w:tcPr>
            <w:tcW w:w="1601" w:type="dxa"/>
            <w:tcBorders>
              <w:top w:val="nil"/>
              <w:left w:val="nil"/>
              <w:bottom w:val="nil"/>
              <w:right w:val="single" w:sz="4" w:space="0" w:color="auto"/>
            </w:tcBorders>
            <w:shd w:val="clear" w:color="000000" w:fill="FFFFFF"/>
            <w:noWrap/>
            <w:vAlign w:val="bottom"/>
            <w:hideMark/>
          </w:tcPr>
          <w:p w14:paraId="417A3312"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8.1%</w:t>
            </w:r>
          </w:p>
        </w:tc>
        <w:tc>
          <w:tcPr>
            <w:tcW w:w="604" w:type="dxa"/>
            <w:tcBorders>
              <w:top w:val="nil"/>
              <w:left w:val="nil"/>
              <w:bottom w:val="nil"/>
              <w:right w:val="nil"/>
            </w:tcBorders>
            <w:shd w:val="clear" w:color="000000" w:fill="FFFFFF"/>
            <w:noWrap/>
            <w:vAlign w:val="bottom"/>
            <w:hideMark/>
          </w:tcPr>
          <w:p w14:paraId="0805FFC0"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98</w:t>
            </w:r>
          </w:p>
        </w:tc>
        <w:tc>
          <w:tcPr>
            <w:tcW w:w="1601" w:type="dxa"/>
            <w:tcBorders>
              <w:top w:val="nil"/>
              <w:left w:val="nil"/>
              <w:bottom w:val="nil"/>
              <w:right w:val="single" w:sz="4" w:space="0" w:color="auto"/>
            </w:tcBorders>
            <w:shd w:val="clear" w:color="000000" w:fill="FFFFFF"/>
            <w:noWrap/>
            <w:vAlign w:val="bottom"/>
            <w:hideMark/>
          </w:tcPr>
          <w:p w14:paraId="693123CB"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8.0%</w:t>
            </w:r>
          </w:p>
        </w:tc>
        <w:tc>
          <w:tcPr>
            <w:tcW w:w="604" w:type="dxa"/>
            <w:tcBorders>
              <w:top w:val="nil"/>
              <w:left w:val="nil"/>
              <w:bottom w:val="nil"/>
              <w:right w:val="nil"/>
            </w:tcBorders>
            <w:shd w:val="clear" w:color="000000" w:fill="FFFFFF"/>
            <w:noWrap/>
            <w:vAlign w:val="bottom"/>
            <w:hideMark/>
          </w:tcPr>
          <w:p w14:paraId="1D3701AF"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102</w:t>
            </w:r>
          </w:p>
        </w:tc>
        <w:tc>
          <w:tcPr>
            <w:tcW w:w="1601" w:type="dxa"/>
            <w:tcBorders>
              <w:top w:val="nil"/>
              <w:left w:val="nil"/>
              <w:bottom w:val="nil"/>
              <w:right w:val="single" w:sz="4" w:space="0" w:color="auto"/>
            </w:tcBorders>
            <w:shd w:val="clear" w:color="000000" w:fill="FFFFFF"/>
            <w:noWrap/>
            <w:vAlign w:val="bottom"/>
            <w:hideMark/>
          </w:tcPr>
          <w:p w14:paraId="62484F5E"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8.5%</w:t>
            </w:r>
          </w:p>
        </w:tc>
      </w:tr>
      <w:tr w:rsidR="00422488" w:rsidRPr="007E2527" w14:paraId="679E70C2"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757CA851"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w:t>
            </w:r>
          </w:p>
        </w:tc>
        <w:tc>
          <w:tcPr>
            <w:tcW w:w="1403" w:type="dxa"/>
            <w:tcBorders>
              <w:top w:val="nil"/>
              <w:left w:val="single" w:sz="4" w:space="0" w:color="auto"/>
              <w:bottom w:val="nil"/>
              <w:right w:val="nil"/>
            </w:tcBorders>
            <w:shd w:val="clear" w:color="000000" w:fill="FFFFFF"/>
            <w:noWrap/>
            <w:vAlign w:val="bottom"/>
            <w:hideMark/>
          </w:tcPr>
          <w:p w14:paraId="4A521440"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German</w:t>
            </w:r>
          </w:p>
        </w:tc>
        <w:tc>
          <w:tcPr>
            <w:tcW w:w="604" w:type="dxa"/>
            <w:tcBorders>
              <w:top w:val="nil"/>
              <w:left w:val="single" w:sz="4" w:space="0" w:color="auto"/>
              <w:bottom w:val="nil"/>
              <w:right w:val="nil"/>
            </w:tcBorders>
            <w:shd w:val="clear" w:color="000000" w:fill="FFFFFF"/>
            <w:noWrap/>
            <w:vAlign w:val="bottom"/>
            <w:hideMark/>
          </w:tcPr>
          <w:p w14:paraId="49DFB996"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87</w:t>
            </w:r>
          </w:p>
        </w:tc>
        <w:tc>
          <w:tcPr>
            <w:tcW w:w="1601" w:type="dxa"/>
            <w:tcBorders>
              <w:top w:val="nil"/>
              <w:left w:val="nil"/>
              <w:bottom w:val="nil"/>
              <w:right w:val="single" w:sz="4" w:space="0" w:color="auto"/>
            </w:tcBorders>
            <w:shd w:val="clear" w:color="000000" w:fill="FFFFFF"/>
            <w:noWrap/>
            <w:vAlign w:val="bottom"/>
            <w:hideMark/>
          </w:tcPr>
          <w:p w14:paraId="26DF7D45"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7.7%</w:t>
            </w:r>
          </w:p>
        </w:tc>
        <w:tc>
          <w:tcPr>
            <w:tcW w:w="604" w:type="dxa"/>
            <w:tcBorders>
              <w:top w:val="nil"/>
              <w:left w:val="nil"/>
              <w:bottom w:val="nil"/>
              <w:right w:val="nil"/>
            </w:tcBorders>
            <w:shd w:val="clear" w:color="000000" w:fill="FFFFFF"/>
            <w:noWrap/>
            <w:vAlign w:val="bottom"/>
            <w:hideMark/>
          </w:tcPr>
          <w:p w14:paraId="66D5885F"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85</w:t>
            </w:r>
          </w:p>
        </w:tc>
        <w:tc>
          <w:tcPr>
            <w:tcW w:w="1601" w:type="dxa"/>
            <w:tcBorders>
              <w:top w:val="nil"/>
              <w:left w:val="nil"/>
              <w:bottom w:val="nil"/>
              <w:right w:val="single" w:sz="4" w:space="0" w:color="auto"/>
            </w:tcBorders>
            <w:shd w:val="clear" w:color="000000" w:fill="FFFFFF"/>
            <w:noWrap/>
            <w:vAlign w:val="bottom"/>
            <w:hideMark/>
          </w:tcPr>
          <w:p w14:paraId="28DD8938"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7.0%</w:t>
            </w:r>
          </w:p>
        </w:tc>
        <w:tc>
          <w:tcPr>
            <w:tcW w:w="604" w:type="dxa"/>
            <w:tcBorders>
              <w:top w:val="nil"/>
              <w:left w:val="nil"/>
              <w:bottom w:val="nil"/>
              <w:right w:val="nil"/>
            </w:tcBorders>
            <w:shd w:val="clear" w:color="000000" w:fill="FFFFFF"/>
            <w:noWrap/>
            <w:vAlign w:val="bottom"/>
            <w:hideMark/>
          </w:tcPr>
          <w:p w14:paraId="55E5E19D"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77</w:t>
            </w:r>
          </w:p>
        </w:tc>
        <w:tc>
          <w:tcPr>
            <w:tcW w:w="1601" w:type="dxa"/>
            <w:tcBorders>
              <w:top w:val="nil"/>
              <w:left w:val="nil"/>
              <w:bottom w:val="nil"/>
              <w:right w:val="single" w:sz="4" w:space="0" w:color="auto"/>
            </w:tcBorders>
            <w:shd w:val="clear" w:color="000000" w:fill="FFFFFF"/>
            <w:noWrap/>
            <w:vAlign w:val="bottom"/>
            <w:hideMark/>
          </w:tcPr>
          <w:p w14:paraId="6F0D2DAE"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6.4%</w:t>
            </w:r>
          </w:p>
        </w:tc>
      </w:tr>
      <w:tr w:rsidR="00422488" w:rsidRPr="007E2527" w14:paraId="21124DAE"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4458A8C1"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w:t>
            </w:r>
          </w:p>
        </w:tc>
        <w:tc>
          <w:tcPr>
            <w:tcW w:w="1403" w:type="dxa"/>
            <w:tcBorders>
              <w:top w:val="nil"/>
              <w:left w:val="single" w:sz="4" w:space="0" w:color="auto"/>
              <w:bottom w:val="nil"/>
              <w:right w:val="nil"/>
            </w:tcBorders>
            <w:shd w:val="clear" w:color="000000" w:fill="FFFFFF"/>
            <w:noWrap/>
            <w:vAlign w:val="bottom"/>
            <w:hideMark/>
          </w:tcPr>
          <w:p w14:paraId="184ECBA2"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American</w:t>
            </w:r>
          </w:p>
        </w:tc>
        <w:tc>
          <w:tcPr>
            <w:tcW w:w="604" w:type="dxa"/>
            <w:tcBorders>
              <w:top w:val="nil"/>
              <w:left w:val="single" w:sz="4" w:space="0" w:color="auto"/>
              <w:bottom w:val="nil"/>
              <w:right w:val="nil"/>
            </w:tcBorders>
            <w:shd w:val="clear" w:color="000000" w:fill="FFFFFF"/>
            <w:noWrap/>
            <w:vAlign w:val="bottom"/>
            <w:hideMark/>
          </w:tcPr>
          <w:p w14:paraId="21E6BF53"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65</w:t>
            </w:r>
          </w:p>
        </w:tc>
        <w:tc>
          <w:tcPr>
            <w:tcW w:w="1601" w:type="dxa"/>
            <w:tcBorders>
              <w:top w:val="nil"/>
              <w:left w:val="nil"/>
              <w:bottom w:val="nil"/>
              <w:right w:val="single" w:sz="4" w:space="0" w:color="auto"/>
            </w:tcBorders>
            <w:shd w:val="clear" w:color="000000" w:fill="FFFFFF"/>
            <w:noWrap/>
            <w:vAlign w:val="bottom"/>
            <w:hideMark/>
          </w:tcPr>
          <w:p w14:paraId="2C4692D8"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5.7%</w:t>
            </w:r>
          </w:p>
        </w:tc>
        <w:tc>
          <w:tcPr>
            <w:tcW w:w="604" w:type="dxa"/>
            <w:tcBorders>
              <w:top w:val="nil"/>
              <w:left w:val="nil"/>
              <w:bottom w:val="nil"/>
              <w:right w:val="nil"/>
            </w:tcBorders>
            <w:shd w:val="clear" w:color="000000" w:fill="FFFFFF"/>
            <w:noWrap/>
            <w:vAlign w:val="bottom"/>
            <w:hideMark/>
          </w:tcPr>
          <w:p w14:paraId="2A7C2B15"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66</w:t>
            </w:r>
          </w:p>
        </w:tc>
        <w:tc>
          <w:tcPr>
            <w:tcW w:w="1601" w:type="dxa"/>
            <w:tcBorders>
              <w:top w:val="nil"/>
              <w:left w:val="nil"/>
              <w:bottom w:val="nil"/>
              <w:right w:val="single" w:sz="4" w:space="0" w:color="auto"/>
            </w:tcBorders>
            <w:shd w:val="clear" w:color="000000" w:fill="FFFFFF"/>
            <w:noWrap/>
            <w:vAlign w:val="bottom"/>
            <w:hideMark/>
          </w:tcPr>
          <w:p w14:paraId="788D8A75"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5.4%</w:t>
            </w:r>
          </w:p>
        </w:tc>
        <w:tc>
          <w:tcPr>
            <w:tcW w:w="604" w:type="dxa"/>
            <w:tcBorders>
              <w:top w:val="nil"/>
              <w:left w:val="nil"/>
              <w:bottom w:val="nil"/>
              <w:right w:val="nil"/>
            </w:tcBorders>
            <w:shd w:val="clear" w:color="000000" w:fill="FFFFFF"/>
            <w:noWrap/>
            <w:vAlign w:val="bottom"/>
            <w:hideMark/>
          </w:tcPr>
          <w:p w14:paraId="6905B5CB"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67</w:t>
            </w:r>
          </w:p>
        </w:tc>
        <w:tc>
          <w:tcPr>
            <w:tcW w:w="1601" w:type="dxa"/>
            <w:tcBorders>
              <w:top w:val="nil"/>
              <w:left w:val="nil"/>
              <w:bottom w:val="nil"/>
              <w:right w:val="single" w:sz="4" w:space="0" w:color="auto"/>
            </w:tcBorders>
            <w:shd w:val="clear" w:color="000000" w:fill="FFFFFF"/>
            <w:noWrap/>
            <w:vAlign w:val="bottom"/>
            <w:hideMark/>
          </w:tcPr>
          <w:p w14:paraId="1B1C205D"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5.6%</w:t>
            </w:r>
          </w:p>
        </w:tc>
      </w:tr>
      <w:tr w:rsidR="00422488" w:rsidRPr="007E2527" w14:paraId="6571FA79"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563AC109"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w:t>
            </w:r>
          </w:p>
        </w:tc>
        <w:tc>
          <w:tcPr>
            <w:tcW w:w="1403" w:type="dxa"/>
            <w:tcBorders>
              <w:top w:val="nil"/>
              <w:left w:val="single" w:sz="4" w:space="0" w:color="auto"/>
              <w:bottom w:val="nil"/>
              <w:right w:val="nil"/>
            </w:tcBorders>
            <w:shd w:val="clear" w:color="000000" w:fill="FFFFFF"/>
            <w:noWrap/>
            <w:vAlign w:val="bottom"/>
            <w:hideMark/>
          </w:tcPr>
          <w:p w14:paraId="270C5249"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Italian</w:t>
            </w:r>
          </w:p>
        </w:tc>
        <w:tc>
          <w:tcPr>
            <w:tcW w:w="604" w:type="dxa"/>
            <w:tcBorders>
              <w:top w:val="nil"/>
              <w:left w:val="single" w:sz="4" w:space="0" w:color="auto"/>
              <w:bottom w:val="nil"/>
              <w:right w:val="nil"/>
            </w:tcBorders>
            <w:shd w:val="clear" w:color="000000" w:fill="FFFFFF"/>
            <w:noWrap/>
            <w:vAlign w:val="bottom"/>
            <w:hideMark/>
          </w:tcPr>
          <w:p w14:paraId="1EBD7018"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60</w:t>
            </w:r>
          </w:p>
        </w:tc>
        <w:tc>
          <w:tcPr>
            <w:tcW w:w="1601" w:type="dxa"/>
            <w:tcBorders>
              <w:top w:val="nil"/>
              <w:left w:val="nil"/>
              <w:bottom w:val="nil"/>
              <w:right w:val="single" w:sz="4" w:space="0" w:color="auto"/>
            </w:tcBorders>
            <w:shd w:val="clear" w:color="000000" w:fill="FFFFFF"/>
            <w:noWrap/>
            <w:vAlign w:val="bottom"/>
            <w:hideMark/>
          </w:tcPr>
          <w:p w14:paraId="64821DAF"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5.3%</w:t>
            </w:r>
          </w:p>
        </w:tc>
        <w:tc>
          <w:tcPr>
            <w:tcW w:w="604" w:type="dxa"/>
            <w:tcBorders>
              <w:top w:val="nil"/>
              <w:left w:val="nil"/>
              <w:bottom w:val="nil"/>
              <w:right w:val="nil"/>
            </w:tcBorders>
            <w:shd w:val="clear" w:color="000000" w:fill="FFFFFF"/>
            <w:noWrap/>
            <w:vAlign w:val="bottom"/>
            <w:hideMark/>
          </w:tcPr>
          <w:p w14:paraId="6EB9C206"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66</w:t>
            </w:r>
          </w:p>
        </w:tc>
        <w:tc>
          <w:tcPr>
            <w:tcW w:w="1601" w:type="dxa"/>
            <w:tcBorders>
              <w:top w:val="nil"/>
              <w:left w:val="nil"/>
              <w:bottom w:val="nil"/>
              <w:right w:val="single" w:sz="4" w:space="0" w:color="auto"/>
            </w:tcBorders>
            <w:shd w:val="clear" w:color="000000" w:fill="FFFFFF"/>
            <w:noWrap/>
            <w:vAlign w:val="bottom"/>
            <w:hideMark/>
          </w:tcPr>
          <w:p w14:paraId="67555F42"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5.4%</w:t>
            </w:r>
          </w:p>
        </w:tc>
        <w:tc>
          <w:tcPr>
            <w:tcW w:w="604" w:type="dxa"/>
            <w:tcBorders>
              <w:top w:val="nil"/>
              <w:left w:val="nil"/>
              <w:bottom w:val="nil"/>
              <w:right w:val="nil"/>
            </w:tcBorders>
            <w:shd w:val="clear" w:color="000000" w:fill="FFFFFF"/>
            <w:noWrap/>
            <w:vAlign w:val="bottom"/>
            <w:hideMark/>
          </w:tcPr>
          <w:p w14:paraId="51344336"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65</w:t>
            </w:r>
          </w:p>
        </w:tc>
        <w:tc>
          <w:tcPr>
            <w:tcW w:w="1601" w:type="dxa"/>
            <w:tcBorders>
              <w:top w:val="nil"/>
              <w:left w:val="nil"/>
              <w:bottom w:val="nil"/>
              <w:right w:val="single" w:sz="4" w:space="0" w:color="auto"/>
            </w:tcBorders>
            <w:shd w:val="clear" w:color="000000" w:fill="FFFFFF"/>
            <w:noWrap/>
            <w:vAlign w:val="bottom"/>
            <w:hideMark/>
          </w:tcPr>
          <w:p w14:paraId="5D035F75"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5.4%</w:t>
            </w:r>
          </w:p>
        </w:tc>
      </w:tr>
      <w:tr w:rsidR="00422488" w:rsidRPr="007E2527" w14:paraId="4BD48E74"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60A2CE2B"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w:t>
            </w:r>
          </w:p>
        </w:tc>
        <w:tc>
          <w:tcPr>
            <w:tcW w:w="1403" w:type="dxa"/>
            <w:tcBorders>
              <w:top w:val="nil"/>
              <w:left w:val="single" w:sz="4" w:space="0" w:color="auto"/>
              <w:bottom w:val="nil"/>
              <w:right w:val="nil"/>
            </w:tcBorders>
            <w:shd w:val="clear" w:color="000000" w:fill="FFFFFF"/>
            <w:noWrap/>
            <w:vAlign w:val="bottom"/>
            <w:hideMark/>
          </w:tcPr>
          <w:p w14:paraId="60CC3C22"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Irish</w:t>
            </w:r>
          </w:p>
        </w:tc>
        <w:tc>
          <w:tcPr>
            <w:tcW w:w="604" w:type="dxa"/>
            <w:tcBorders>
              <w:top w:val="nil"/>
              <w:left w:val="single" w:sz="4" w:space="0" w:color="auto"/>
              <w:bottom w:val="nil"/>
              <w:right w:val="nil"/>
            </w:tcBorders>
            <w:shd w:val="clear" w:color="000000" w:fill="FFFFFF"/>
            <w:noWrap/>
            <w:vAlign w:val="bottom"/>
            <w:hideMark/>
          </w:tcPr>
          <w:p w14:paraId="162BCF80"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63</w:t>
            </w:r>
          </w:p>
        </w:tc>
        <w:tc>
          <w:tcPr>
            <w:tcW w:w="1601" w:type="dxa"/>
            <w:tcBorders>
              <w:top w:val="nil"/>
              <w:left w:val="nil"/>
              <w:bottom w:val="nil"/>
              <w:right w:val="single" w:sz="4" w:space="0" w:color="auto"/>
            </w:tcBorders>
            <w:shd w:val="clear" w:color="000000" w:fill="FFFFFF"/>
            <w:noWrap/>
            <w:vAlign w:val="bottom"/>
            <w:hideMark/>
          </w:tcPr>
          <w:p w14:paraId="29C4319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5.6%</w:t>
            </w:r>
          </w:p>
        </w:tc>
        <w:tc>
          <w:tcPr>
            <w:tcW w:w="604" w:type="dxa"/>
            <w:tcBorders>
              <w:top w:val="nil"/>
              <w:left w:val="nil"/>
              <w:bottom w:val="nil"/>
              <w:right w:val="nil"/>
            </w:tcBorders>
            <w:shd w:val="clear" w:color="000000" w:fill="FFFFFF"/>
            <w:noWrap/>
            <w:vAlign w:val="bottom"/>
            <w:hideMark/>
          </w:tcPr>
          <w:p w14:paraId="66AF9B16"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61</w:t>
            </w:r>
          </w:p>
        </w:tc>
        <w:tc>
          <w:tcPr>
            <w:tcW w:w="1601" w:type="dxa"/>
            <w:tcBorders>
              <w:top w:val="nil"/>
              <w:left w:val="nil"/>
              <w:bottom w:val="nil"/>
              <w:right w:val="single" w:sz="4" w:space="0" w:color="auto"/>
            </w:tcBorders>
            <w:shd w:val="clear" w:color="000000" w:fill="FFFFFF"/>
            <w:noWrap/>
            <w:vAlign w:val="bottom"/>
            <w:hideMark/>
          </w:tcPr>
          <w:p w14:paraId="79DD9965"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5.0%</w:t>
            </w:r>
          </w:p>
        </w:tc>
        <w:tc>
          <w:tcPr>
            <w:tcW w:w="604" w:type="dxa"/>
            <w:tcBorders>
              <w:top w:val="nil"/>
              <w:left w:val="nil"/>
              <w:bottom w:val="nil"/>
              <w:right w:val="nil"/>
            </w:tcBorders>
            <w:shd w:val="clear" w:color="000000" w:fill="FFFFFF"/>
            <w:noWrap/>
            <w:vAlign w:val="bottom"/>
            <w:hideMark/>
          </w:tcPr>
          <w:p w14:paraId="4552A1F1"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61</w:t>
            </w:r>
          </w:p>
        </w:tc>
        <w:tc>
          <w:tcPr>
            <w:tcW w:w="1601" w:type="dxa"/>
            <w:tcBorders>
              <w:top w:val="nil"/>
              <w:left w:val="nil"/>
              <w:bottom w:val="nil"/>
              <w:right w:val="single" w:sz="4" w:space="0" w:color="auto"/>
            </w:tcBorders>
            <w:shd w:val="clear" w:color="000000" w:fill="FFFFFF"/>
            <w:noWrap/>
            <w:vAlign w:val="bottom"/>
            <w:hideMark/>
          </w:tcPr>
          <w:p w14:paraId="0E1B63E9"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5.1%</w:t>
            </w:r>
          </w:p>
        </w:tc>
      </w:tr>
      <w:tr w:rsidR="00422488" w:rsidRPr="007E2527" w14:paraId="1CA07681"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3469C372"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7</w:t>
            </w:r>
          </w:p>
        </w:tc>
        <w:tc>
          <w:tcPr>
            <w:tcW w:w="1403" w:type="dxa"/>
            <w:tcBorders>
              <w:top w:val="nil"/>
              <w:left w:val="single" w:sz="4" w:space="0" w:color="auto"/>
              <w:bottom w:val="nil"/>
              <w:right w:val="nil"/>
            </w:tcBorders>
            <w:shd w:val="clear" w:color="000000" w:fill="FFFFFF"/>
            <w:noWrap/>
            <w:vAlign w:val="bottom"/>
            <w:hideMark/>
          </w:tcPr>
          <w:p w14:paraId="587BB4F2"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Greek</w:t>
            </w:r>
          </w:p>
        </w:tc>
        <w:tc>
          <w:tcPr>
            <w:tcW w:w="604" w:type="dxa"/>
            <w:tcBorders>
              <w:top w:val="nil"/>
              <w:left w:val="single" w:sz="4" w:space="0" w:color="auto"/>
              <w:bottom w:val="nil"/>
              <w:right w:val="nil"/>
            </w:tcBorders>
            <w:shd w:val="clear" w:color="000000" w:fill="FFFFFF"/>
            <w:noWrap/>
            <w:vAlign w:val="bottom"/>
            <w:hideMark/>
          </w:tcPr>
          <w:p w14:paraId="1CD97B29"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44</w:t>
            </w:r>
          </w:p>
        </w:tc>
        <w:tc>
          <w:tcPr>
            <w:tcW w:w="1601" w:type="dxa"/>
            <w:tcBorders>
              <w:top w:val="nil"/>
              <w:left w:val="nil"/>
              <w:bottom w:val="nil"/>
              <w:right w:val="single" w:sz="4" w:space="0" w:color="auto"/>
            </w:tcBorders>
            <w:shd w:val="clear" w:color="000000" w:fill="FFFFFF"/>
            <w:noWrap/>
            <w:vAlign w:val="bottom"/>
            <w:hideMark/>
          </w:tcPr>
          <w:p w14:paraId="5E56A62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3.9%</w:t>
            </w:r>
          </w:p>
        </w:tc>
        <w:tc>
          <w:tcPr>
            <w:tcW w:w="604" w:type="dxa"/>
            <w:tcBorders>
              <w:top w:val="nil"/>
              <w:left w:val="nil"/>
              <w:bottom w:val="nil"/>
              <w:right w:val="nil"/>
            </w:tcBorders>
            <w:shd w:val="clear" w:color="000000" w:fill="FFFFFF"/>
            <w:noWrap/>
            <w:vAlign w:val="bottom"/>
            <w:hideMark/>
          </w:tcPr>
          <w:p w14:paraId="3D318408"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46</w:t>
            </w:r>
          </w:p>
        </w:tc>
        <w:tc>
          <w:tcPr>
            <w:tcW w:w="1601" w:type="dxa"/>
            <w:tcBorders>
              <w:top w:val="nil"/>
              <w:left w:val="nil"/>
              <w:bottom w:val="nil"/>
              <w:right w:val="single" w:sz="4" w:space="0" w:color="auto"/>
            </w:tcBorders>
            <w:shd w:val="clear" w:color="000000" w:fill="FFFFFF"/>
            <w:noWrap/>
            <w:vAlign w:val="bottom"/>
            <w:hideMark/>
          </w:tcPr>
          <w:p w14:paraId="2FA2FA87"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3.8%</w:t>
            </w:r>
          </w:p>
        </w:tc>
        <w:tc>
          <w:tcPr>
            <w:tcW w:w="604" w:type="dxa"/>
            <w:tcBorders>
              <w:top w:val="nil"/>
              <w:left w:val="nil"/>
              <w:bottom w:val="nil"/>
              <w:right w:val="nil"/>
            </w:tcBorders>
            <w:shd w:val="clear" w:color="000000" w:fill="FFFFFF"/>
            <w:noWrap/>
            <w:vAlign w:val="bottom"/>
            <w:hideMark/>
          </w:tcPr>
          <w:p w14:paraId="1A71DBCC"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42</w:t>
            </w:r>
          </w:p>
        </w:tc>
        <w:tc>
          <w:tcPr>
            <w:tcW w:w="1601" w:type="dxa"/>
            <w:tcBorders>
              <w:top w:val="nil"/>
              <w:left w:val="nil"/>
              <w:bottom w:val="nil"/>
              <w:right w:val="single" w:sz="4" w:space="0" w:color="auto"/>
            </w:tcBorders>
            <w:shd w:val="clear" w:color="000000" w:fill="FFFFFF"/>
            <w:noWrap/>
            <w:vAlign w:val="bottom"/>
            <w:hideMark/>
          </w:tcPr>
          <w:p w14:paraId="1D09D0EB"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3.5%</w:t>
            </w:r>
          </w:p>
        </w:tc>
      </w:tr>
      <w:tr w:rsidR="00422488" w:rsidRPr="007E2527" w14:paraId="1352AC6E"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52EEF001"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8</w:t>
            </w:r>
          </w:p>
        </w:tc>
        <w:tc>
          <w:tcPr>
            <w:tcW w:w="1403" w:type="dxa"/>
            <w:tcBorders>
              <w:top w:val="nil"/>
              <w:left w:val="single" w:sz="4" w:space="0" w:color="auto"/>
              <w:bottom w:val="nil"/>
              <w:right w:val="nil"/>
            </w:tcBorders>
            <w:shd w:val="clear" w:color="000000" w:fill="FFFFFF"/>
            <w:noWrap/>
            <w:vAlign w:val="bottom"/>
            <w:hideMark/>
          </w:tcPr>
          <w:p w14:paraId="337A3898"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Spanish</w:t>
            </w:r>
          </w:p>
        </w:tc>
        <w:tc>
          <w:tcPr>
            <w:tcW w:w="604" w:type="dxa"/>
            <w:tcBorders>
              <w:top w:val="nil"/>
              <w:left w:val="single" w:sz="4" w:space="0" w:color="auto"/>
              <w:bottom w:val="nil"/>
              <w:right w:val="nil"/>
            </w:tcBorders>
            <w:shd w:val="clear" w:color="000000" w:fill="FFFFFF"/>
            <w:noWrap/>
            <w:vAlign w:val="bottom"/>
            <w:hideMark/>
          </w:tcPr>
          <w:p w14:paraId="72D9FE13"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47</w:t>
            </w:r>
          </w:p>
        </w:tc>
        <w:tc>
          <w:tcPr>
            <w:tcW w:w="1601" w:type="dxa"/>
            <w:tcBorders>
              <w:top w:val="nil"/>
              <w:left w:val="nil"/>
              <w:bottom w:val="nil"/>
              <w:right w:val="single" w:sz="4" w:space="0" w:color="auto"/>
            </w:tcBorders>
            <w:shd w:val="clear" w:color="000000" w:fill="FFFFFF"/>
            <w:noWrap/>
            <w:vAlign w:val="bottom"/>
            <w:hideMark/>
          </w:tcPr>
          <w:p w14:paraId="2FF51D75"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4.2%</w:t>
            </w:r>
          </w:p>
        </w:tc>
        <w:tc>
          <w:tcPr>
            <w:tcW w:w="604" w:type="dxa"/>
            <w:tcBorders>
              <w:top w:val="nil"/>
              <w:left w:val="nil"/>
              <w:bottom w:val="nil"/>
              <w:right w:val="nil"/>
            </w:tcBorders>
            <w:shd w:val="clear" w:color="000000" w:fill="FFFFFF"/>
            <w:noWrap/>
            <w:vAlign w:val="bottom"/>
            <w:hideMark/>
          </w:tcPr>
          <w:p w14:paraId="6977E366"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43</w:t>
            </w:r>
          </w:p>
        </w:tc>
        <w:tc>
          <w:tcPr>
            <w:tcW w:w="1601" w:type="dxa"/>
            <w:tcBorders>
              <w:top w:val="nil"/>
              <w:left w:val="nil"/>
              <w:bottom w:val="nil"/>
              <w:right w:val="single" w:sz="4" w:space="0" w:color="auto"/>
            </w:tcBorders>
            <w:shd w:val="clear" w:color="000000" w:fill="FFFFFF"/>
            <w:noWrap/>
            <w:vAlign w:val="bottom"/>
            <w:hideMark/>
          </w:tcPr>
          <w:p w14:paraId="375BAE5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3.5%</w:t>
            </w:r>
          </w:p>
        </w:tc>
        <w:tc>
          <w:tcPr>
            <w:tcW w:w="604" w:type="dxa"/>
            <w:tcBorders>
              <w:top w:val="nil"/>
              <w:left w:val="nil"/>
              <w:bottom w:val="nil"/>
              <w:right w:val="nil"/>
            </w:tcBorders>
            <w:shd w:val="clear" w:color="000000" w:fill="FFFFFF"/>
            <w:noWrap/>
            <w:vAlign w:val="bottom"/>
            <w:hideMark/>
          </w:tcPr>
          <w:p w14:paraId="533C748E"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39</w:t>
            </w:r>
          </w:p>
        </w:tc>
        <w:tc>
          <w:tcPr>
            <w:tcW w:w="1601" w:type="dxa"/>
            <w:tcBorders>
              <w:top w:val="nil"/>
              <w:left w:val="nil"/>
              <w:bottom w:val="nil"/>
              <w:right w:val="single" w:sz="4" w:space="0" w:color="auto"/>
            </w:tcBorders>
            <w:shd w:val="clear" w:color="000000" w:fill="FFFFFF"/>
            <w:noWrap/>
            <w:vAlign w:val="bottom"/>
            <w:hideMark/>
          </w:tcPr>
          <w:p w14:paraId="51505ED3"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3.3%</w:t>
            </w:r>
          </w:p>
        </w:tc>
      </w:tr>
      <w:tr w:rsidR="00422488" w:rsidRPr="007E2527" w14:paraId="752D189F" w14:textId="77777777" w:rsidTr="00422488">
        <w:trPr>
          <w:trHeight w:val="299"/>
        </w:trPr>
        <w:tc>
          <w:tcPr>
            <w:tcW w:w="1526" w:type="dxa"/>
            <w:tcBorders>
              <w:top w:val="nil"/>
              <w:left w:val="single" w:sz="4" w:space="0" w:color="auto"/>
              <w:bottom w:val="nil"/>
              <w:right w:val="nil"/>
            </w:tcBorders>
            <w:shd w:val="clear" w:color="000000" w:fill="FFFFFF"/>
            <w:noWrap/>
            <w:vAlign w:val="bottom"/>
            <w:hideMark/>
          </w:tcPr>
          <w:p w14:paraId="65ADC164"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9</w:t>
            </w:r>
          </w:p>
        </w:tc>
        <w:tc>
          <w:tcPr>
            <w:tcW w:w="1403" w:type="dxa"/>
            <w:tcBorders>
              <w:top w:val="nil"/>
              <w:left w:val="single" w:sz="4" w:space="0" w:color="auto"/>
              <w:bottom w:val="nil"/>
              <w:right w:val="nil"/>
            </w:tcBorders>
            <w:shd w:val="clear" w:color="000000" w:fill="FFFFFF"/>
            <w:noWrap/>
            <w:vAlign w:val="bottom"/>
            <w:hideMark/>
          </w:tcPr>
          <w:p w14:paraId="55E0F377"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Polish</w:t>
            </w:r>
          </w:p>
        </w:tc>
        <w:tc>
          <w:tcPr>
            <w:tcW w:w="604" w:type="dxa"/>
            <w:tcBorders>
              <w:top w:val="nil"/>
              <w:left w:val="single" w:sz="4" w:space="0" w:color="auto"/>
              <w:bottom w:val="nil"/>
              <w:right w:val="nil"/>
            </w:tcBorders>
            <w:shd w:val="clear" w:color="000000" w:fill="FFFFFF"/>
            <w:noWrap/>
            <w:vAlign w:val="bottom"/>
            <w:hideMark/>
          </w:tcPr>
          <w:p w14:paraId="31E909C7"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42</w:t>
            </w:r>
          </w:p>
        </w:tc>
        <w:tc>
          <w:tcPr>
            <w:tcW w:w="1601" w:type="dxa"/>
            <w:tcBorders>
              <w:top w:val="nil"/>
              <w:left w:val="nil"/>
              <w:bottom w:val="nil"/>
              <w:right w:val="single" w:sz="4" w:space="0" w:color="auto"/>
            </w:tcBorders>
            <w:shd w:val="clear" w:color="000000" w:fill="FFFFFF"/>
            <w:noWrap/>
            <w:vAlign w:val="bottom"/>
            <w:hideMark/>
          </w:tcPr>
          <w:p w14:paraId="5428E033"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3.7%</w:t>
            </w:r>
          </w:p>
        </w:tc>
        <w:tc>
          <w:tcPr>
            <w:tcW w:w="604" w:type="dxa"/>
            <w:tcBorders>
              <w:top w:val="nil"/>
              <w:left w:val="nil"/>
              <w:bottom w:val="nil"/>
              <w:right w:val="nil"/>
            </w:tcBorders>
            <w:shd w:val="clear" w:color="000000" w:fill="FFFFFF"/>
            <w:noWrap/>
            <w:vAlign w:val="bottom"/>
            <w:hideMark/>
          </w:tcPr>
          <w:p w14:paraId="3F2DD440"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42</w:t>
            </w:r>
          </w:p>
        </w:tc>
        <w:tc>
          <w:tcPr>
            <w:tcW w:w="1601" w:type="dxa"/>
            <w:tcBorders>
              <w:top w:val="nil"/>
              <w:left w:val="nil"/>
              <w:bottom w:val="nil"/>
              <w:right w:val="single" w:sz="4" w:space="0" w:color="auto"/>
            </w:tcBorders>
            <w:shd w:val="clear" w:color="000000" w:fill="FFFFFF"/>
            <w:noWrap/>
            <w:vAlign w:val="bottom"/>
            <w:hideMark/>
          </w:tcPr>
          <w:p w14:paraId="5C347F47"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3.4%</w:t>
            </w:r>
          </w:p>
        </w:tc>
        <w:tc>
          <w:tcPr>
            <w:tcW w:w="604" w:type="dxa"/>
            <w:tcBorders>
              <w:top w:val="nil"/>
              <w:left w:val="nil"/>
              <w:bottom w:val="nil"/>
              <w:right w:val="nil"/>
            </w:tcBorders>
            <w:shd w:val="clear" w:color="000000" w:fill="FFFFFF"/>
            <w:noWrap/>
            <w:vAlign w:val="bottom"/>
            <w:hideMark/>
          </w:tcPr>
          <w:p w14:paraId="6503B370"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38</w:t>
            </w:r>
          </w:p>
        </w:tc>
        <w:tc>
          <w:tcPr>
            <w:tcW w:w="1601" w:type="dxa"/>
            <w:tcBorders>
              <w:top w:val="nil"/>
              <w:left w:val="nil"/>
              <w:bottom w:val="nil"/>
              <w:right w:val="single" w:sz="4" w:space="0" w:color="auto"/>
            </w:tcBorders>
            <w:shd w:val="clear" w:color="000000" w:fill="FFFFFF"/>
            <w:noWrap/>
            <w:vAlign w:val="bottom"/>
            <w:hideMark/>
          </w:tcPr>
          <w:p w14:paraId="5A07B810"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3.2%</w:t>
            </w:r>
          </w:p>
        </w:tc>
      </w:tr>
      <w:tr w:rsidR="00422488" w:rsidRPr="007E2527" w14:paraId="38D41853" w14:textId="77777777" w:rsidTr="00422488">
        <w:trPr>
          <w:trHeight w:val="313"/>
        </w:trPr>
        <w:tc>
          <w:tcPr>
            <w:tcW w:w="1526" w:type="dxa"/>
            <w:tcBorders>
              <w:top w:val="nil"/>
              <w:left w:val="single" w:sz="4" w:space="0" w:color="auto"/>
              <w:bottom w:val="double" w:sz="6" w:space="0" w:color="auto"/>
              <w:right w:val="nil"/>
            </w:tcBorders>
            <w:shd w:val="clear" w:color="000000" w:fill="FFFFFF"/>
            <w:noWrap/>
            <w:vAlign w:val="bottom"/>
            <w:hideMark/>
          </w:tcPr>
          <w:p w14:paraId="5E1691A8" w14:textId="77777777" w:rsidR="00866EB4" w:rsidRPr="00866EB4" w:rsidRDefault="00866EB4" w:rsidP="00866EB4">
            <w:pPr>
              <w:spacing w:after="0" w:line="240" w:lineRule="auto"/>
              <w:jc w:val="center"/>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10</w:t>
            </w:r>
          </w:p>
        </w:tc>
        <w:tc>
          <w:tcPr>
            <w:tcW w:w="1403" w:type="dxa"/>
            <w:tcBorders>
              <w:top w:val="nil"/>
              <w:left w:val="single" w:sz="4" w:space="0" w:color="auto"/>
              <w:bottom w:val="double" w:sz="6" w:space="0" w:color="auto"/>
              <w:right w:val="nil"/>
            </w:tcBorders>
            <w:shd w:val="clear" w:color="000000" w:fill="FFFFFF"/>
            <w:noWrap/>
            <w:vAlign w:val="bottom"/>
            <w:hideMark/>
          </w:tcPr>
          <w:p w14:paraId="22DECAA7" w14:textId="77777777" w:rsidR="00866EB4" w:rsidRPr="00866EB4" w:rsidRDefault="00866EB4" w:rsidP="00866EB4">
            <w:pPr>
              <w:spacing w:after="0" w:line="240" w:lineRule="auto"/>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French</w:t>
            </w:r>
          </w:p>
        </w:tc>
        <w:tc>
          <w:tcPr>
            <w:tcW w:w="604" w:type="dxa"/>
            <w:tcBorders>
              <w:top w:val="nil"/>
              <w:left w:val="single" w:sz="4" w:space="0" w:color="auto"/>
              <w:bottom w:val="double" w:sz="6" w:space="0" w:color="auto"/>
              <w:right w:val="nil"/>
            </w:tcBorders>
            <w:shd w:val="clear" w:color="000000" w:fill="FFFFFF"/>
            <w:noWrap/>
            <w:vAlign w:val="bottom"/>
            <w:hideMark/>
          </w:tcPr>
          <w:p w14:paraId="58111C5E"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39</w:t>
            </w:r>
          </w:p>
        </w:tc>
        <w:tc>
          <w:tcPr>
            <w:tcW w:w="1601" w:type="dxa"/>
            <w:tcBorders>
              <w:top w:val="nil"/>
              <w:left w:val="nil"/>
              <w:bottom w:val="double" w:sz="6" w:space="0" w:color="auto"/>
              <w:right w:val="single" w:sz="4" w:space="0" w:color="auto"/>
            </w:tcBorders>
            <w:shd w:val="clear" w:color="000000" w:fill="FFFFFF"/>
            <w:noWrap/>
            <w:vAlign w:val="bottom"/>
            <w:hideMark/>
          </w:tcPr>
          <w:p w14:paraId="237A28B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3.4%</w:t>
            </w:r>
          </w:p>
        </w:tc>
        <w:tc>
          <w:tcPr>
            <w:tcW w:w="604" w:type="dxa"/>
            <w:tcBorders>
              <w:top w:val="nil"/>
              <w:left w:val="nil"/>
              <w:bottom w:val="double" w:sz="6" w:space="0" w:color="auto"/>
              <w:right w:val="nil"/>
            </w:tcBorders>
            <w:shd w:val="clear" w:color="000000" w:fill="FFFFFF"/>
            <w:noWrap/>
            <w:vAlign w:val="bottom"/>
            <w:hideMark/>
          </w:tcPr>
          <w:p w14:paraId="20793499"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40</w:t>
            </w:r>
          </w:p>
        </w:tc>
        <w:tc>
          <w:tcPr>
            <w:tcW w:w="1601" w:type="dxa"/>
            <w:tcBorders>
              <w:top w:val="nil"/>
              <w:left w:val="nil"/>
              <w:bottom w:val="double" w:sz="6" w:space="0" w:color="auto"/>
              <w:right w:val="single" w:sz="4" w:space="0" w:color="auto"/>
            </w:tcBorders>
            <w:shd w:val="clear" w:color="000000" w:fill="FFFFFF"/>
            <w:noWrap/>
            <w:vAlign w:val="bottom"/>
            <w:hideMark/>
          </w:tcPr>
          <w:p w14:paraId="64E3A0EE"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3.3%</w:t>
            </w:r>
          </w:p>
        </w:tc>
        <w:tc>
          <w:tcPr>
            <w:tcW w:w="604" w:type="dxa"/>
            <w:tcBorders>
              <w:top w:val="nil"/>
              <w:left w:val="nil"/>
              <w:bottom w:val="double" w:sz="6" w:space="0" w:color="auto"/>
              <w:right w:val="nil"/>
            </w:tcBorders>
            <w:shd w:val="clear" w:color="000000" w:fill="FFFFFF"/>
            <w:noWrap/>
            <w:vAlign w:val="bottom"/>
            <w:hideMark/>
          </w:tcPr>
          <w:p w14:paraId="0BA1B204"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38</w:t>
            </w:r>
          </w:p>
        </w:tc>
        <w:tc>
          <w:tcPr>
            <w:tcW w:w="1601" w:type="dxa"/>
            <w:tcBorders>
              <w:top w:val="nil"/>
              <w:left w:val="nil"/>
              <w:bottom w:val="double" w:sz="6" w:space="0" w:color="auto"/>
              <w:right w:val="single" w:sz="4" w:space="0" w:color="auto"/>
            </w:tcBorders>
            <w:shd w:val="clear" w:color="000000" w:fill="FFFFFF"/>
            <w:noWrap/>
            <w:vAlign w:val="bottom"/>
            <w:hideMark/>
          </w:tcPr>
          <w:p w14:paraId="5536F7FA" w14:textId="77777777" w:rsidR="00866EB4" w:rsidRPr="00866EB4" w:rsidRDefault="00866EB4" w:rsidP="00866EB4">
            <w:pPr>
              <w:spacing w:after="0" w:line="240" w:lineRule="auto"/>
              <w:jc w:val="right"/>
              <w:rPr>
                <w:rFonts w:asciiTheme="minorHAnsi" w:eastAsia="Times New Roman" w:hAnsiTheme="minorHAnsi" w:cs="Times New Roman"/>
                <w:color w:val="000000"/>
                <w:kern w:val="0"/>
                <w:szCs w:val="22"/>
                <w:lang w:eastAsia="en-GB"/>
                <w14:ligatures w14:val="none"/>
              </w:rPr>
            </w:pPr>
            <w:r w:rsidRPr="00866EB4">
              <w:rPr>
                <w:rFonts w:asciiTheme="minorHAnsi" w:eastAsia="Times New Roman" w:hAnsiTheme="minorHAnsi" w:cs="Times New Roman"/>
                <w:color w:val="000000"/>
                <w:kern w:val="0"/>
                <w:szCs w:val="22"/>
                <w:lang w:eastAsia="en-GB"/>
                <w14:ligatures w14:val="none"/>
              </w:rPr>
              <w:t>3.2%</w:t>
            </w:r>
          </w:p>
        </w:tc>
      </w:tr>
    </w:tbl>
    <w:p w14:paraId="4C0BEA01" w14:textId="77777777" w:rsidR="000E1A7C" w:rsidRDefault="000E1A7C" w:rsidP="00F15A2F">
      <w:pPr>
        <w:rPr>
          <w:rFonts w:asciiTheme="minorHAnsi" w:hAnsiTheme="minorHAnsi"/>
          <w:szCs w:val="22"/>
        </w:rPr>
      </w:pPr>
    </w:p>
    <w:p w14:paraId="023630BB" w14:textId="1D7C7E74" w:rsidR="003C2548" w:rsidRPr="007E2527" w:rsidRDefault="003C2548" w:rsidP="00F15A2F">
      <w:pPr>
        <w:rPr>
          <w:rFonts w:asciiTheme="minorHAnsi" w:hAnsiTheme="minorHAnsi"/>
          <w:szCs w:val="22"/>
        </w:rPr>
      </w:pPr>
      <w:r w:rsidRPr="007E2527">
        <w:rPr>
          <w:rFonts w:asciiTheme="minorHAnsi" w:hAnsiTheme="minorHAnsi"/>
          <w:szCs w:val="22"/>
        </w:rPr>
        <w:t>Note. There are 1,200 international colleagues in 2025, representing 95 different international nationalities other than 'British'.</w:t>
      </w:r>
    </w:p>
    <w:p w14:paraId="66065246" w14:textId="2816D4C6" w:rsidR="003C2548" w:rsidRPr="007E2527" w:rsidRDefault="003C2548" w:rsidP="003C2548">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nationality and occupation, 2025 (N=6,241)</w:t>
      </w:r>
    </w:p>
    <w:tbl>
      <w:tblPr>
        <w:tblW w:w="7524" w:type="dxa"/>
        <w:tblLayout w:type="fixed"/>
        <w:tblLook w:val="04A0" w:firstRow="1" w:lastRow="0" w:firstColumn="1" w:lastColumn="0" w:noHBand="0" w:noVBand="1"/>
      </w:tblPr>
      <w:tblGrid>
        <w:gridCol w:w="1644"/>
        <w:gridCol w:w="980"/>
        <w:gridCol w:w="980"/>
        <w:gridCol w:w="980"/>
        <w:gridCol w:w="980"/>
        <w:gridCol w:w="980"/>
        <w:gridCol w:w="980"/>
      </w:tblGrid>
      <w:tr w:rsidR="00E11E1C" w:rsidRPr="00E11E1C" w14:paraId="139ED3B8" w14:textId="77777777" w:rsidTr="00216CED">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0D0EC01D" w14:textId="77777777" w:rsidR="00E11E1C" w:rsidRPr="00E11E1C" w:rsidRDefault="00E11E1C" w:rsidP="00E11E1C">
            <w:pPr>
              <w:spacing w:after="0" w:line="240" w:lineRule="auto"/>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9ECCD83" w14:textId="77777777" w:rsidR="00E11E1C" w:rsidRPr="00E11E1C" w:rsidRDefault="00E11E1C" w:rsidP="00E11E1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Academic</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5C94DE2C" w14:textId="77777777" w:rsidR="00E11E1C" w:rsidRPr="00E11E1C" w:rsidRDefault="00E11E1C" w:rsidP="00E11E1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Research</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561C380B" w14:textId="77777777" w:rsidR="00E11E1C" w:rsidRPr="00E11E1C" w:rsidRDefault="00E11E1C" w:rsidP="00E11E1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PS</w:t>
            </w:r>
          </w:p>
        </w:tc>
      </w:tr>
      <w:tr w:rsidR="007E2527" w:rsidRPr="007E2527" w14:paraId="027DB322" w14:textId="77777777" w:rsidTr="00216CED">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4F2CE587" w14:textId="77777777" w:rsidR="00E11E1C" w:rsidRPr="00E11E1C" w:rsidRDefault="00E11E1C" w:rsidP="00E11E1C">
            <w:pPr>
              <w:spacing w:after="0" w:line="240" w:lineRule="auto"/>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086E41EA"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08E367A2"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170B591E"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29668E45"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5E6CB3A6"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0B34C532"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r>
      <w:tr w:rsidR="007E2527" w:rsidRPr="007E2527" w14:paraId="1E71CD7A"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2B4DDA06" w14:textId="77777777" w:rsidR="00E11E1C" w:rsidRPr="00E11E1C" w:rsidRDefault="00E11E1C" w:rsidP="00E11E1C">
            <w:pPr>
              <w:spacing w:after="0" w:line="240" w:lineRule="auto"/>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64B1D446"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526</w:t>
            </w:r>
          </w:p>
        </w:tc>
        <w:tc>
          <w:tcPr>
            <w:tcW w:w="980" w:type="dxa"/>
            <w:tcBorders>
              <w:top w:val="nil"/>
              <w:left w:val="nil"/>
              <w:bottom w:val="nil"/>
              <w:right w:val="single" w:sz="4" w:space="0" w:color="auto"/>
            </w:tcBorders>
            <w:shd w:val="clear" w:color="000000" w:fill="FFFFFF"/>
            <w:noWrap/>
            <w:vAlign w:val="bottom"/>
            <w:hideMark/>
          </w:tcPr>
          <w:p w14:paraId="152965D6"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28.3%</w:t>
            </w:r>
          </w:p>
        </w:tc>
        <w:tc>
          <w:tcPr>
            <w:tcW w:w="980" w:type="dxa"/>
            <w:tcBorders>
              <w:top w:val="nil"/>
              <w:left w:val="nil"/>
              <w:bottom w:val="nil"/>
              <w:right w:val="nil"/>
            </w:tcBorders>
            <w:shd w:val="clear" w:color="000000" w:fill="FFFFFF"/>
            <w:noWrap/>
            <w:vAlign w:val="bottom"/>
            <w:hideMark/>
          </w:tcPr>
          <w:p w14:paraId="70348580"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410</w:t>
            </w:r>
          </w:p>
        </w:tc>
        <w:tc>
          <w:tcPr>
            <w:tcW w:w="980" w:type="dxa"/>
            <w:tcBorders>
              <w:top w:val="nil"/>
              <w:left w:val="nil"/>
              <w:bottom w:val="nil"/>
              <w:right w:val="single" w:sz="4" w:space="0" w:color="auto"/>
            </w:tcBorders>
            <w:shd w:val="clear" w:color="000000" w:fill="FFFFFF"/>
            <w:noWrap/>
            <w:vAlign w:val="bottom"/>
            <w:hideMark/>
          </w:tcPr>
          <w:p w14:paraId="29F279A3"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41.0%</w:t>
            </w:r>
          </w:p>
        </w:tc>
        <w:tc>
          <w:tcPr>
            <w:tcW w:w="980" w:type="dxa"/>
            <w:tcBorders>
              <w:top w:val="nil"/>
              <w:left w:val="nil"/>
              <w:bottom w:val="nil"/>
              <w:right w:val="nil"/>
            </w:tcBorders>
            <w:shd w:val="clear" w:color="000000" w:fill="FFFFFF"/>
            <w:noWrap/>
            <w:vAlign w:val="bottom"/>
            <w:hideMark/>
          </w:tcPr>
          <w:p w14:paraId="563118B0"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264</w:t>
            </w:r>
          </w:p>
        </w:tc>
        <w:tc>
          <w:tcPr>
            <w:tcW w:w="980" w:type="dxa"/>
            <w:tcBorders>
              <w:top w:val="nil"/>
              <w:left w:val="nil"/>
              <w:bottom w:val="nil"/>
              <w:right w:val="single" w:sz="4" w:space="0" w:color="auto"/>
            </w:tcBorders>
            <w:shd w:val="clear" w:color="000000" w:fill="FFFFFF"/>
            <w:noWrap/>
            <w:vAlign w:val="bottom"/>
            <w:hideMark/>
          </w:tcPr>
          <w:p w14:paraId="348CF3CD"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7.8%</w:t>
            </w:r>
          </w:p>
        </w:tc>
      </w:tr>
      <w:tr w:rsidR="007E2527" w:rsidRPr="007E2527" w14:paraId="63BEAA49"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0EE4782C" w14:textId="77777777" w:rsidR="00E11E1C" w:rsidRPr="00E11E1C" w:rsidRDefault="00E11E1C" w:rsidP="00E11E1C">
            <w:pPr>
              <w:spacing w:after="0" w:line="240" w:lineRule="auto"/>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6DE2E1F6"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1334</w:t>
            </w:r>
          </w:p>
        </w:tc>
        <w:tc>
          <w:tcPr>
            <w:tcW w:w="980" w:type="dxa"/>
            <w:tcBorders>
              <w:top w:val="nil"/>
              <w:left w:val="nil"/>
              <w:bottom w:val="nil"/>
              <w:right w:val="single" w:sz="4" w:space="0" w:color="auto"/>
            </w:tcBorders>
            <w:shd w:val="clear" w:color="000000" w:fill="FFFFFF"/>
            <w:noWrap/>
            <w:vAlign w:val="bottom"/>
            <w:hideMark/>
          </w:tcPr>
          <w:p w14:paraId="34037A20"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71.7%</w:t>
            </w:r>
          </w:p>
        </w:tc>
        <w:tc>
          <w:tcPr>
            <w:tcW w:w="980" w:type="dxa"/>
            <w:tcBorders>
              <w:top w:val="nil"/>
              <w:left w:val="nil"/>
              <w:bottom w:val="nil"/>
              <w:right w:val="nil"/>
            </w:tcBorders>
            <w:shd w:val="clear" w:color="000000" w:fill="FFFFFF"/>
            <w:noWrap/>
            <w:vAlign w:val="bottom"/>
            <w:hideMark/>
          </w:tcPr>
          <w:p w14:paraId="0470FCDD"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590</w:t>
            </w:r>
          </w:p>
        </w:tc>
        <w:tc>
          <w:tcPr>
            <w:tcW w:w="980" w:type="dxa"/>
            <w:tcBorders>
              <w:top w:val="nil"/>
              <w:left w:val="nil"/>
              <w:bottom w:val="nil"/>
              <w:right w:val="single" w:sz="4" w:space="0" w:color="auto"/>
            </w:tcBorders>
            <w:shd w:val="clear" w:color="000000" w:fill="FFFFFF"/>
            <w:noWrap/>
            <w:vAlign w:val="bottom"/>
            <w:hideMark/>
          </w:tcPr>
          <w:p w14:paraId="7DA15896"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59.0%</w:t>
            </w:r>
          </w:p>
        </w:tc>
        <w:tc>
          <w:tcPr>
            <w:tcW w:w="980" w:type="dxa"/>
            <w:tcBorders>
              <w:top w:val="nil"/>
              <w:left w:val="nil"/>
              <w:bottom w:val="nil"/>
              <w:right w:val="nil"/>
            </w:tcBorders>
            <w:shd w:val="clear" w:color="000000" w:fill="FFFFFF"/>
            <w:noWrap/>
            <w:vAlign w:val="bottom"/>
            <w:hideMark/>
          </w:tcPr>
          <w:p w14:paraId="31D07C70"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3117</w:t>
            </w:r>
          </w:p>
        </w:tc>
        <w:tc>
          <w:tcPr>
            <w:tcW w:w="980" w:type="dxa"/>
            <w:tcBorders>
              <w:top w:val="nil"/>
              <w:left w:val="nil"/>
              <w:bottom w:val="nil"/>
              <w:right w:val="single" w:sz="4" w:space="0" w:color="auto"/>
            </w:tcBorders>
            <w:shd w:val="clear" w:color="000000" w:fill="FFFFFF"/>
            <w:noWrap/>
            <w:vAlign w:val="bottom"/>
            <w:hideMark/>
          </w:tcPr>
          <w:p w14:paraId="2642979A"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92.2%</w:t>
            </w:r>
          </w:p>
        </w:tc>
      </w:tr>
      <w:tr w:rsidR="007E2527" w:rsidRPr="007E2527" w14:paraId="2AD75967" w14:textId="77777777" w:rsidTr="00216CED">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2497AD54" w14:textId="77777777" w:rsidR="00E11E1C" w:rsidRPr="00E11E1C" w:rsidRDefault="00E11E1C" w:rsidP="00E11E1C">
            <w:pPr>
              <w:spacing w:after="0" w:line="240" w:lineRule="auto"/>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69E13E30"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1860</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011BAD01"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1DC8B29E"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1000</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779142B"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3B078083"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3381</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29D9FD4E"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w:t>
            </w:r>
          </w:p>
        </w:tc>
      </w:tr>
    </w:tbl>
    <w:p w14:paraId="3D29BB14" w14:textId="77777777" w:rsidR="00E11E1C" w:rsidRDefault="00E11E1C" w:rsidP="00E11E1C">
      <w:pPr>
        <w:rPr>
          <w:rFonts w:asciiTheme="minorHAnsi" w:hAnsiTheme="minorHAnsi"/>
          <w:b/>
          <w:bCs/>
          <w:szCs w:val="22"/>
        </w:rPr>
      </w:pPr>
    </w:p>
    <w:p w14:paraId="257C3D6D" w14:textId="77777777" w:rsidR="00216CED" w:rsidRPr="007E2527" w:rsidRDefault="00216CED" w:rsidP="00E11E1C">
      <w:pPr>
        <w:rPr>
          <w:rFonts w:asciiTheme="minorHAnsi" w:hAnsiTheme="minorHAnsi"/>
          <w:b/>
          <w:bCs/>
          <w:szCs w:val="22"/>
        </w:rPr>
      </w:pPr>
    </w:p>
    <w:p w14:paraId="1D7F9F13" w14:textId="08A8574C" w:rsidR="003C2548" w:rsidRPr="007E2527" w:rsidRDefault="000A3717" w:rsidP="003C2548">
      <w:pPr>
        <w:pStyle w:val="ListParagraph"/>
        <w:numPr>
          <w:ilvl w:val="2"/>
          <w:numId w:val="11"/>
        </w:numPr>
        <w:rPr>
          <w:rFonts w:asciiTheme="minorHAnsi" w:hAnsiTheme="minorHAnsi"/>
          <w:b/>
          <w:bCs/>
          <w:szCs w:val="22"/>
        </w:rPr>
      </w:pPr>
      <w:r w:rsidRPr="007E2527">
        <w:rPr>
          <w:rFonts w:asciiTheme="minorHAnsi" w:hAnsiTheme="minorHAnsi"/>
          <w:b/>
          <w:bCs/>
          <w:szCs w:val="22"/>
        </w:rPr>
        <w:t>PS colleagues only by nationality and job family, 2025 (n=3,381)</w:t>
      </w:r>
    </w:p>
    <w:tbl>
      <w:tblPr>
        <w:tblW w:w="9484" w:type="dxa"/>
        <w:tblLayout w:type="fixed"/>
        <w:tblLook w:val="04A0" w:firstRow="1" w:lastRow="0" w:firstColumn="1" w:lastColumn="0" w:noHBand="0" w:noVBand="1"/>
      </w:tblPr>
      <w:tblGrid>
        <w:gridCol w:w="1644"/>
        <w:gridCol w:w="980"/>
        <w:gridCol w:w="980"/>
        <w:gridCol w:w="980"/>
        <w:gridCol w:w="980"/>
        <w:gridCol w:w="980"/>
        <w:gridCol w:w="980"/>
        <w:gridCol w:w="980"/>
        <w:gridCol w:w="980"/>
      </w:tblGrid>
      <w:tr w:rsidR="00E11E1C" w:rsidRPr="00E11E1C" w14:paraId="40B2933A" w14:textId="77777777" w:rsidTr="00216CED">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2EFF2D0F" w14:textId="77777777" w:rsidR="00E11E1C" w:rsidRPr="00E11E1C" w:rsidRDefault="00E11E1C" w:rsidP="00E11E1C">
            <w:pPr>
              <w:spacing w:after="0" w:line="240" w:lineRule="auto"/>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E7065EE" w14:textId="77777777" w:rsidR="00E11E1C" w:rsidRPr="00E11E1C" w:rsidRDefault="00E11E1C" w:rsidP="00E11E1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Administrative</w:t>
            </w:r>
          </w:p>
        </w:tc>
        <w:tc>
          <w:tcPr>
            <w:tcW w:w="1960" w:type="dxa"/>
            <w:gridSpan w:val="2"/>
            <w:tcBorders>
              <w:top w:val="single" w:sz="4" w:space="0" w:color="auto"/>
              <w:left w:val="nil"/>
              <w:bottom w:val="nil"/>
              <w:right w:val="nil"/>
            </w:tcBorders>
            <w:shd w:val="clear" w:color="000000" w:fill="FFFFFF"/>
            <w:noWrap/>
            <w:vAlign w:val="bottom"/>
            <w:hideMark/>
          </w:tcPr>
          <w:p w14:paraId="090307E6" w14:textId="77777777" w:rsidR="00E11E1C" w:rsidRPr="00E11E1C" w:rsidRDefault="00E11E1C" w:rsidP="00E11E1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Maintenance</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452AB04" w14:textId="77777777" w:rsidR="00E11E1C" w:rsidRPr="00E11E1C" w:rsidRDefault="00E11E1C" w:rsidP="00E11E1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Operational</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02779598" w14:textId="77777777" w:rsidR="00E11E1C" w:rsidRPr="00E11E1C" w:rsidRDefault="00E11E1C" w:rsidP="00E11E1C">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Specialist</w:t>
            </w:r>
          </w:p>
        </w:tc>
      </w:tr>
      <w:tr w:rsidR="00E11E1C" w:rsidRPr="007E2527" w14:paraId="02923799" w14:textId="77777777" w:rsidTr="00216CED">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1DC6FBF4" w14:textId="77777777" w:rsidR="00E11E1C" w:rsidRPr="00E11E1C" w:rsidRDefault="00E11E1C" w:rsidP="00E11E1C">
            <w:pPr>
              <w:spacing w:after="0" w:line="240" w:lineRule="auto"/>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75BC8EFD"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5DC66776"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1F7BF4E8"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716F365B"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5285253D"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58F26974"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66C46E3D"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18C617F8" w14:textId="77777777" w:rsidR="00E11E1C" w:rsidRPr="00E11E1C" w:rsidRDefault="00E11E1C" w:rsidP="00E11E1C">
            <w:pPr>
              <w:spacing w:after="0" w:line="240" w:lineRule="auto"/>
              <w:jc w:val="center"/>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r>
      <w:tr w:rsidR="00E11E1C" w:rsidRPr="007E2527" w14:paraId="799BF1AD"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3E6BAC64" w14:textId="77777777" w:rsidR="00E11E1C" w:rsidRPr="00E11E1C" w:rsidRDefault="00E11E1C" w:rsidP="00E11E1C">
            <w:pPr>
              <w:spacing w:after="0" w:line="240" w:lineRule="auto"/>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43C160EE"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158</w:t>
            </w:r>
          </w:p>
        </w:tc>
        <w:tc>
          <w:tcPr>
            <w:tcW w:w="980" w:type="dxa"/>
            <w:tcBorders>
              <w:top w:val="nil"/>
              <w:left w:val="nil"/>
              <w:bottom w:val="nil"/>
              <w:right w:val="single" w:sz="4" w:space="0" w:color="auto"/>
            </w:tcBorders>
            <w:shd w:val="clear" w:color="000000" w:fill="FFFFFF"/>
            <w:noWrap/>
            <w:vAlign w:val="bottom"/>
            <w:hideMark/>
          </w:tcPr>
          <w:p w14:paraId="6CB06AD1"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7.0%</w:t>
            </w:r>
          </w:p>
        </w:tc>
        <w:tc>
          <w:tcPr>
            <w:tcW w:w="980" w:type="dxa"/>
            <w:tcBorders>
              <w:top w:val="nil"/>
              <w:left w:val="nil"/>
              <w:bottom w:val="nil"/>
              <w:right w:val="nil"/>
            </w:tcBorders>
            <w:shd w:val="clear" w:color="000000" w:fill="FFFFFF"/>
            <w:noWrap/>
            <w:vAlign w:val="bottom"/>
            <w:hideMark/>
          </w:tcPr>
          <w:p w14:paraId="46FEC465"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&lt;7</w:t>
            </w:r>
          </w:p>
        </w:tc>
        <w:tc>
          <w:tcPr>
            <w:tcW w:w="980" w:type="dxa"/>
            <w:tcBorders>
              <w:top w:val="nil"/>
              <w:left w:val="nil"/>
              <w:bottom w:val="nil"/>
              <w:right w:val="single" w:sz="4" w:space="0" w:color="auto"/>
            </w:tcBorders>
            <w:shd w:val="clear" w:color="000000" w:fill="FFFFFF"/>
            <w:noWrap/>
            <w:vAlign w:val="bottom"/>
            <w:hideMark/>
          </w:tcPr>
          <w:p w14:paraId="36C122E5"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nil"/>
              <w:right w:val="nil"/>
            </w:tcBorders>
            <w:shd w:val="clear" w:color="000000" w:fill="FFFFFF"/>
            <w:noWrap/>
            <w:vAlign w:val="bottom"/>
            <w:hideMark/>
          </w:tcPr>
          <w:p w14:paraId="2A647A9E"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30</w:t>
            </w:r>
          </w:p>
        </w:tc>
        <w:tc>
          <w:tcPr>
            <w:tcW w:w="980" w:type="dxa"/>
            <w:tcBorders>
              <w:top w:val="nil"/>
              <w:left w:val="nil"/>
              <w:bottom w:val="nil"/>
              <w:right w:val="single" w:sz="4" w:space="0" w:color="auto"/>
            </w:tcBorders>
            <w:shd w:val="clear" w:color="000000" w:fill="FFFFFF"/>
            <w:noWrap/>
            <w:vAlign w:val="bottom"/>
            <w:hideMark/>
          </w:tcPr>
          <w:p w14:paraId="6BC0C78D"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6.1%</w:t>
            </w:r>
          </w:p>
        </w:tc>
        <w:tc>
          <w:tcPr>
            <w:tcW w:w="980" w:type="dxa"/>
            <w:tcBorders>
              <w:top w:val="nil"/>
              <w:left w:val="nil"/>
              <w:bottom w:val="nil"/>
              <w:right w:val="nil"/>
            </w:tcBorders>
            <w:shd w:val="clear" w:color="000000" w:fill="FFFFFF"/>
            <w:noWrap/>
            <w:vAlign w:val="bottom"/>
            <w:hideMark/>
          </w:tcPr>
          <w:p w14:paraId="5DB4695A"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73</w:t>
            </w:r>
          </w:p>
        </w:tc>
        <w:tc>
          <w:tcPr>
            <w:tcW w:w="980" w:type="dxa"/>
            <w:tcBorders>
              <w:top w:val="nil"/>
              <w:left w:val="nil"/>
              <w:bottom w:val="nil"/>
              <w:right w:val="single" w:sz="4" w:space="0" w:color="auto"/>
            </w:tcBorders>
            <w:shd w:val="clear" w:color="000000" w:fill="FFFFFF"/>
            <w:noWrap/>
            <w:vAlign w:val="bottom"/>
            <w:hideMark/>
          </w:tcPr>
          <w:p w14:paraId="6D3A88B8"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13.0%</w:t>
            </w:r>
          </w:p>
        </w:tc>
      </w:tr>
      <w:tr w:rsidR="00E11E1C" w:rsidRPr="007E2527" w14:paraId="771B5CA9"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6E937D58" w14:textId="77777777" w:rsidR="00E11E1C" w:rsidRPr="00E11E1C" w:rsidRDefault="00E11E1C" w:rsidP="00E11E1C">
            <w:pPr>
              <w:spacing w:after="0" w:line="240" w:lineRule="auto"/>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2B3C90C8"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2105</w:t>
            </w:r>
          </w:p>
        </w:tc>
        <w:tc>
          <w:tcPr>
            <w:tcW w:w="980" w:type="dxa"/>
            <w:tcBorders>
              <w:top w:val="nil"/>
              <w:left w:val="nil"/>
              <w:bottom w:val="nil"/>
              <w:right w:val="single" w:sz="4" w:space="0" w:color="auto"/>
            </w:tcBorders>
            <w:shd w:val="clear" w:color="000000" w:fill="FFFFFF"/>
            <w:noWrap/>
            <w:vAlign w:val="bottom"/>
            <w:hideMark/>
          </w:tcPr>
          <w:p w14:paraId="4D8B0D37"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93.0%</w:t>
            </w:r>
          </w:p>
        </w:tc>
        <w:tc>
          <w:tcPr>
            <w:tcW w:w="980" w:type="dxa"/>
            <w:tcBorders>
              <w:top w:val="nil"/>
              <w:left w:val="nil"/>
              <w:bottom w:val="nil"/>
              <w:right w:val="nil"/>
            </w:tcBorders>
            <w:shd w:val="clear" w:color="000000" w:fill="FFFFFF"/>
            <w:noWrap/>
            <w:vAlign w:val="bottom"/>
            <w:hideMark/>
          </w:tcPr>
          <w:p w14:paraId="6A86D889"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58</w:t>
            </w:r>
          </w:p>
        </w:tc>
        <w:tc>
          <w:tcPr>
            <w:tcW w:w="980" w:type="dxa"/>
            <w:tcBorders>
              <w:top w:val="nil"/>
              <w:left w:val="nil"/>
              <w:bottom w:val="nil"/>
              <w:right w:val="single" w:sz="4" w:space="0" w:color="auto"/>
            </w:tcBorders>
            <w:shd w:val="clear" w:color="000000" w:fill="FFFFFF"/>
            <w:noWrap/>
            <w:vAlign w:val="bottom"/>
            <w:hideMark/>
          </w:tcPr>
          <w:p w14:paraId="522DECA4"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95.1%</w:t>
            </w:r>
          </w:p>
        </w:tc>
        <w:tc>
          <w:tcPr>
            <w:tcW w:w="980" w:type="dxa"/>
            <w:tcBorders>
              <w:top w:val="nil"/>
              <w:left w:val="nil"/>
              <w:bottom w:val="nil"/>
              <w:right w:val="nil"/>
            </w:tcBorders>
            <w:shd w:val="clear" w:color="000000" w:fill="FFFFFF"/>
            <w:noWrap/>
            <w:vAlign w:val="bottom"/>
            <w:hideMark/>
          </w:tcPr>
          <w:p w14:paraId="46DC267F"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465</w:t>
            </w:r>
          </w:p>
        </w:tc>
        <w:tc>
          <w:tcPr>
            <w:tcW w:w="980" w:type="dxa"/>
            <w:tcBorders>
              <w:top w:val="nil"/>
              <w:left w:val="nil"/>
              <w:bottom w:val="nil"/>
              <w:right w:val="single" w:sz="4" w:space="0" w:color="auto"/>
            </w:tcBorders>
            <w:shd w:val="clear" w:color="000000" w:fill="FFFFFF"/>
            <w:noWrap/>
            <w:vAlign w:val="bottom"/>
            <w:hideMark/>
          </w:tcPr>
          <w:p w14:paraId="06BDA497"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93.9%</w:t>
            </w:r>
          </w:p>
        </w:tc>
        <w:tc>
          <w:tcPr>
            <w:tcW w:w="980" w:type="dxa"/>
            <w:tcBorders>
              <w:top w:val="nil"/>
              <w:left w:val="nil"/>
              <w:bottom w:val="nil"/>
              <w:right w:val="nil"/>
            </w:tcBorders>
            <w:shd w:val="clear" w:color="000000" w:fill="FFFFFF"/>
            <w:noWrap/>
            <w:vAlign w:val="bottom"/>
            <w:hideMark/>
          </w:tcPr>
          <w:p w14:paraId="345FEF27"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489</w:t>
            </w:r>
          </w:p>
        </w:tc>
        <w:tc>
          <w:tcPr>
            <w:tcW w:w="980" w:type="dxa"/>
            <w:tcBorders>
              <w:top w:val="nil"/>
              <w:left w:val="nil"/>
              <w:bottom w:val="nil"/>
              <w:right w:val="single" w:sz="4" w:space="0" w:color="auto"/>
            </w:tcBorders>
            <w:shd w:val="clear" w:color="000000" w:fill="FFFFFF"/>
            <w:noWrap/>
            <w:vAlign w:val="bottom"/>
            <w:hideMark/>
          </w:tcPr>
          <w:p w14:paraId="5F666AC8" w14:textId="77777777" w:rsidR="00E11E1C" w:rsidRPr="00E11E1C" w:rsidRDefault="00E11E1C" w:rsidP="00E11E1C">
            <w:pPr>
              <w:spacing w:after="0" w:line="240" w:lineRule="auto"/>
              <w:jc w:val="right"/>
              <w:rPr>
                <w:rFonts w:asciiTheme="minorHAnsi" w:eastAsia="Times New Roman" w:hAnsiTheme="minorHAnsi" w:cs="Times New Roman"/>
                <w:color w:val="000000"/>
                <w:kern w:val="0"/>
                <w:szCs w:val="22"/>
                <w:lang w:eastAsia="en-GB"/>
                <w14:ligatures w14:val="none"/>
              </w:rPr>
            </w:pPr>
            <w:r w:rsidRPr="00E11E1C">
              <w:rPr>
                <w:rFonts w:asciiTheme="minorHAnsi" w:eastAsia="Times New Roman" w:hAnsiTheme="minorHAnsi" w:cs="Times New Roman"/>
                <w:color w:val="000000"/>
                <w:kern w:val="0"/>
                <w:szCs w:val="22"/>
                <w:lang w:eastAsia="en-GB"/>
                <w14:ligatures w14:val="none"/>
              </w:rPr>
              <w:t>87.0%</w:t>
            </w:r>
          </w:p>
        </w:tc>
      </w:tr>
      <w:tr w:rsidR="00E11E1C" w:rsidRPr="007E2527" w14:paraId="379C0C95" w14:textId="77777777" w:rsidTr="00216CED">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6FBEAFB6" w14:textId="77777777" w:rsidR="00E11E1C" w:rsidRPr="00E11E1C" w:rsidRDefault="00E11E1C" w:rsidP="00E11E1C">
            <w:pPr>
              <w:spacing w:after="0" w:line="240" w:lineRule="auto"/>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0167BDC0"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2263</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03E72022"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54C8605D"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61</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2625B4F9"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0F9C7F3D"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495</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01CA0548"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3E393E86"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562</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5206A55" w14:textId="77777777" w:rsidR="00E11E1C" w:rsidRPr="00E11E1C" w:rsidRDefault="00E11E1C" w:rsidP="00E11E1C">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11E1C">
              <w:rPr>
                <w:rFonts w:asciiTheme="minorHAnsi" w:eastAsia="Times New Roman" w:hAnsiTheme="minorHAnsi" w:cs="Times New Roman"/>
                <w:b/>
                <w:bCs/>
                <w:color w:val="000000"/>
                <w:kern w:val="0"/>
                <w:szCs w:val="22"/>
                <w:lang w:eastAsia="en-GB"/>
                <w14:ligatures w14:val="none"/>
              </w:rPr>
              <w:t>100%</w:t>
            </w:r>
          </w:p>
        </w:tc>
      </w:tr>
    </w:tbl>
    <w:p w14:paraId="3B4BE7E9" w14:textId="77777777" w:rsidR="000A3717" w:rsidRDefault="000A3717" w:rsidP="000A3717">
      <w:pPr>
        <w:rPr>
          <w:rFonts w:asciiTheme="minorHAnsi" w:hAnsiTheme="minorHAnsi"/>
          <w:b/>
          <w:bCs/>
          <w:szCs w:val="22"/>
        </w:rPr>
      </w:pPr>
    </w:p>
    <w:p w14:paraId="70D6F9EE" w14:textId="77777777" w:rsidR="00216CED" w:rsidRPr="007E2527" w:rsidRDefault="00216CED" w:rsidP="000A3717">
      <w:pPr>
        <w:rPr>
          <w:rFonts w:asciiTheme="minorHAnsi" w:hAnsiTheme="minorHAnsi"/>
          <w:b/>
          <w:bCs/>
          <w:szCs w:val="22"/>
        </w:rPr>
      </w:pPr>
    </w:p>
    <w:p w14:paraId="02D4C3CF" w14:textId="333B6445" w:rsidR="000A3717" w:rsidRPr="007E2527" w:rsidRDefault="000A3717" w:rsidP="000A3717">
      <w:pPr>
        <w:pStyle w:val="ListParagraph"/>
        <w:numPr>
          <w:ilvl w:val="2"/>
          <w:numId w:val="11"/>
        </w:numPr>
        <w:rPr>
          <w:rFonts w:asciiTheme="minorHAnsi" w:hAnsiTheme="minorHAnsi"/>
          <w:b/>
          <w:bCs/>
          <w:szCs w:val="22"/>
        </w:rPr>
      </w:pPr>
      <w:r w:rsidRPr="007E2527">
        <w:rPr>
          <w:rFonts w:asciiTheme="minorHAnsi" w:hAnsiTheme="minorHAnsi"/>
          <w:b/>
          <w:bCs/>
          <w:szCs w:val="22"/>
        </w:rPr>
        <w:t>Colleagues on academic contracts (R&amp;I, T&amp;R or T&amp;S) by nationality and contract type, 2025 (n=2,865)</w:t>
      </w:r>
    </w:p>
    <w:tbl>
      <w:tblPr>
        <w:tblW w:w="7581" w:type="dxa"/>
        <w:tblLayout w:type="fixed"/>
        <w:tblLook w:val="04A0" w:firstRow="1" w:lastRow="0" w:firstColumn="1" w:lastColumn="0" w:noHBand="0" w:noVBand="1"/>
      </w:tblPr>
      <w:tblGrid>
        <w:gridCol w:w="1701"/>
        <w:gridCol w:w="980"/>
        <w:gridCol w:w="980"/>
        <w:gridCol w:w="980"/>
        <w:gridCol w:w="980"/>
        <w:gridCol w:w="980"/>
        <w:gridCol w:w="980"/>
      </w:tblGrid>
      <w:tr w:rsidR="00E63C85" w:rsidRPr="00E63C85" w14:paraId="1BC08EC5" w14:textId="77777777" w:rsidTr="00216CED">
        <w:trPr>
          <w:trHeight w:val="300"/>
        </w:trPr>
        <w:tc>
          <w:tcPr>
            <w:tcW w:w="1701" w:type="dxa"/>
            <w:tcBorders>
              <w:top w:val="single" w:sz="4" w:space="0" w:color="auto"/>
              <w:left w:val="single" w:sz="4" w:space="0" w:color="auto"/>
              <w:bottom w:val="nil"/>
              <w:right w:val="nil"/>
            </w:tcBorders>
            <w:shd w:val="clear" w:color="000000" w:fill="FFFFFF"/>
            <w:noWrap/>
            <w:vAlign w:val="bottom"/>
            <w:hideMark/>
          </w:tcPr>
          <w:p w14:paraId="7CD8FC5B"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B561BB5" w14:textId="77777777" w:rsidR="00E63C85" w:rsidRPr="00E63C85" w:rsidRDefault="00E63C85" w:rsidP="00E63C8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R&amp;I</w:t>
            </w:r>
          </w:p>
        </w:tc>
        <w:tc>
          <w:tcPr>
            <w:tcW w:w="1960" w:type="dxa"/>
            <w:gridSpan w:val="2"/>
            <w:tcBorders>
              <w:top w:val="single" w:sz="4" w:space="0" w:color="auto"/>
              <w:left w:val="nil"/>
              <w:bottom w:val="nil"/>
              <w:right w:val="nil"/>
            </w:tcBorders>
            <w:shd w:val="clear" w:color="000000" w:fill="FFFFFF"/>
            <w:noWrap/>
            <w:vAlign w:val="bottom"/>
            <w:hideMark/>
          </w:tcPr>
          <w:p w14:paraId="2171B0EB" w14:textId="77777777" w:rsidR="00E63C85" w:rsidRPr="00E63C85" w:rsidRDefault="00E63C85" w:rsidP="00E63C8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T&amp;R</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19CE9C2" w14:textId="77777777" w:rsidR="00E63C85" w:rsidRPr="00E63C85" w:rsidRDefault="00E63C85" w:rsidP="00E63C8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T&amp;S</w:t>
            </w:r>
          </w:p>
        </w:tc>
      </w:tr>
      <w:tr w:rsidR="007E2527" w:rsidRPr="007E2527" w14:paraId="77E14B70" w14:textId="77777777" w:rsidTr="00216CED">
        <w:trPr>
          <w:trHeight w:val="300"/>
        </w:trPr>
        <w:tc>
          <w:tcPr>
            <w:tcW w:w="1701" w:type="dxa"/>
            <w:tcBorders>
              <w:top w:val="nil"/>
              <w:left w:val="single" w:sz="4" w:space="0" w:color="auto"/>
              <w:bottom w:val="single" w:sz="4" w:space="0" w:color="auto"/>
              <w:right w:val="nil"/>
            </w:tcBorders>
            <w:shd w:val="clear" w:color="000000" w:fill="FFFFFF"/>
            <w:noWrap/>
            <w:vAlign w:val="bottom"/>
            <w:hideMark/>
          </w:tcPr>
          <w:p w14:paraId="4531E67F" w14:textId="77777777" w:rsidR="00E63C85" w:rsidRPr="00E63C85" w:rsidRDefault="00E63C85" w:rsidP="00E63C85">
            <w:pPr>
              <w:spacing w:after="0" w:line="240" w:lineRule="auto"/>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26646231"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7417B349"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4C45EE48"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31D31640"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0A0963C7"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25458A8F"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r>
      <w:tr w:rsidR="007E2527" w:rsidRPr="007E2527" w14:paraId="3167F080" w14:textId="77777777" w:rsidTr="00216CED">
        <w:trPr>
          <w:trHeight w:val="300"/>
        </w:trPr>
        <w:tc>
          <w:tcPr>
            <w:tcW w:w="1701" w:type="dxa"/>
            <w:tcBorders>
              <w:top w:val="nil"/>
              <w:left w:val="single" w:sz="4" w:space="0" w:color="auto"/>
              <w:bottom w:val="nil"/>
              <w:right w:val="nil"/>
            </w:tcBorders>
            <w:shd w:val="clear" w:color="000000" w:fill="FFFFFF"/>
            <w:noWrap/>
            <w:vAlign w:val="bottom"/>
            <w:hideMark/>
          </w:tcPr>
          <w:p w14:paraId="1918106F" w14:textId="77777777" w:rsidR="00E63C85" w:rsidRPr="00E63C85" w:rsidRDefault="00E63C85" w:rsidP="00E63C85">
            <w:pPr>
              <w:spacing w:after="0" w:line="240" w:lineRule="auto"/>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4B3B38D5"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410</w:t>
            </w:r>
          </w:p>
        </w:tc>
        <w:tc>
          <w:tcPr>
            <w:tcW w:w="980" w:type="dxa"/>
            <w:tcBorders>
              <w:top w:val="nil"/>
              <w:left w:val="nil"/>
              <w:bottom w:val="nil"/>
              <w:right w:val="single" w:sz="4" w:space="0" w:color="auto"/>
            </w:tcBorders>
            <w:shd w:val="clear" w:color="000000" w:fill="FFFFFF"/>
            <w:noWrap/>
            <w:vAlign w:val="bottom"/>
            <w:hideMark/>
          </w:tcPr>
          <w:p w14:paraId="3A001A4C"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40.7%</w:t>
            </w:r>
          </w:p>
        </w:tc>
        <w:tc>
          <w:tcPr>
            <w:tcW w:w="980" w:type="dxa"/>
            <w:tcBorders>
              <w:top w:val="nil"/>
              <w:left w:val="nil"/>
              <w:bottom w:val="nil"/>
              <w:right w:val="nil"/>
            </w:tcBorders>
            <w:shd w:val="clear" w:color="000000" w:fill="FFFFFF"/>
            <w:noWrap/>
            <w:vAlign w:val="bottom"/>
            <w:hideMark/>
          </w:tcPr>
          <w:p w14:paraId="30FDA40F"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424</w:t>
            </w:r>
          </w:p>
        </w:tc>
        <w:tc>
          <w:tcPr>
            <w:tcW w:w="980" w:type="dxa"/>
            <w:tcBorders>
              <w:top w:val="nil"/>
              <w:left w:val="nil"/>
              <w:bottom w:val="nil"/>
              <w:right w:val="single" w:sz="4" w:space="0" w:color="auto"/>
            </w:tcBorders>
            <w:shd w:val="clear" w:color="000000" w:fill="FFFFFF"/>
            <w:noWrap/>
            <w:vAlign w:val="bottom"/>
            <w:hideMark/>
          </w:tcPr>
          <w:p w14:paraId="0D8BB41C"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30.1%</w:t>
            </w:r>
          </w:p>
        </w:tc>
        <w:tc>
          <w:tcPr>
            <w:tcW w:w="980" w:type="dxa"/>
            <w:tcBorders>
              <w:top w:val="nil"/>
              <w:left w:val="nil"/>
              <w:bottom w:val="nil"/>
              <w:right w:val="nil"/>
            </w:tcBorders>
            <w:shd w:val="clear" w:color="000000" w:fill="FFFFFF"/>
            <w:noWrap/>
            <w:vAlign w:val="bottom"/>
            <w:hideMark/>
          </w:tcPr>
          <w:p w14:paraId="438955C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101</w:t>
            </w:r>
          </w:p>
        </w:tc>
        <w:tc>
          <w:tcPr>
            <w:tcW w:w="980" w:type="dxa"/>
            <w:tcBorders>
              <w:top w:val="nil"/>
              <w:left w:val="nil"/>
              <w:bottom w:val="nil"/>
              <w:right w:val="single" w:sz="4" w:space="0" w:color="auto"/>
            </w:tcBorders>
            <w:shd w:val="clear" w:color="000000" w:fill="FFFFFF"/>
            <w:noWrap/>
            <w:vAlign w:val="bottom"/>
            <w:hideMark/>
          </w:tcPr>
          <w:p w14:paraId="06ACE208"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22.4%</w:t>
            </w:r>
          </w:p>
        </w:tc>
      </w:tr>
      <w:tr w:rsidR="007E2527" w:rsidRPr="007E2527" w14:paraId="5C4FA7D3" w14:textId="77777777" w:rsidTr="00216CED">
        <w:trPr>
          <w:trHeight w:val="300"/>
        </w:trPr>
        <w:tc>
          <w:tcPr>
            <w:tcW w:w="1701" w:type="dxa"/>
            <w:tcBorders>
              <w:top w:val="nil"/>
              <w:left w:val="single" w:sz="4" w:space="0" w:color="auto"/>
              <w:bottom w:val="nil"/>
              <w:right w:val="nil"/>
            </w:tcBorders>
            <w:shd w:val="clear" w:color="000000" w:fill="FFFFFF"/>
            <w:noWrap/>
            <w:vAlign w:val="bottom"/>
            <w:hideMark/>
          </w:tcPr>
          <w:p w14:paraId="7B821CB0" w14:textId="77777777" w:rsidR="00E63C85" w:rsidRPr="00E63C85" w:rsidRDefault="00E63C85" w:rsidP="00E63C85">
            <w:pPr>
              <w:spacing w:after="0" w:line="240" w:lineRule="auto"/>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49938300"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597</w:t>
            </w:r>
          </w:p>
        </w:tc>
        <w:tc>
          <w:tcPr>
            <w:tcW w:w="980" w:type="dxa"/>
            <w:tcBorders>
              <w:top w:val="nil"/>
              <w:left w:val="nil"/>
              <w:bottom w:val="nil"/>
              <w:right w:val="single" w:sz="4" w:space="0" w:color="auto"/>
            </w:tcBorders>
            <w:shd w:val="clear" w:color="000000" w:fill="FFFFFF"/>
            <w:noWrap/>
            <w:vAlign w:val="bottom"/>
            <w:hideMark/>
          </w:tcPr>
          <w:p w14:paraId="3B15629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59.3%</w:t>
            </w:r>
          </w:p>
        </w:tc>
        <w:tc>
          <w:tcPr>
            <w:tcW w:w="980" w:type="dxa"/>
            <w:tcBorders>
              <w:top w:val="nil"/>
              <w:left w:val="nil"/>
              <w:bottom w:val="nil"/>
              <w:right w:val="nil"/>
            </w:tcBorders>
            <w:shd w:val="clear" w:color="000000" w:fill="FFFFFF"/>
            <w:noWrap/>
            <w:vAlign w:val="bottom"/>
            <w:hideMark/>
          </w:tcPr>
          <w:p w14:paraId="3E74925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983</w:t>
            </w:r>
          </w:p>
        </w:tc>
        <w:tc>
          <w:tcPr>
            <w:tcW w:w="980" w:type="dxa"/>
            <w:tcBorders>
              <w:top w:val="nil"/>
              <w:left w:val="nil"/>
              <w:bottom w:val="nil"/>
              <w:right w:val="single" w:sz="4" w:space="0" w:color="auto"/>
            </w:tcBorders>
            <w:shd w:val="clear" w:color="000000" w:fill="FFFFFF"/>
            <w:noWrap/>
            <w:vAlign w:val="bottom"/>
            <w:hideMark/>
          </w:tcPr>
          <w:p w14:paraId="191F4976"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69.9%</w:t>
            </w:r>
          </w:p>
        </w:tc>
        <w:tc>
          <w:tcPr>
            <w:tcW w:w="980" w:type="dxa"/>
            <w:tcBorders>
              <w:top w:val="nil"/>
              <w:left w:val="nil"/>
              <w:bottom w:val="nil"/>
              <w:right w:val="nil"/>
            </w:tcBorders>
            <w:shd w:val="clear" w:color="000000" w:fill="FFFFFF"/>
            <w:noWrap/>
            <w:vAlign w:val="bottom"/>
            <w:hideMark/>
          </w:tcPr>
          <w:p w14:paraId="6051E146"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350</w:t>
            </w:r>
          </w:p>
        </w:tc>
        <w:tc>
          <w:tcPr>
            <w:tcW w:w="980" w:type="dxa"/>
            <w:tcBorders>
              <w:top w:val="nil"/>
              <w:left w:val="nil"/>
              <w:bottom w:val="nil"/>
              <w:right w:val="single" w:sz="4" w:space="0" w:color="auto"/>
            </w:tcBorders>
            <w:shd w:val="clear" w:color="000000" w:fill="FFFFFF"/>
            <w:noWrap/>
            <w:vAlign w:val="bottom"/>
            <w:hideMark/>
          </w:tcPr>
          <w:p w14:paraId="403C171E"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77.6%</w:t>
            </w:r>
          </w:p>
        </w:tc>
      </w:tr>
      <w:tr w:rsidR="007E2527" w:rsidRPr="007E2527" w14:paraId="6DCEBD8B" w14:textId="77777777" w:rsidTr="00216CED">
        <w:trPr>
          <w:trHeight w:val="315"/>
        </w:trPr>
        <w:tc>
          <w:tcPr>
            <w:tcW w:w="1701" w:type="dxa"/>
            <w:tcBorders>
              <w:top w:val="dotted" w:sz="4" w:space="0" w:color="auto"/>
              <w:left w:val="single" w:sz="4" w:space="0" w:color="auto"/>
              <w:bottom w:val="double" w:sz="6" w:space="0" w:color="auto"/>
              <w:right w:val="nil"/>
            </w:tcBorders>
            <w:shd w:val="clear" w:color="000000" w:fill="FFFFFF"/>
            <w:noWrap/>
            <w:vAlign w:val="bottom"/>
            <w:hideMark/>
          </w:tcPr>
          <w:p w14:paraId="76E61FE4"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756270A6"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1007</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5C889633"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7EF71324"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1407</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67A64C81"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71D1D796"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451</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1A4896D2"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r>
    </w:tbl>
    <w:p w14:paraId="0208822D" w14:textId="77777777" w:rsidR="00E63C85" w:rsidRPr="007E2527" w:rsidRDefault="00E63C85" w:rsidP="000A3717">
      <w:pPr>
        <w:rPr>
          <w:rFonts w:asciiTheme="minorHAnsi" w:hAnsiTheme="minorHAnsi"/>
          <w:szCs w:val="22"/>
        </w:rPr>
      </w:pPr>
    </w:p>
    <w:p w14:paraId="07DAE7CE" w14:textId="36053D2C" w:rsidR="000A3717" w:rsidRPr="007E2527" w:rsidRDefault="00B34432" w:rsidP="000A3717">
      <w:pPr>
        <w:rPr>
          <w:rFonts w:asciiTheme="minorHAnsi" w:hAnsiTheme="minorHAnsi"/>
          <w:szCs w:val="22"/>
        </w:rPr>
      </w:pPr>
      <w:r w:rsidRPr="007E2527">
        <w:rPr>
          <w:rFonts w:asciiTheme="minorHAnsi" w:hAnsiTheme="minorHAnsi"/>
          <w:szCs w:val="22"/>
        </w:rPr>
        <w:t>Note. There are 9 PS colleagues on T&amp;R contracts included in these numbers.</w:t>
      </w:r>
    </w:p>
    <w:p w14:paraId="6E211D68" w14:textId="5088E80C" w:rsidR="00B34432" w:rsidRPr="007E2527" w:rsidRDefault="00B34432" w:rsidP="00B34432">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and nationality, and occupation, 2025 (N=6,241)</w:t>
      </w:r>
    </w:p>
    <w:tbl>
      <w:tblPr>
        <w:tblW w:w="8120" w:type="dxa"/>
        <w:tblLayout w:type="fixed"/>
        <w:tblLook w:val="04A0" w:firstRow="1" w:lastRow="0" w:firstColumn="1" w:lastColumn="0" w:noHBand="0" w:noVBand="1"/>
      </w:tblPr>
      <w:tblGrid>
        <w:gridCol w:w="2438"/>
        <w:gridCol w:w="947"/>
        <w:gridCol w:w="947"/>
        <w:gridCol w:w="947"/>
        <w:gridCol w:w="947"/>
        <w:gridCol w:w="947"/>
        <w:gridCol w:w="947"/>
      </w:tblGrid>
      <w:tr w:rsidR="00216CED" w:rsidRPr="00E63C85" w14:paraId="25BC5922" w14:textId="77777777" w:rsidTr="00216CED">
        <w:trPr>
          <w:trHeight w:val="300"/>
        </w:trPr>
        <w:tc>
          <w:tcPr>
            <w:tcW w:w="2438" w:type="dxa"/>
            <w:tcBorders>
              <w:top w:val="single" w:sz="4" w:space="0" w:color="auto"/>
              <w:left w:val="single" w:sz="4" w:space="0" w:color="auto"/>
              <w:bottom w:val="nil"/>
              <w:right w:val="nil"/>
            </w:tcBorders>
            <w:shd w:val="clear" w:color="000000" w:fill="FFFFFF"/>
            <w:noWrap/>
            <w:vAlign w:val="bottom"/>
            <w:hideMark/>
          </w:tcPr>
          <w:p w14:paraId="3DB7C76C"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1894"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E6A42C4" w14:textId="77777777" w:rsidR="00E63C85" w:rsidRPr="00E63C85" w:rsidRDefault="00E63C85" w:rsidP="00E63C8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Academic</w:t>
            </w:r>
          </w:p>
        </w:tc>
        <w:tc>
          <w:tcPr>
            <w:tcW w:w="1894" w:type="dxa"/>
            <w:gridSpan w:val="2"/>
            <w:tcBorders>
              <w:top w:val="single" w:sz="4" w:space="0" w:color="auto"/>
              <w:left w:val="nil"/>
              <w:bottom w:val="nil"/>
              <w:right w:val="nil"/>
            </w:tcBorders>
            <w:shd w:val="clear" w:color="000000" w:fill="FFFFFF"/>
            <w:noWrap/>
            <w:vAlign w:val="bottom"/>
            <w:hideMark/>
          </w:tcPr>
          <w:p w14:paraId="5D902C72" w14:textId="77777777" w:rsidR="00E63C85" w:rsidRPr="00E63C85" w:rsidRDefault="00E63C85" w:rsidP="00E63C8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Research</w:t>
            </w:r>
          </w:p>
        </w:tc>
        <w:tc>
          <w:tcPr>
            <w:tcW w:w="1894"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F060A0C" w14:textId="77777777" w:rsidR="00E63C85" w:rsidRPr="00E63C85" w:rsidRDefault="00E63C85" w:rsidP="00E63C85">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PS</w:t>
            </w:r>
          </w:p>
        </w:tc>
      </w:tr>
      <w:tr w:rsidR="00E63C85" w:rsidRPr="007E2527" w14:paraId="087329A0" w14:textId="77777777" w:rsidTr="00216CED">
        <w:trPr>
          <w:trHeight w:val="300"/>
        </w:trPr>
        <w:tc>
          <w:tcPr>
            <w:tcW w:w="2438" w:type="dxa"/>
            <w:tcBorders>
              <w:top w:val="nil"/>
              <w:left w:val="single" w:sz="4" w:space="0" w:color="auto"/>
              <w:bottom w:val="single" w:sz="4" w:space="0" w:color="auto"/>
              <w:right w:val="nil"/>
            </w:tcBorders>
            <w:shd w:val="clear" w:color="000000" w:fill="FFFFFF"/>
            <w:noWrap/>
            <w:vAlign w:val="bottom"/>
            <w:hideMark/>
          </w:tcPr>
          <w:p w14:paraId="45B4410C" w14:textId="77777777" w:rsidR="00E63C85" w:rsidRPr="00E63C85" w:rsidRDefault="00E63C85" w:rsidP="00E63C85">
            <w:pPr>
              <w:spacing w:after="0" w:line="240" w:lineRule="auto"/>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single" w:sz="4" w:space="0" w:color="auto"/>
              <w:bottom w:val="single" w:sz="4" w:space="0" w:color="auto"/>
              <w:right w:val="nil"/>
            </w:tcBorders>
            <w:shd w:val="clear" w:color="000000" w:fill="FFFFFF"/>
            <w:noWrap/>
            <w:vAlign w:val="bottom"/>
            <w:hideMark/>
          </w:tcPr>
          <w:p w14:paraId="2F303F14"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w:t>
            </w:r>
          </w:p>
        </w:tc>
        <w:tc>
          <w:tcPr>
            <w:tcW w:w="947" w:type="dxa"/>
            <w:tcBorders>
              <w:top w:val="nil"/>
              <w:left w:val="nil"/>
              <w:bottom w:val="single" w:sz="4" w:space="0" w:color="auto"/>
              <w:right w:val="single" w:sz="4" w:space="0" w:color="auto"/>
            </w:tcBorders>
            <w:shd w:val="clear" w:color="000000" w:fill="FFFFFF"/>
            <w:noWrap/>
            <w:vAlign w:val="bottom"/>
            <w:hideMark/>
          </w:tcPr>
          <w:p w14:paraId="68F0B44F"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c>
          <w:tcPr>
            <w:tcW w:w="947" w:type="dxa"/>
            <w:tcBorders>
              <w:top w:val="nil"/>
              <w:left w:val="nil"/>
              <w:bottom w:val="single" w:sz="4" w:space="0" w:color="auto"/>
              <w:right w:val="nil"/>
            </w:tcBorders>
            <w:shd w:val="clear" w:color="000000" w:fill="FFFFFF"/>
            <w:noWrap/>
            <w:vAlign w:val="bottom"/>
            <w:hideMark/>
          </w:tcPr>
          <w:p w14:paraId="754236ED"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w:t>
            </w:r>
          </w:p>
        </w:tc>
        <w:tc>
          <w:tcPr>
            <w:tcW w:w="947" w:type="dxa"/>
            <w:tcBorders>
              <w:top w:val="nil"/>
              <w:left w:val="nil"/>
              <w:bottom w:val="single" w:sz="4" w:space="0" w:color="auto"/>
              <w:right w:val="nil"/>
            </w:tcBorders>
            <w:shd w:val="clear" w:color="000000" w:fill="FFFFFF"/>
            <w:noWrap/>
            <w:vAlign w:val="bottom"/>
            <w:hideMark/>
          </w:tcPr>
          <w:p w14:paraId="08422873"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c>
          <w:tcPr>
            <w:tcW w:w="947" w:type="dxa"/>
            <w:tcBorders>
              <w:top w:val="nil"/>
              <w:left w:val="single" w:sz="4" w:space="0" w:color="auto"/>
              <w:bottom w:val="single" w:sz="4" w:space="0" w:color="auto"/>
              <w:right w:val="nil"/>
            </w:tcBorders>
            <w:shd w:val="clear" w:color="000000" w:fill="FFFFFF"/>
            <w:noWrap/>
            <w:vAlign w:val="bottom"/>
            <w:hideMark/>
          </w:tcPr>
          <w:p w14:paraId="6D166B1D"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w:t>
            </w:r>
          </w:p>
        </w:tc>
        <w:tc>
          <w:tcPr>
            <w:tcW w:w="947" w:type="dxa"/>
            <w:tcBorders>
              <w:top w:val="nil"/>
              <w:left w:val="nil"/>
              <w:bottom w:val="single" w:sz="4" w:space="0" w:color="auto"/>
              <w:right w:val="single" w:sz="4" w:space="0" w:color="auto"/>
            </w:tcBorders>
            <w:shd w:val="clear" w:color="000000" w:fill="FFFFFF"/>
            <w:noWrap/>
            <w:vAlign w:val="bottom"/>
            <w:hideMark/>
          </w:tcPr>
          <w:p w14:paraId="10181F3D" w14:textId="77777777" w:rsidR="00E63C85" w:rsidRPr="00E63C85" w:rsidRDefault="00E63C85" w:rsidP="00E63C85">
            <w:pPr>
              <w:spacing w:after="0" w:line="240" w:lineRule="auto"/>
              <w:jc w:val="center"/>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r>
      <w:tr w:rsidR="00E63C85" w:rsidRPr="007E2527" w14:paraId="41B36849"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45109706"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E63C85">
              <w:rPr>
                <w:rFonts w:asciiTheme="minorHAnsi" w:eastAsia="Times New Roman" w:hAnsiTheme="minorHAnsi" w:cs="Times New Roman"/>
                <w:b/>
                <w:bCs/>
                <w:color w:val="000000"/>
                <w:kern w:val="0"/>
                <w:szCs w:val="22"/>
                <w:lang w:eastAsia="en-GB"/>
                <w14:ligatures w14:val="none"/>
              </w:rPr>
              <w:t>HaSS</w:t>
            </w:r>
            <w:proofErr w:type="spellEnd"/>
          </w:p>
        </w:tc>
        <w:tc>
          <w:tcPr>
            <w:tcW w:w="947" w:type="dxa"/>
            <w:tcBorders>
              <w:top w:val="nil"/>
              <w:left w:val="single" w:sz="4" w:space="0" w:color="auto"/>
              <w:bottom w:val="nil"/>
              <w:right w:val="nil"/>
            </w:tcBorders>
            <w:shd w:val="clear" w:color="000000" w:fill="FFFFFF"/>
            <w:noWrap/>
            <w:vAlign w:val="bottom"/>
            <w:hideMark/>
          </w:tcPr>
          <w:p w14:paraId="287E87FD"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809</w:t>
            </w:r>
          </w:p>
        </w:tc>
        <w:tc>
          <w:tcPr>
            <w:tcW w:w="947" w:type="dxa"/>
            <w:tcBorders>
              <w:top w:val="nil"/>
              <w:left w:val="nil"/>
              <w:bottom w:val="nil"/>
              <w:right w:val="single" w:sz="4" w:space="0" w:color="auto"/>
            </w:tcBorders>
            <w:shd w:val="clear" w:color="000000" w:fill="FFFFFF"/>
            <w:noWrap/>
            <w:vAlign w:val="bottom"/>
            <w:hideMark/>
          </w:tcPr>
          <w:p w14:paraId="1933C157"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47" w:type="dxa"/>
            <w:tcBorders>
              <w:top w:val="nil"/>
              <w:left w:val="nil"/>
              <w:bottom w:val="nil"/>
              <w:right w:val="nil"/>
            </w:tcBorders>
            <w:shd w:val="clear" w:color="000000" w:fill="FFFFFF"/>
            <w:noWrap/>
            <w:vAlign w:val="bottom"/>
            <w:hideMark/>
          </w:tcPr>
          <w:p w14:paraId="718CE492"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89</w:t>
            </w:r>
          </w:p>
        </w:tc>
        <w:tc>
          <w:tcPr>
            <w:tcW w:w="947" w:type="dxa"/>
            <w:tcBorders>
              <w:top w:val="nil"/>
              <w:left w:val="nil"/>
              <w:bottom w:val="nil"/>
              <w:right w:val="nil"/>
            </w:tcBorders>
            <w:shd w:val="clear" w:color="000000" w:fill="FFFFFF"/>
            <w:noWrap/>
            <w:vAlign w:val="bottom"/>
            <w:hideMark/>
          </w:tcPr>
          <w:p w14:paraId="45299732"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47" w:type="dxa"/>
            <w:tcBorders>
              <w:top w:val="nil"/>
              <w:left w:val="single" w:sz="4" w:space="0" w:color="auto"/>
              <w:bottom w:val="nil"/>
              <w:right w:val="nil"/>
            </w:tcBorders>
            <w:shd w:val="clear" w:color="000000" w:fill="FFFFFF"/>
            <w:noWrap/>
            <w:vAlign w:val="bottom"/>
            <w:hideMark/>
          </w:tcPr>
          <w:p w14:paraId="679A3134"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297</w:t>
            </w:r>
          </w:p>
        </w:tc>
        <w:tc>
          <w:tcPr>
            <w:tcW w:w="947" w:type="dxa"/>
            <w:tcBorders>
              <w:top w:val="nil"/>
              <w:left w:val="nil"/>
              <w:bottom w:val="nil"/>
              <w:right w:val="single" w:sz="4" w:space="0" w:color="auto"/>
            </w:tcBorders>
            <w:shd w:val="clear" w:color="000000" w:fill="FFFFFF"/>
            <w:noWrap/>
            <w:vAlign w:val="bottom"/>
            <w:hideMark/>
          </w:tcPr>
          <w:p w14:paraId="215E8224"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r>
      <w:tr w:rsidR="00E63C85" w:rsidRPr="007E2527" w14:paraId="0C13D11A"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1AB47DC2"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Non-UK</w:t>
            </w:r>
          </w:p>
        </w:tc>
        <w:tc>
          <w:tcPr>
            <w:tcW w:w="947" w:type="dxa"/>
            <w:tcBorders>
              <w:top w:val="nil"/>
              <w:left w:val="single" w:sz="4" w:space="0" w:color="auto"/>
              <w:bottom w:val="nil"/>
              <w:right w:val="nil"/>
            </w:tcBorders>
            <w:shd w:val="clear" w:color="000000" w:fill="FFFFFF"/>
            <w:noWrap/>
            <w:vAlign w:val="bottom"/>
            <w:hideMark/>
          </w:tcPr>
          <w:p w14:paraId="194928A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255</w:t>
            </w:r>
          </w:p>
        </w:tc>
        <w:tc>
          <w:tcPr>
            <w:tcW w:w="947" w:type="dxa"/>
            <w:tcBorders>
              <w:top w:val="nil"/>
              <w:left w:val="nil"/>
              <w:bottom w:val="nil"/>
              <w:right w:val="single" w:sz="4" w:space="0" w:color="auto"/>
            </w:tcBorders>
            <w:shd w:val="clear" w:color="000000" w:fill="FFFFFF"/>
            <w:noWrap/>
            <w:vAlign w:val="bottom"/>
            <w:hideMark/>
          </w:tcPr>
          <w:p w14:paraId="26A9A32D"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31.5%</w:t>
            </w:r>
          </w:p>
        </w:tc>
        <w:tc>
          <w:tcPr>
            <w:tcW w:w="947" w:type="dxa"/>
            <w:tcBorders>
              <w:top w:val="nil"/>
              <w:left w:val="nil"/>
              <w:bottom w:val="nil"/>
              <w:right w:val="nil"/>
            </w:tcBorders>
            <w:shd w:val="clear" w:color="000000" w:fill="FFFFFF"/>
            <w:noWrap/>
            <w:vAlign w:val="bottom"/>
            <w:hideMark/>
          </w:tcPr>
          <w:p w14:paraId="54E5CFA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38</w:t>
            </w:r>
          </w:p>
        </w:tc>
        <w:tc>
          <w:tcPr>
            <w:tcW w:w="947" w:type="dxa"/>
            <w:tcBorders>
              <w:top w:val="nil"/>
              <w:left w:val="nil"/>
              <w:bottom w:val="nil"/>
              <w:right w:val="nil"/>
            </w:tcBorders>
            <w:shd w:val="clear" w:color="000000" w:fill="FFFFFF"/>
            <w:noWrap/>
            <w:vAlign w:val="bottom"/>
            <w:hideMark/>
          </w:tcPr>
          <w:p w14:paraId="0F5B7556"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42.7%</w:t>
            </w:r>
          </w:p>
        </w:tc>
        <w:tc>
          <w:tcPr>
            <w:tcW w:w="947" w:type="dxa"/>
            <w:tcBorders>
              <w:top w:val="nil"/>
              <w:left w:val="single" w:sz="4" w:space="0" w:color="auto"/>
              <w:bottom w:val="nil"/>
              <w:right w:val="nil"/>
            </w:tcBorders>
            <w:shd w:val="clear" w:color="000000" w:fill="FFFFFF"/>
            <w:noWrap/>
            <w:vAlign w:val="bottom"/>
            <w:hideMark/>
          </w:tcPr>
          <w:p w14:paraId="42B124E8"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20</w:t>
            </w:r>
          </w:p>
        </w:tc>
        <w:tc>
          <w:tcPr>
            <w:tcW w:w="947" w:type="dxa"/>
            <w:tcBorders>
              <w:top w:val="nil"/>
              <w:left w:val="nil"/>
              <w:bottom w:val="nil"/>
              <w:right w:val="single" w:sz="4" w:space="0" w:color="auto"/>
            </w:tcBorders>
            <w:shd w:val="clear" w:color="000000" w:fill="FFFFFF"/>
            <w:noWrap/>
            <w:vAlign w:val="bottom"/>
            <w:hideMark/>
          </w:tcPr>
          <w:p w14:paraId="20E1A8C2"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6.7%</w:t>
            </w:r>
          </w:p>
        </w:tc>
      </w:tr>
      <w:tr w:rsidR="00E63C85" w:rsidRPr="007E2527" w14:paraId="305DF8AA"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6F4995E1"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UK</w:t>
            </w:r>
          </w:p>
        </w:tc>
        <w:tc>
          <w:tcPr>
            <w:tcW w:w="947" w:type="dxa"/>
            <w:tcBorders>
              <w:top w:val="nil"/>
              <w:left w:val="single" w:sz="4" w:space="0" w:color="auto"/>
              <w:bottom w:val="nil"/>
              <w:right w:val="nil"/>
            </w:tcBorders>
            <w:shd w:val="clear" w:color="000000" w:fill="FFFFFF"/>
            <w:noWrap/>
            <w:vAlign w:val="bottom"/>
            <w:hideMark/>
          </w:tcPr>
          <w:p w14:paraId="7507C4DB"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554</w:t>
            </w:r>
          </w:p>
        </w:tc>
        <w:tc>
          <w:tcPr>
            <w:tcW w:w="947" w:type="dxa"/>
            <w:tcBorders>
              <w:top w:val="nil"/>
              <w:left w:val="nil"/>
              <w:bottom w:val="nil"/>
              <w:right w:val="single" w:sz="4" w:space="0" w:color="auto"/>
            </w:tcBorders>
            <w:shd w:val="clear" w:color="000000" w:fill="FFFFFF"/>
            <w:noWrap/>
            <w:vAlign w:val="bottom"/>
            <w:hideMark/>
          </w:tcPr>
          <w:p w14:paraId="461809F5"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68.5%</w:t>
            </w:r>
          </w:p>
        </w:tc>
        <w:tc>
          <w:tcPr>
            <w:tcW w:w="947" w:type="dxa"/>
            <w:tcBorders>
              <w:top w:val="nil"/>
              <w:left w:val="nil"/>
              <w:bottom w:val="nil"/>
              <w:right w:val="nil"/>
            </w:tcBorders>
            <w:shd w:val="clear" w:color="000000" w:fill="FFFFFF"/>
            <w:noWrap/>
            <w:vAlign w:val="bottom"/>
            <w:hideMark/>
          </w:tcPr>
          <w:p w14:paraId="2342D45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51</w:t>
            </w:r>
          </w:p>
        </w:tc>
        <w:tc>
          <w:tcPr>
            <w:tcW w:w="947" w:type="dxa"/>
            <w:tcBorders>
              <w:top w:val="nil"/>
              <w:left w:val="nil"/>
              <w:bottom w:val="nil"/>
              <w:right w:val="nil"/>
            </w:tcBorders>
            <w:shd w:val="clear" w:color="000000" w:fill="FFFFFF"/>
            <w:noWrap/>
            <w:vAlign w:val="bottom"/>
            <w:hideMark/>
          </w:tcPr>
          <w:p w14:paraId="55D913B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57.3%</w:t>
            </w:r>
          </w:p>
        </w:tc>
        <w:tc>
          <w:tcPr>
            <w:tcW w:w="947" w:type="dxa"/>
            <w:tcBorders>
              <w:top w:val="nil"/>
              <w:left w:val="single" w:sz="4" w:space="0" w:color="auto"/>
              <w:bottom w:val="nil"/>
              <w:right w:val="nil"/>
            </w:tcBorders>
            <w:shd w:val="clear" w:color="000000" w:fill="FFFFFF"/>
            <w:noWrap/>
            <w:vAlign w:val="bottom"/>
            <w:hideMark/>
          </w:tcPr>
          <w:p w14:paraId="03D6A5A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277</w:t>
            </w:r>
          </w:p>
        </w:tc>
        <w:tc>
          <w:tcPr>
            <w:tcW w:w="947" w:type="dxa"/>
            <w:tcBorders>
              <w:top w:val="nil"/>
              <w:left w:val="nil"/>
              <w:bottom w:val="nil"/>
              <w:right w:val="single" w:sz="4" w:space="0" w:color="auto"/>
            </w:tcBorders>
            <w:shd w:val="clear" w:color="000000" w:fill="FFFFFF"/>
            <w:noWrap/>
            <w:vAlign w:val="bottom"/>
            <w:hideMark/>
          </w:tcPr>
          <w:p w14:paraId="5C9DE4C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93.3%</w:t>
            </w:r>
          </w:p>
        </w:tc>
      </w:tr>
      <w:tr w:rsidR="00E63C85" w:rsidRPr="007E2527" w14:paraId="2F53F734" w14:textId="77777777" w:rsidTr="00216CED">
        <w:trPr>
          <w:trHeight w:val="300"/>
        </w:trPr>
        <w:tc>
          <w:tcPr>
            <w:tcW w:w="2438" w:type="dxa"/>
            <w:tcBorders>
              <w:top w:val="dotted" w:sz="4" w:space="0" w:color="auto"/>
              <w:left w:val="single" w:sz="4" w:space="0" w:color="auto"/>
              <w:bottom w:val="nil"/>
              <w:right w:val="nil"/>
            </w:tcBorders>
            <w:shd w:val="clear" w:color="000000" w:fill="FFFFFF"/>
            <w:noWrap/>
            <w:vAlign w:val="bottom"/>
            <w:hideMark/>
          </w:tcPr>
          <w:p w14:paraId="201953D9"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FMS</w:t>
            </w:r>
          </w:p>
        </w:tc>
        <w:tc>
          <w:tcPr>
            <w:tcW w:w="947" w:type="dxa"/>
            <w:tcBorders>
              <w:top w:val="dotted" w:sz="4" w:space="0" w:color="auto"/>
              <w:left w:val="single" w:sz="4" w:space="0" w:color="auto"/>
              <w:bottom w:val="nil"/>
              <w:right w:val="nil"/>
            </w:tcBorders>
            <w:shd w:val="clear" w:color="000000" w:fill="FFFFFF"/>
            <w:noWrap/>
            <w:vAlign w:val="bottom"/>
            <w:hideMark/>
          </w:tcPr>
          <w:p w14:paraId="06B26741"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572</w:t>
            </w:r>
          </w:p>
        </w:tc>
        <w:tc>
          <w:tcPr>
            <w:tcW w:w="947" w:type="dxa"/>
            <w:tcBorders>
              <w:top w:val="dotted" w:sz="4" w:space="0" w:color="auto"/>
              <w:left w:val="nil"/>
              <w:bottom w:val="nil"/>
              <w:right w:val="single" w:sz="4" w:space="0" w:color="auto"/>
            </w:tcBorders>
            <w:shd w:val="clear" w:color="000000" w:fill="FFFFFF"/>
            <w:noWrap/>
            <w:vAlign w:val="bottom"/>
            <w:hideMark/>
          </w:tcPr>
          <w:p w14:paraId="052FDDAB"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47" w:type="dxa"/>
            <w:tcBorders>
              <w:top w:val="dotted" w:sz="4" w:space="0" w:color="auto"/>
              <w:left w:val="nil"/>
              <w:bottom w:val="nil"/>
              <w:right w:val="nil"/>
            </w:tcBorders>
            <w:shd w:val="clear" w:color="000000" w:fill="FFFFFF"/>
            <w:noWrap/>
            <w:vAlign w:val="bottom"/>
            <w:hideMark/>
          </w:tcPr>
          <w:p w14:paraId="18578D50"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620</w:t>
            </w:r>
          </w:p>
        </w:tc>
        <w:tc>
          <w:tcPr>
            <w:tcW w:w="947" w:type="dxa"/>
            <w:tcBorders>
              <w:top w:val="dotted" w:sz="4" w:space="0" w:color="auto"/>
              <w:left w:val="nil"/>
              <w:bottom w:val="nil"/>
              <w:right w:val="nil"/>
            </w:tcBorders>
            <w:shd w:val="clear" w:color="000000" w:fill="FFFFFF"/>
            <w:noWrap/>
            <w:vAlign w:val="bottom"/>
            <w:hideMark/>
          </w:tcPr>
          <w:p w14:paraId="71D505A2"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47" w:type="dxa"/>
            <w:tcBorders>
              <w:top w:val="dotted" w:sz="4" w:space="0" w:color="auto"/>
              <w:left w:val="single" w:sz="4" w:space="0" w:color="auto"/>
              <w:bottom w:val="nil"/>
              <w:right w:val="nil"/>
            </w:tcBorders>
            <w:shd w:val="clear" w:color="000000" w:fill="FFFFFF"/>
            <w:noWrap/>
            <w:vAlign w:val="bottom"/>
            <w:hideMark/>
          </w:tcPr>
          <w:p w14:paraId="1446144F"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683</w:t>
            </w:r>
          </w:p>
        </w:tc>
        <w:tc>
          <w:tcPr>
            <w:tcW w:w="947" w:type="dxa"/>
            <w:tcBorders>
              <w:top w:val="dotted" w:sz="4" w:space="0" w:color="auto"/>
              <w:left w:val="nil"/>
              <w:bottom w:val="nil"/>
              <w:right w:val="single" w:sz="4" w:space="0" w:color="auto"/>
            </w:tcBorders>
            <w:shd w:val="clear" w:color="000000" w:fill="FFFFFF"/>
            <w:noWrap/>
            <w:vAlign w:val="bottom"/>
            <w:hideMark/>
          </w:tcPr>
          <w:p w14:paraId="5F85E94C"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r>
      <w:tr w:rsidR="00E63C85" w:rsidRPr="007E2527" w14:paraId="02FDB41F"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433F63A0"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Non-UK</w:t>
            </w:r>
          </w:p>
        </w:tc>
        <w:tc>
          <w:tcPr>
            <w:tcW w:w="947" w:type="dxa"/>
            <w:tcBorders>
              <w:top w:val="nil"/>
              <w:left w:val="single" w:sz="4" w:space="0" w:color="auto"/>
              <w:bottom w:val="nil"/>
              <w:right w:val="nil"/>
            </w:tcBorders>
            <w:shd w:val="clear" w:color="000000" w:fill="FFFFFF"/>
            <w:noWrap/>
            <w:vAlign w:val="bottom"/>
            <w:hideMark/>
          </w:tcPr>
          <w:p w14:paraId="71DDD3E1"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88</w:t>
            </w:r>
          </w:p>
        </w:tc>
        <w:tc>
          <w:tcPr>
            <w:tcW w:w="947" w:type="dxa"/>
            <w:tcBorders>
              <w:top w:val="nil"/>
              <w:left w:val="nil"/>
              <w:bottom w:val="nil"/>
              <w:right w:val="single" w:sz="4" w:space="0" w:color="auto"/>
            </w:tcBorders>
            <w:shd w:val="clear" w:color="000000" w:fill="FFFFFF"/>
            <w:noWrap/>
            <w:vAlign w:val="bottom"/>
            <w:hideMark/>
          </w:tcPr>
          <w:p w14:paraId="6616480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15.4%</w:t>
            </w:r>
          </w:p>
        </w:tc>
        <w:tc>
          <w:tcPr>
            <w:tcW w:w="947" w:type="dxa"/>
            <w:tcBorders>
              <w:top w:val="nil"/>
              <w:left w:val="nil"/>
              <w:bottom w:val="nil"/>
              <w:right w:val="nil"/>
            </w:tcBorders>
            <w:shd w:val="clear" w:color="000000" w:fill="FFFFFF"/>
            <w:noWrap/>
            <w:vAlign w:val="bottom"/>
            <w:hideMark/>
          </w:tcPr>
          <w:p w14:paraId="7FD57CDE"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207</w:t>
            </w:r>
          </w:p>
        </w:tc>
        <w:tc>
          <w:tcPr>
            <w:tcW w:w="947" w:type="dxa"/>
            <w:tcBorders>
              <w:top w:val="nil"/>
              <w:left w:val="nil"/>
              <w:bottom w:val="nil"/>
              <w:right w:val="nil"/>
            </w:tcBorders>
            <w:shd w:val="clear" w:color="000000" w:fill="FFFFFF"/>
            <w:noWrap/>
            <w:vAlign w:val="bottom"/>
            <w:hideMark/>
          </w:tcPr>
          <w:p w14:paraId="3C24526D"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33.4%</w:t>
            </w:r>
          </w:p>
        </w:tc>
        <w:tc>
          <w:tcPr>
            <w:tcW w:w="947" w:type="dxa"/>
            <w:tcBorders>
              <w:top w:val="nil"/>
              <w:left w:val="single" w:sz="4" w:space="0" w:color="auto"/>
              <w:bottom w:val="nil"/>
              <w:right w:val="nil"/>
            </w:tcBorders>
            <w:shd w:val="clear" w:color="000000" w:fill="FFFFFF"/>
            <w:noWrap/>
            <w:vAlign w:val="bottom"/>
            <w:hideMark/>
          </w:tcPr>
          <w:p w14:paraId="587AEA26"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65</w:t>
            </w:r>
          </w:p>
        </w:tc>
        <w:tc>
          <w:tcPr>
            <w:tcW w:w="947" w:type="dxa"/>
            <w:tcBorders>
              <w:top w:val="nil"/>
              <w:left w:val="nil"/>
              <w:bottom w:val="nil"/>
              <w:right w:val="single" w:sz="4" w:space="0" w:color="auto"/>
            </w:tcBorders>
            <w:shd w:val="clear" w:color="000000" w:fill="FFFFFF"/>
            <w:noWrap/>
            <w:vAlign w:val="bottom"/>
            <w:hideMark/>
          </w:tcPr>
          <w:p w14:paraId="7E75A9BD"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9.5%</w:t>
            </w:r>
          </w:p>
        </w:tc>
      </w:tr>
      <w:tr w:rsidR="00E63C85" w:rsidRPr="007E2527" w14:paraId="7A619475"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59F3B17F"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UK</w:t>
            </w:r>
          </w:p>
        </w:tc>
        <w:tc>
          <w:tcPr>
            <w:tcW w:w="947" w:type="dxa"/>
            <w:tcBorders>
              <w:top w:val="nil"/>
              <w:left w:val="single" w:sz="4" w:space="0" w:color="auto"/>
              <w:bottom w:val="nil"/>
              <w:right w:val="nil"/>
            </w:tcBorders>
            <w:shd w:val="clear" w:color="000000" w:fill="FFFFFF"/>
            <w:noWrap/>
            <w:vAlign w:val="bottom"/>
            <w:hideMark/>
          </w:tcPr>
          <w:p w14:paraId="74ED43BB"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484</w:t>
            </w:r>
          </w:p>
        </w:tc>
        <w:tc>
          <w:tcPr>
            <w:tcW w:w="947" w:type="dxa"/>
            <w:tcBorders>
              <w:top w:val="nil"/>
              <w:left w:val="nil"/>
              <w:bottom w:val="nil"/>
              <w:right w:val="single" w:sz="4" w:space="0" w:color="auto"/>
            </w:tcBorders>
            <w:shd w:val="clear" w:color="000000" w:fill="FFFFFF"/>
            <w:noWrap/>
            <w:vAlign w:val="bottom"/>
            <w:hideMark/>
          </w:tcPr>
          <w:p w14:paraId="4D4C51AC"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84.6%</w:t>
            </w:r>
          </w:p>
        </w:tc>
        <w:tc>
          <w:tcPr>
            <w:tcW w:w="947" w:type="dxa"/>
            <w:tcBorders>
              <w:top w:val="nil"/>
              <w:left w:val="nil"/>
              <w:bottom w:val="nil"/>
              <w:right w:val="nil"/>
            </w:tcBorders>
            <w:shd w:val="clear" w:color="000000" w:fill="FFFFFF"/>
            <w:noWrap/>
            <w:vAlign w:val="bottom"/>
            <w:hideMark/>
          </w:tcPr>
          <w:p w14:paraId="03E60D5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413</w:t>
            </w:r>
          </w:p>
        </w:tc>
        <w:tc>
          <w:tcPr>
            <w:tcW w:w="947" w:type="dxa"/>
            <w:tcBorders>
              <w:top w:val="nil"/>
              <w:left w:val="nil"/>
              <w:bottom w:val="nil"/>
              <w:right w:val="nil"/>
            </w:tcBorders>
            <w:shd w:val="clear" w:color="000000" w:fill="FFFFFF"/>
            <w:noWrap/>
            <w:vAlign w:val="bottom"/>
            <w:hideMark/>
          </w:tcPr>
          <w:p w14:paraId="2B99FAD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66.6%</w:t>
            </w:r>
          </w:p>
        </w:tc>
        <w:tc>
          <w:tcPr>
            <w:tcW w:w="947" w:type="dxa"/>
            <w:tcBorders>
              <w:top w:val="nil"/>
              <w:left w:val="single" w:sz="4" w:space="0" w:color="auto"/>
              <w:bottom w:val="nil"/>
              <w:right w:val="nil"/>
            </w:tcBorders>
            <w:shd w:val="clear" w:color="000000" w:fill="FFFFFF"/>
            <w:noWrap/>
            <w:vAlign w:val="bottom"/>
            <w:hideMark/>
          </w:tcPr>
          <w:p w14:paraId="4D384A0B"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618</w:t>
            </w:r>
          </w:p>
        </w:tc>
        <w:tc>
          <w:tcPr>
            <w:tcW w:w="947" w:type="dxa"/>
            <w:tcBorders>
              <w:top w:val="nil"/>
              <w:left w:val="nil"/>
              <w:bottom w:val="nil"/>
              <w:right w:val="single" w:sz="4" w:space="0" w:color="auto"/>
            </w:tcBorders>
            <w:shd w:val="clear" w:color="000000" w:fill="FFFFFF"/>
            <w:noWrap/>
            <w:vAlign w:val="bottom"/>
            <w:hideMark/>
          </w:tcPr>
          <w:p w14:paraId="037D563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90.5%</w:t>
            </w:r>
          </w:p>
        </w:tc>
      </w:tr>
      <w:tr w:rsidR="00E63C85" w:rsidRPr="007E2527" w14:paraId="4F34DCCA" w14:textId="77777777" w:rsidTr="00216CED">
        <w:trPr>
          <w:trHeight w:val="300"/>
        </w:trPr>
        <w:tc>
          <w:tcPr>
            <w:tcW w:w="2438" w:type="dxa"/>
            <w:tcBorders>
              <w:top w:val="dotted" w:sz="4" w:space="0" w:color="auto"/>
              <w:left w:val="single" w:sz="4" w:space="0" w:color="auto"/>
              <w:bottom w:val="nil"/>
              <w:right w:val="nil"/>
            </w:tcBorders>
            <w:shd w:val="clear" w:color="000000" w:fill="FFFFFF"/>
            <w:noWrap/>
            <w:vAlign w:val="bottom"/>
            <w:hideMark/>
          </w:tcPr>
          <w:p w14:paraId="0C893ED9"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E63C85">
              <w:rPr>
                <w:rFonts w:asciiTheme="minorHAnsi" w:eastAsia="Times New Roman" w:hAnsiTheme="minorHAnsi" w:cs="Times New Roman"/>
                <w:b/>
                <w:bCs/>
                <w:color w:val="000000"/>
                <w:kern w:val="0"/>
                <w:szCs w:val="22"/>
                <w:lang w:eastAsia="en-GB"/>
                <w14:ligatures w14:val="none"/>
              </w:rPr>
              <w:t>SAgE</w:t>
            </w:r>
            <w:proofErr w:type="spellEnd"/>
          </w:p>
        </w:tc>
        <w:tc>
          <w:tcPr>
            <w:tcW w:w="947" w:type="dxa"/>
            <w:tcBorders>
              <w:top w:val="dotted" w:sz="4" w:space="0" w:color="auto"/>
              <w:left w:val="single" w:sz="4" w:space="0" w:color="auto"/>
              <w:bottom w:val="nil"/>
              <w:right w:val="nil"/>
            </w:tcBorders>
            <w:shd w:val="clear" w:color="000000" w:fill="FFFFFF"/>
            <w:noWrap/>
            <w:vAlign w:val="bottom"/>
            <w:hideMark/>
          </w:tcPr>
          <w:p w14:paraId="083CC581"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477</w:t>
            </w:r>
          </w:p>
        </w:tc>
        <w:tc>
          <w:tcPr>
            <w:tcW w:w="947" w:type="dxa"/>
            <w:tcBorders>
              <w:top w:val="dotted" w:sz="4" w:space="0" w:color="auto"/>
              <w:left w:val="nil"/>
              <w:bottom w:val="nil"/>
              <w:right w:val="single" w:sz="4" w:space="0" w:color="auto"/>
            </w:tcBorders>
            <w:shd w:val="clear" w:color="000000" w:fill="FFFFFF"/>
            <w:noWrap/>
            <w:vAlign w:val="bottom"/>
            <w:hideMark/>
          </w:tcPr>
          <w:p w14:paraId="1E71A1F5"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47" w:type="dxa"/>
            <w:tcBorders>
              <w:top w:val="dotted" w:sz="4" w:space="0" w:color="auto"/>
              <w:left w:val="nil"/>
              <w:bottom w:val="nil"/>
              <w:right w:val="nil"/>
            </w:tcBorders>
            <w:shd w:val="clear" w:color="000000" w:fill="FFFFFF"/>
            <w:noWrap/>
            <w:vAlign w:val="bottom"/>
            <w:hideMark/>
          </w:tcPr>
          <w:p w14:paraId="085F0169"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289</w:t>
            </w:r>
          </w:p>
        </w:tc>
        <w:tc>
          <w:tcPr>
            <w:tcW w:w="947" w:type="dxa"/>
            <w:tcBorders>
              <w:top w:val="dotted" w:sz="4" w:space="0" w:color="auto"/>
              <w:left w:val="nil"/>
              <w:bottom w:val="nil"/>
              <w:right w:val="nil"/>
            </w:tcBorders>
            <w:shd w:val="clear" w:color="000000" w:fill="FFFFFF"/>
            <w:noWrap/>
            <w:vAlign w:val="bottom"/>
            <w:hideMark/>
          </w:tcPr>
          <w:p w14:paraId="3FC5BE9C"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c>
          <w:tcPr>
            <w:tcW w:w="947" w:type="dxa"/>
            <w:tcBorders>
              <w:top w:val="dotted" w:sz="4" w:space="0" w:color="auto"/>
              <w:left w:val="single" w:sz="4" w:space="0" w:color="auto"/>
              <w:bottom w:val="nil"/>
              <w:right w:val="nil"/>
            </w:tcBorders>
            <w:shd w:val="clear" w:color="000000" w:fill="FFFFFF"/>
            <w:noWrap/>
            <w:vAlign w:val="bottom"/>
            <w:hideMark/>
          </w:tcPr>
          <w:p w14:paraId="202E399F"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368</w:t>
            </w:r>
          </w:p>
        </w:tc>
        <w:tc>
          <w:tcPr>
            <w:tcW w:w="947" w:type="dxa"/>
            <w:tcBorders>
              <w:top w:val="dotted" w:sz="4" w:space="0" w:color="auto"/>
              <w:left w:val="nil"/>
              <w:bottom w:val="nil"/>
              <w:right w:val="single" w:sz="4" w:space="0" w:color="auto"/>
            </w:tcBorders>
            <w:shd w:val="clear" w:color="000000" w:fill="FFFFFF"/>
            <w:noWrap/>
            <w:vAlign w:val="bottom"/>
            <w:hideMark/>
          </w:tcPr>
          <w:p w14:paraId="28653F29"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r>
      <w:tr w:rsidR="00E63C85" w:rsidRPr="007E2527" w14:paraId="532C1D00"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3A070381"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Non-UK</w:t>
            </w:r>
          </w:p>
        </w:tc>
        <w:tc>
          <w:tcPr>
            <w:tcW w:w="947" w:type="dxa"/>
            <w:tcBorders>
              <w:top w:val="nil"/>
              <w:left w:val="single" w:sz="4" w:space="0" w:color="auto"/>
              <w:bottom w:val="nil"/>
              <w:right w:val="nil"/>
            </w:tcBorders>
            <w:shd w:val="clear" w:color="000000" w:fill="FFFFFF"/>
            <w:noWrap/>
            <w:vAlign w:val="bottom"/>
            <w:hideMark/>
          </w:tcPr>
          <w:p w14:paraId="3A1E48B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182</w:t>
            </w:r>
          </w:p>
        </w:tc>
        <w:tc>
          <w:tcPr>
            <w:tcW w:w="947" w:type="dxa"/>
            <w:tcBorders>
              <w:top w:val="nil"/>
              <w:left w:val="nil"/>
              <w:bottom w:val="nil"/>
              <w:right w:val="single" w:sz="4" w:space="0" w:color="auto"/>
            </w:tcBorders>
            <w:shd w:val="clear" w:color="000000" w:fill="FFFFFF"/>
            <w:noWrap/>
            <w:vAlign w:val="bottom"/>
            <w:hideMark/>
          </w:tcPr>
          <w:p w14:paraId="36D7D6E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38.2%</w:t>
            </w:r>
          </w:p>
        </w:tc>
        <w:tc>
          <w:tcPr>
            <w:tcW w:w="947" w:type="dxa"/>
            <w:tcBorders>
              <w:top w:val="nil"/>
              <w:left w:val="nil"/>
              <w:bottom w:val="nil"/>
              <w:right w:val="nil"/>
            </w:tcBorders>
            <w:shd w:val="clear" w:color="000000" w:fill="FFFFFF"/>
            <w:noWrap/>
            <w:vAlign w:val="bottom"/>
            <w:hideMark/>
          </w:tcPr>
          <w:p w14:paraId="115BB6D5"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165</w:t>
            </w:r>
          </w:p>
        </w:tc>
        <w:tc>
          <w:tcPr>
            <w:tcW w:w="947" w:type="dxa"/>
            <w:tcBorders>
              <w:top w:val="nil"/>
              <w:left w:val="nil"/>
              <w:bottom w:val="nil"/>
              <w:right w:val="nil"/>
            </w:tcBorders>
            <w:shd w:val="clear" w:color="000000" w:fill="FFFFFF"/>
            <w:noWrap/>
            <w:vAlign w:val="bottom"/>
            <w:hideMark/>
          </w:tcPr>
          <w:p w14:paraId="0681C03B"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57.1%</w:t>
            </w:r>
          </w:p>
        </w:tc>
        <w:tc>
          <w:tcPr>
            <w:tcW w:w="947" w:type="dxa"/>
            <w:tcBorders>
              <w:top w:val="nil"/>
              <w:left w:val="single" w:sz="4" w:space="0" w:color="auto"/>
              <w:bottom w:val="nil"/>
              <w:right w:val="nil"/>
            </w:tcBorders>
            <w:shd w:val="clear" w:color="000000" w:fill="FFFFFF"/>
            <w:noWrap/>
            <w:vAlign w:val="bottom"/>
            <w:hideMark/>
          </w:tcPr>
          <w:p w14:paraId="3AB8496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29</w:t>
            </w:r>
          </w:p>
        </w:tc>
        <w:tc>
          <w:tcPr>
            <w:tcW w:w="947" w:type="dxa"/>
            <w:tcBorders>
              <w:top w:val="nil"/>
              <w:left w:val="nil"/>
              <w:bottom w:val="nil"/>
              <w:right w:val="single" w:sz="4" w:space="0" w:color="auto"/>
            </w:tcBorders>
            <w:shd w:val="clear" w:color="000000" w:fill="FFFFFF"/>
            <w:noWrap/>
            <w:vAlign w:val="bottom"/>
            <w:hideMark/>
          </w:tcPr>
          <w:p w14:paraId="4AE520E7"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7.9%</w:t>
            </w:r>
          </w:p>
        </w:tc>
      </w:tr>
      <w:tr w:rsidR="00E63C85" w:rsidRPr="007E2527" w14:paraId="5DF68B7B"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5E617618"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UK</w:t>
            </w:r>
          </w:p>
        </w:tc>
        <w:tc>
          <w:tcPr>
            <w:tcW w:w="947" w:type="dxa"/>
            <w:tcBorders>
              <w:top w:val="nil"/>
              <w:left w:val="single" w:sz="4" w:space="0" w:color="auto"/>
              <w:bottom w:val="nil"/>
              <w:right w:val="nil"/>
            </w:tcBorders>
            <w:shd w:val="clear" w:color="000000" w:fill="FFFFFF"/>
            <w:noWrap/>
            <w:vAlign w:val="bottom"/>
            <w:hideMark/>
          </w:tcPr>
          <w:p w14:paraId="5BFC628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295</w:t>
            </w:r>
          </w:p>
        </w:tc>
        <w:tc>
          <w:tcPr>
            <w:tcW w:w="947" w:type="dxa"/>
            <w:tcBorders>
              <w:top w:val="nil"/>
              <w:left w:val="nil"/>
              <w:bottom w:val="nil"/>
              <w:right w:val="single" w:sz="4" w:space="0" w:color="auto"/>
            </w:tcBorders>
            <w:shd w:val="clear" w:color="000000" w:fill="FFFFFF"/>
            <w:noWrap/>
            <w:vAlign w:val="bottom"/>
            <w:hideMark/>
          </w:tcPr>
          <w:p w14:paraId="7C5D309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61.8%</w:t>
            </w:r>
          </w:p>
        </w:tc>
        <w:tc>
          <w:tcPr>
            <w:tcW w:w="947" w:type="dxa"/>
            <w:tcBorders>
              <w:top w:val="nil"/>
              <w:left w:val="nil"/>
              <w:bottom w:val="nil"/>
              <w:right w:val="nil"/>
            </w:tcBorders>
            <w:shd w:val="clear" w:color="000000" w:fill="FFFFFF"/>
            <w:noWrap/>
            <w:vAlign w:val="bottom"/>
            <w:hideMark/>
          </w:tcPr>
          <w:p w14:paraId="1E1DA5E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124</w:t>
            </w:r>
          </w:p>
        </w:tc>
        <w:tc>
          <w:tcPr>
            <w:tcW w:w="947" w:type="dxa"/>
            <w:tcBorders>
              <w:top w:val="nil"/>
              <w:left w:val="nil"/>
              <w:bottom w:val="nil"/>
              <w:right w:val="nil"/>
            </w:tcBorders>
            <w:shd w:val="clear" w:color="000000" w:fill="FFFFFF"/>
            <w:noWrap/>
            <w:vAlign w:val="bottom"/>
            <w:hideMark/>
          </w:tcPr>
          <w:p w14:paraId="7272B721"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42.9%</w:t>
            </w:r>
          </w:p>
        </w:tc>
        <w:tc>
          <w:tcPr>
            <w:tcW w:w="947" w:type="dxa"/>
            <w:tcBorders>
              <w:top w:val="nil"/>
              <w:left w:val="single" w:sz="4" w:space="0" w:color="auto"/>
              <w:bottom w:val="nil"/>
              <w:right w:val="nil"/>
            </w:tcBorders>
            <w:shd w:val="clear" w:color="000000" w:fill="FFFFFF"/>
            <w:noWrap/>
            <w:vAlign w:val="bottom"/>
            <w:hideMark/>
          </w:tcPr>
          <w:p w14:paraId="35E864E0"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339</w:t>
            </w:r>
          </w:p>
        </w:tc>
        <w:tc>
          <w:tcPr>
            <w:tcW w:w="947" w:type="dxa"/>
            <w:tcBorders>
              <w:top w:val="nil"/>
              <w:left w:val="nil"/>
              <w:bottom w:val="nil"/>
              <w:right w:val="single" w:sz="4" w:space="0" w:color="auto"/>
            </w:tcBorders>
            <w:shd w:val="clear" w:color="000000" w:fill="FFFFFF"/>
            <w:noWrap/>
            <w:vAlign w:val="bottom"/>
            <w:hideMark/>
          </w:tcPr>
          <w:p w14:paraId="2F72B0D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92.1%</w:t>
            </w:r>
          </w:p>
        </w:tc>
      </w:tr>
      <w:tr w:rsidR="00E63C85" w:rsidRPr="007E2527" w14:paraId="7571FF40" w14:textId="77777777" w:rsidTr="00216CED">
        <w:trPr>
          <w:trHeight w:val="300"/>
        </w:trPr>
        <w:tc>
          <w:tcPr>
            <w:tcW w:w="2438" w:type="dxa"/>
            <w:tcBorders>
              <w:top w:val="dotted" w:sz="4" w:space="0" w:color="auto"/>
              <w:left w:val="single" w:sz="4" w:space="0" w:color="auto"/>
              <w:bottom w:val="nil"/>
              <w:right w:val="nil"/>
            </w:tcBorders>
            <w:shd w:val="clear" w:color="000000" w:fill="FFFFFF"/>
            <w:noWrap/>
            <w:vAlign w:val="bottom"/>
            <w:hideMark/>
          </w:tcPr>
          <w:p w14:paraId="5651DF0D"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Academic Hub</w:t>
            </w:r>
          </w:p>
        </w:tc>
        <w:tc>
          <w:tcPr>
            <w:tcW w:w="947" w:type="dxa"/>
            <w:tcBorders>
              <w:top w:val="dotted" w:sz="4" w:space="0" w:color="auto"/>
              <w:left w:val="single" w:sz="4" w:space="0" w:color="auto"/>
              <w:bottom w:val="nil"/>
              <w:right w:val="nil"/>
            </w:tcBorders>
            <w:shd w:val="clear" w:color="000000" w:fill="FFFFFF"/>
            <w:noWrap/>
            <w:vAlign w:val="bottom"/>
            <w:hideMark/>
          </w:tcPr>
          <w:p w14:paraId="1DE6C8BF"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&lt;7</w:t>
            </w:r>
          </w:p>
        </w:tc>
        <w:tc>
          <w:tcPr>
            <w:tcW w:w="947" w:type="dxa"/>
            <w:tcBorders>
              <w:top w:val="dotted" w:sz="4" w:space="0" w:color="auto"/>
              <w:left w:val="nil"/>
              <w:bottom w:val="nil"/>
              <w:right w:val="single" w:sz="4" w:space="0" w:color="auto"/>
            </w:tcBorders>
            <w:shd w:val="clear" w:color="000000" w:fill="FFFFFF"/>
            <w:noWrap/>
            <w:vAlign w:val="bottom"/>
            <w:hideMark/>
          </w:tcPr>
          <w:p w14:paraId="39B004C1"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w:t>
            </w:r>
          </w:p>
        </w:tc>
        <w:tc>
          <w:tcPr>
            <w:tcW w:w="947" w:type="dxa"/>
            <w:tcBorders>
              <w:top w:val="dotted" w:sz="4" w:space="0" w:color="auto"/>
              <w:left w:val="nil"/>
              <w:bottom w:val="nil"/>
              <w:right w:val="nil"/>
            </w:tcBorders>
            <w:shd w:val="clear" w:color="000000" w:fill="FFFFFF"/>
            <w:noWrap/>
            <w:vAlign w:val="bottom"/>
            <w:hideMark/>
          </w:tcPr>
          <w:p w14:paraId="30B330E3"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&lt;7</w:t>
            </w:r>
          </w:p>
        </w:tc>
        <w:tc>
          <w:tcPr>
            <w:tcW w:w="947" w:type="dxa"/>
            <w:tcBorders>
              <w:top w:val="dotted" w:sz="4" w:space="0" w:color="auto"/>
              <w:left w:val="nil"/>
              <w:bottom w:val="nil"/>
              <w:right w:val="nil"/>
            </w:tcBorders>
            <w:shd w:val="clear" w:color="000000" w:fill="FFFFFF"/>
            <w:noWrap/>
            <w:vAlign w:val="bottom"/>
            <w:hideMark/>
          </w:tcPr>
          <w:p w14:paraId="656746F5"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w:t>
            </w:r>
          </w:p>
        </w:tc>
        <w:tc>
          <w:tcPr>
            <w:tcW w:w="947" w:type="dxa"/>
            <w:tcBorders>
              <w:top w:val="dotted" w:sz="4" w:space="0" w:color="auto"/>
              <w:left w:val="single" w:sz="4" w:space="0" w:color="auto"/>
              <w:bottom w:val="nil"/>
              <w:right w:val="nil"/>
            </w:tcBorders>
            <w:shd w:val="clear" w:color="000000" w:fill="FFFFFF"/>
            <w:noWrap/>
            <w:vAlign w:val="bottom"/>
            <w:hideMark/>
          </w:tcPr>
          <w:p w14:paraId="461A24AF"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871</w:t>
            </w:r>
          </w:p>
        </w:tc>
        <w:tc>
          <w:tcPr>
            <w:tcW w:w="947" w:type="dxa"/>
            <w:tcBorders>
              <w:top w:val="dotted" w:sz="4" w:space="0" w:color="auto"/>
              <w:left w:val="nil"/>
              <w:bottom w:val="nil"/>
              <w:right w:val="single" w:sz="4" w:space="0" w:color="auto"/>
            </w:tcBorders>
            <w:shd w:val="clear" w:color="000000" w:fill="FFFFFF"/>
            <w:noWrap/>
            <w:vAlign w:val="bottom"/>
            <w:hideMark/>
          </w:tcPr>
          <w:p w14:paraId="73FE14D4"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r>
      <w:tr w:rsidR="00E63C85" w:rsidRPr="007E2527" w14:paraId="75343644"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315A2C5E"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Non-UK</w:t>
            </w:r>
          </w:p>
        </w:tc>
        <w:tc>
          <w:tcPr>
            <w:tcW w:w="947" w:type="dxa"/>
            <w:tcBorders>
              <w:top w:val="nil"/>
              <w:left w:val="single" w:sz="4" w:space="0" w:color="auto"/>
              <w:bottom w:val="nil"/>
              <w:right w:val="nil"/>
            </w:tcBorders>
            <w:shd w:val="clear" w:color="000000" w:fill="FFFFFF"/>
            <w:noWrap/>
            <w:vAlign w:val="bottom"/>
            <w:hideMark/>
          </w:tcPr>
          <w:p w14:paraId="6B64DE3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&lt;7</w:t>
            </w:r>
          </w:p>
        </w:tc>
        <w:tc>
          <w:tcPr>
            <w:tcW w:w="947" w:type="dxa"/>
            <w:tcBorders>
              <w:top w:val="nil"/>
              <w:left w:val="nil"/>
              <w:bottom w:val="nil"/>
              <w:right w:val="single" w:sz="4" w:space="0" w:color="auto"/>
            </w:tcBorders>
            <w:shd w:val="clear" w:color="000000" w:fill="FFFFFF"/>
            <w:noWrap/>
            <w:vAlign w:val="bottom"/>
            <w:hideMark/>
          </w:tcPr>
          <w:p w14:paraId="17AD3261"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c>
          <w:tcPr>
            <w:tcW w:w="947" w:type="dxa"/>
            <w:tcBorders>
              <w:top w:val="nil"/>
              <w:left w:val="nil"/>
              <w:bottom w:val="nil"/>
              <w:right w:val="nil"/>
            </w:tcBorders>
            <w:shd w:val="clear" w:color="000000" w:fill="FFFFFF"/>
            <w:noWrap/>
            <w:vAlign w:val="bottom"/>
            <w:hideMark/>
          </w:tcPr>
          <w:p w14:paraId="6A7283C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single" w:sz="4" w:space="0" w:color="auto"/>
            </w:tcBorders>
            <w:shd w:val="clear" w:color="000000" w:fill="FFFFFF"/>
            <w:noWrap/>
            <w:vAlign w:val="bottom"/>
            <w:hideMark/>
          </w:tcPr>
          <w:p w14:paraId="463699F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nil"/>
            </w:tcBorders>
            <w:shd w:val="clear" w:color="000000" w:fill="FFFFFF"/>
            <w:noWrap/>
            <w:vAlign w:val="bottom"/>
            <w:hideMark/>
          </w:tcPr>
          <w:p w14:paraId="37BDCB2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76</w:t>
            </w:r>
          </w:p>
        </w:tc>
        <w:tc>
          <w:tcPr>
            <w:tcW w:w="947" w:type="dxa"/>
            <w:tcBorders>
              <w:top w:val="nil"/>
              <w:left w:val="nil"/>
              <w:bottom w:val="nil"/>
              <w:right w:val="single" w:sz="4" w:space="0" w:color="auto"/>
            </w:tcBorders>
            <w:shd w:val="clear" w:color="000000" w:fill="FFFFFF"/>
            <w:noWrap/>
            <w:vAlign w:val="bottom"/>
            <w:hideMark/>
          </w:tcPr>
          <w:p w14:paraId="0726C3D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8.7%</w:t>
            </w:r>
          </w:p>
        </w:tc>
      </w:tr>
      <w:tr w:rsidR="00E63C85" w:rsidRPr="007E2527" w14:paraId="2F6C9732"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6F12D81E"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UK</w:t>
            </w:r>
          </w:p>
        </w:tc>
        <w:tc>
          <w:tcPr>
            <w:tcW w:w="947" w:type="dxa"/>
            <w:tcBorders>
              <w:top w:val="nil"/>
              <w:left w:val="single" w:sz="4" w:space="0" w:color="auto"/>
              <w:bottom w:val="nil"/>
              <w:right w:val="nil"/>
            </w:tcBorders>
            <w:shd w:val="clear" w:color="000000" w:fill="FFFFFF"/>
            <w:noWrap/>
            <w:vAlign w:val="bottom"/>
            <w:hideMark/>
          </w:tcPr>
          <w:p w14:paraId="40F9FC32"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&lt;7</w:t>
            </w:r>
          </w:p>
        </w:tc>
        <w:tc>
          <w:tcPr>
            <w:tcW w:w="947" w:type="dxa"/>
            <w:tcBorders>
              <w:top w:val="nil"/>
              <w:left w:val="nil"/>
              <w:bottom w:val="nil"/>
              <w:right w:val="single" w:sz="4" w:space="0" w:color="auto"/>
            </w:tcBorders>
            <w:shd w:val="clear" w:color="000000" w:fill="FFFFFF"/>
            <w:noWrap/>
            <w:vAlign w:val="bottom"/>
            <w:hideMark/>
          </w:tcPr>
          <w:p w14:paraId="514CE966"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c>
          <w:tcPr>
            <w:tcW w:w="947" w:type="dxa"/>
            <w:tcBorders>
              <w:top w:val="nil"/>
              <w:left w:val="nil"/>
              <w:bottom w:val="nil"/>
              <w:right w:val="nil"/>
            </w:tcBorders>
            <w:shd w:val="clear" w:color="000000" w:fill="FFFFFF"/>
            <w:noWrap/>
            <w:vAlign w:val="bottom"/>
            <w:hideMark/>
          </w:tcPr>
          <w:p w14:paraId="0EA2C2B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&lt;7</w:t>
            </w:r>
          </w:p>
        </w:tc>
        <w:tc>
          <w:tcPr>
            <w:tcW w:w="947" w:type="dxa"/>
            <w:tcBorders>
              <w:top w:val="nil"/>
              <w:left w:val="nil"/>
              <w:bottom w:val="nil"/>
              <w:right w:val="nil"/>
            </w:tcBorders>
            <w:shd w:val="clear" w:color="000000" w:fill="FFFFFF"/>
            <w:noWrap/>
            <w:vAlign w:val="bottom"/>
            <w:hideMark/>
          </w:tcPr>
          <w:p w14:paraId="151516CA"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c>
          <w:tcPr>
            <w:tcW w:w="947" w:type="dxa"/>
            <w:tcBorders>
              <w:top w:val="nil"/>
              <w:left w:val="single" w:sz="4" w:space="0" w:color="auto"/>
              <w:bottom w:val="nil"/>
              <w:right w:val="nil"/>
            </w:tcBorders>
            <w:shd w:val="clear" w:color="000000" w:fill="FFFFFF"/>
            <w:noWrap/>
            <w:vAlign w:val="bottom"/>
            <w:hideMark/>
          </w:tcPr>
          <w:p w14:paraId="65180638"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795</w:t>
            </w:r>
          </w:p>
        </w:tc>
        <w:tc>
          <w:tcPr>
            <w:tcW w:w="947" w:type="dxa"/>
            <w:tcBorders>
              <w:top w:val="nil"/>
              <w:left w:val="nil"/>
              <w:bottom w:val="nil"/>
              <w:right w:val="single" w:sz="4" w:space="0" w:color="auto"/>
            </w:tcBorders>
            <w:shd w:val="clear" w:color="000000" w:fill="FFFFFF"/>
            <w:noWrap/>
            <w:vAlign w:val="bottom"/>
            <w:hideMark/>
          </w:tcPr>
          <w:p w14:paraId="65B36D1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91.3%</w:t>
            </w:r>
          </w:p>
        </w:tc>
      </w:tr>
      <w:tr w:rsidR="00E63C85" w:rsidRPr="007E2527" w14:paraId="4D88A554" w14:textId="77777777" w:rsidTr="00216CED">
        <w:trPr>
          <w:trHeight w:val="300"/>
        </w:trPr>
        <w:tc>
          <w:tcPr>
            <w:tcW w:w="2438" w:type="dxa"/>
            <w:tcBorders>
              <w:top w:val="dotted" w:sz="4" w:space="0" w:color="auto"/>
              <w:left w:val="single" w:sz="4" w:space="0" w:color="auto"/>
              <w:bottom w:val="nil"/>
              <w:right w:val="nil"/>
            </w:tcBorders>
            <w:shd w:val="clear" w:color="000000" w:fill="FFFFFF"/>
            <w:noWrap/>
            <w:vAlign w:val="bottom"/>
            <w:hideMark/>
          </w:tcPr>
          <w:p w14:paraId="73F12776" w14:textId="111C68C2"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xml:space="preserve">Finance &amp; Operations </w:t>
            </w:r>
          </w:p>
        </w:tc>
        <w:tc>
          <w:tcPr>
            <w:tcW w:w="947" w:type="dxa"/>
            <w:tcBorders>
              <w:top w:val="dotted" w:sz="4" w:space="0" w:color="auto"/>
              <w:left w:val="single" w:sz="4" w:space="0" w:color="auto"/>
              <w:bottom w:val="nil"/>
              <w:right w:val="nil"/>
            </w:tcBorders>
            <w:shd w:val="clear" w:color="000000" w:fill="FFFFFF"/>
            <w:noWrap/>
            <w:vAlign w:val="bottom"/>
            <w:hideMark/>
          </w:tcPr>
          <w:p w14:paraId="0583D2F5"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nil"/>
              <w:bottom w:val="nil"/>
              <w:right w:val="single" w:sz="4" w:space="0" w:color="auto"/>
            </w:tcBorders>
            <w:shd w:val="clear" w:color="000000" w:fill="FFFFFF"/>
            <w:noWrap/>
            <w:vAlign w:val="bottom"/>
            <w:hideMark/>
          </w:tcPr>
          <w:p w14:paraId="2D40A280"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nil"/>
              <w:bottom w:val="nil"/>
              <w:right w:val="nil"/>
            </w:tcBorders>
            <w:shd w:val="clear" w:color="000000" w:fill="FFFFFF"/>
            <w:noWrap/>
            <w:vAlign w:val="bottom"/>
            <w:hideMark/>
          </w:tcPr>
          <w:p w14:paraId="23A6C365"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nil"/>
              <w:bottom w:val="nil"/>
              <w:right w:val="nil"/>
            </w:tcBorders>
            <w:shd w:val="clear" w:color="000000" w:fill="FFFFFF"/>
            <w:noWrap/>
            <w:vAlign w:val="bottom"/>
            <w:hideMark/>
          </w:tcPr>
          <w:p w14:paraId="4FA2CAB0"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single" w:sz="4" w:space="0" w:color="auto"/>
              <w:bottom w:val="nil"/>
              <w:right w:val="nil"/>
            </w:tcBorders>
            <w:shd w:val="clear" w:color="000000" w:fill="FFFFFF"/>
            <w:noWrap/>
            <w:vAlign w:val="bottom"/>
            <w:hideMark/>
          </w:tcPr>
          <w:p w14:paraId="3346A957"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1051</w:t>
            </w:r>
          </w:p>
        </w:tc>
        <w:tc>
          <w:tcPr>
            <w:tcW w:w="947" w:type="dxa"/>
            <w:tcBorders>
              <w:top w:val="dotted" w:sz="4" w:space="0" w:color="auto"/>
              <w:left w:val="nil"/>
              <w:bottom w:val="nil"/>
              <w:right w:val="single" w:sz="4" w:space="0" w:color="auto"/>
            </w:tcBorders>
            <w:shd w:val="clear" w:color="000000" w:fill="FFFFFF"/>
            <w:noWrap/>
            <w:vAlign w:val="bottom"/>
            <w:hideMark/>
          </w:tcPr>
          <w:p w14:paraId="38DB3B8F"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r>
      <w:tr w:rsidR="00E63C85" w:rsidRPr="007E2527" w14:paraId="60ED0291"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0E3B7331"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Non-UK</w:t>
            </w:r>
          </w:p>
        </w:tc>
        <w:tc>
          <w:tcPr>
            <w:tcW w:w="947" w:type="dxa"/>
            <w:tcBorders>
              <w:top w:val="nil"/>
              <w:left w:val="single" w:sz="4" w:space="0" w:color="auto"/>
              <w:bottom w:val="nil"/>
              <w:right w:val="nil"/>
            </w:tcBorders>
            <w:shd w:val="clear" w:color="000000" w:fill="FFFFFF"/>
            <w:noWrap/>
            <w:vAlign w:val="bottom"/>
            <w:hideMark/>
          </w:tcPr>
          <w:p w14:paraId="19BED2F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single" w:sz="4" w:space="0" w:color="auto"/>
            </w:tcBorders>
            <w:shd w:val="clear" w:color="000000" w:fill="FFFFFF"/>
            <w:noWrap/>
            <w:vAlign w:val="bottom"/>
            <w:hideMark/>
          </w:tcPr>
          <w:p w14:paraId="48AF9E4D"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nil"/>
            </w:tcBorders>
            <w:shd w:val="clear" w:color="000000" w:fill="FFFFFF"/>
            <w:noWrap/>
            <w:vAlign w:val="bottom"/>
            <w:hideMark/>
          </w:tcPr>
          <w:p w14:paraId="1458CAA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nil"/>
            </w:tcBorders>
            <w:shd w:val="clear" w:color="000000" w:fill="FFFFFF"/>
            <w:noWrap/>
            <w:vAlign w:val="bottom"/>
            <w:hideMark/>
          </w:tcPr>
          <w:p w14:paraId="2D62A0D0"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single" w:sz="4" w:space="0" w:color="auto"/>
              <w:bottom w:val="nil"/>
              <w:right w:val="nil"/>
            </w:tcBorders>
            <w:shd w:val="clear" w:color="000000" w:fill="FFFFFF"/>
            <w:noWrap/>
            <w:vAlign w:val="bottom"/>
            <w:hideMark/>
          </w:tcPr>
          <w:p w14:paraId="3BC01DFC"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69</w:t>
            </w:r>
          </w:p>
        </w:tc>
        <w:tc>
          <w:tcPr>
            <w:tcW w:w="947" w:type="dxa"/>
            <w:tcBorders>
              <w:top w:val="nil"/>
              <w:left w:val="nil"/>
              <w:bottom w:val="nil"/>
              <w:right w:val="single" w:sz="4" w:space="0" w:color="auto"/>
            </w:tcBorders>
            <w:shd w:val="clear" w:color="000000" w:fill="FFFFFF"/>
            <w:noWrap/>
            <w:vAlign w:val="bottom"/>
            <w:hideMark/>
          </w:tcPr>
          <w:p w14:paraId="544B1EE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6.6%</w:t>
            </w:r>
          </w:p>
        </w:tc>
      </w:tr>
      <w:tr w:rsidR="00E63C85" w:rsidRPr="007E2527" w14:paraId="6F3FFB79"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7F886A89"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UK</w:t>
            </w:r>
          </w:p>
        </w:tc>
        <w:tc>
          <w:tcPr>
            <w:tcW w:w="947" w:type="dxa"/>
            <w:tcBorders>
              <w:top w:val="nil"/>
              <w:left w:val="single" w:sz="4" w:space="0" w:color="auto"/>
              <w:bottom w:val="nil"/>
              <w:right w:val="nil"/>
            </w:tcBorders>
            <w:shd w:val="clear" w:color="000000" w:fill="FFFFFF"/>
            <w:noWrap/>
            <w:vAlign w:val="bottom"/>
            <w:hideMark/>
          </w:tcPr>
          <w:p w14:paraId="2F6BFF42"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single" w:sz="4" w:space="0" w:color="auto"/>
            </w:tcBorders>
            <w:shd w:val="clear" w:color="000000" w:fill="FFFFFF"/>
            <w:noWrap/>
            <w:vAlign w:val="bottom"/>
            <w:hideMark/>
          </w:tcPr>
          <w:p w14:paraId="5D2C599F"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nil"/>
            </w:tcBorders>
            <w:shd w:val="clear" w:color="000000" w:fill="FFFFFF"/>
            <w:noWrap/>
            <w:vAlign w:val="bottom"/>
            <w:hideMark/>
          </w:tcPr>
          <w:p w14:paraId="0977100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nil"/>
            </w:tcBorders>
            <w:shd w:val="clear" w:color="000000" w:fill="FFFFFF"/>
            <w:noWrap/>
            <w:vAlign w:val="bottom"/>
            <w:hideMark/>
          </w:tcPr>
          <w:p w14:paraId="37AE2878"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single" w:sz="4" w:space="0" w:color="auto"/>
              <w:bottom w:val="nil"/>
              <w:right w:val="nil"/>
            </w:tcBorders>
            <w:shd w:val="clear" w:color="000000" w:fill="FFFFFF"/>
            <w:noWrap/>
            <w:vAlign w:val="bottom"/>
            <w:hideMark/>
          </w:tcPr>
          <w:p w14:paraId="2F535438"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982</w:t>
            </w:r>
          </w:p>
        </w:tc>
        <w:tc>
          <w:tcPr>
            <w:tcW w:w="947" w:type="dxa"/>
            <w:tcBorders>
              <w:top w:val="nil"/>
              <w:left w:val="nil"/>
              <w:bottom w:val="nil"/>
              <w:right w:val="single" w:sz="4" w:space="0" w:color="auto"/>
            </w:tcBorders>
            <w:shd w:val="clear" w:color="000000" w:fill="FFFFFF"/>
            <w:noWrap/>
            <w:vAlign w:val="bottom"/>
            <w:hideMark/>
          </w:tcPr>
          <w:p w14:paraId="2AD2ACE8"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93.4%</w:t>
            </w:r>
          </w:p>
        </w:tc>
      </w:tr>
      <w:tr w:rsidR="00E63C85" w:rsidRPr="007E2527" w14:paraId="5FD5F6C3" w14:textId="77777777" w:rsidTr="00216CED">
        <w:trPr>
          <w:trHeight w:val="300"/>
        </w:trPr>
        <w:tc>
          <w:tcPr>
            <w:tcW w:w="2438" w:type="dxa"/>
            <w:tcBorders>
              <w:top w:val="dotted" w:sz="4" w:space="0" w:color="auto"/>
              <w:left w:val="single" w:sz="4" w:space="0" w:color="auto"/>
              <w:bottom w:val="nil"/>
              <w:right w:val="nil"/>
            </w:tcBorders>
            <w:shd w:val="clear" w:color="000000" w:fill="FFFFFF"/>
            <w:noWrap/>
            <w:vAlign w:val="bottom"/>
            <w:hideMark/>
          </w:tcPr>
          <w:p w14:paraId="049F3DD5" w14:textId="77777777" w:rsidR="00E63C85" w:rsidRPr="00E63C85" w:rsidRDefault="00E63C85" w:rsidP="00E63C85">
            <w:pPr>
              <w:spacing w:after="0" w:line="240" w:lineRule="auto"/>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People Services</w:t>
            </w:r>
          </w:p>
        </w:tc>
        <w:tc>
          <w:tcPr>
            <w:tcW w:w="947" w:type="dxa"/>
            <w:tcBorders>
              <w:top w:val="dotted" w:sz="4" w:space="0" w:color="auto"/>
              <w:left w:val="single" w:sz="4" w:space="0" w:color="auto"/>
              <w:bottom w:val="nil"/>
              <w:right w:val="nil"/>
            </w:tcBorders>
            <w:shd w:val="clear" w:color="000000" w:fill="FFFFFF"/>
            <w:noWrap/>
            <w:vAlign w:val="bottom"/>
            <w:hideMark/>
          </w:tcPr>
          <w:p w14:paraId="6C13C501"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nil"/>
              <w:bottom w:val="nil"/>
              <w:right w:val="single" w:sz="4" w:space="0" w:color="auto"/>
            </w:tcBorders>
            <w:shd w:val="clear" w:color="000000" w:fill="FFFFFF"/>
            <w:noWrap/>
            <w:vAlign w:val="bottom"/>
            <w:hideMark/>
          </w:tcPr>
          <w:p w14:paraId="4D79B325"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nil"/>
              <w:bottom w:val="nil"/>
              <w:right w:val="nil"/>
            </w:tcBorders>
            <w:shd w:val="clear" w:color="000000" w:fill="FFFFFF"/>
            <w:noWrap/>
            <w:vAlign w:val="bottom"/>
            <w:hideMark/>
          </w:tcPr>
          <w:p w14:paraId="50DA6EFA"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nil"/>
              <w:bottom w:val="nil"/>
              <w:right w:val="nil"/>
            </w:tcBorders>
            <w:shd w:val="clear" w:color="000000" w:fill="FFFFFF"/>
            <w:noWrap/>
            <w:vAlign w:val="bottom"/>
            <w:hideMark/>
          </w:tcPr>
          <w:p w14:paraId="66E0532C"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 </w:t>
            </w:r>
          </w:p>
        </w:tc>
        <w:tc>
          <w:tcPr>
            <w:tcW w:w="947" w:type="dxa"/>
            <w:tcBorders>
              <w:top w:val="dotted" w:sz="4" w:space="0" w:color="auto"/>
              <w:left w:val="single" w:sz="4" w:space="0" w:color="auto"/>
              <w:bottom w:val="nil"/>
              <w:right w:val="nil"/>
            </w:tcBorders>
            <w:shd w:val="clear" w:color="000000" w:fill="FFFFFF"/>
            <w:noWrap/>
            <w:vAlign w:val="bottom"/>
            <w:hideMark/>
          </w:tcPr>
          <w:p w14:paraId="46E39D78"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111</w:t>
            </w:r>
          </w:p>
        </w:tc>
        <w:tc>
          <w:tcPr>
            <w:tcW w:w="947" w:type="dxa"/>
            <w:tcBorders>
              <w:top w:val="dotted" w:sz="4" w:space="0" w:color="auto"/>
              <w:left w:val="nil"/>
              <w:bottom w:val="nil"/>
              <w:right w:val="single" w:sz="4" w:space="0" w:color="auto"/>
            </w:tcBorders>
            <w:shd w:val="clear" w:color="000000" w:fill="FFFFFF"/>
            <w:noWrap/>
            <w:vAlign w:val="bottom"/>
            <w:hideMark/>
          </w:tcPr>
          <w:p w14:paraId="251CE04F" w14:textId="77777777" w:rsidR="00E63C85" w:rsidRPr="00E63C85" w:rsidRDefault="00E63C85" w:rsidP="00E63C85">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63C85">
              <w:rPr>
                <w:rFonts w:asciiTheme="minorHAnsi" w:eastAsia="Times New Roman" w:hAnsiTheme="minorHAnsi" w:cs="Times New Roman"/>
                <w:b/>
                <w:bCs/>
                <w:color w:val="000000"/>
                <w:kern w:val="0"/>
                <w:szCs w:val="22"/>
                <w:lang w:eastAsia="en-GB"/>
                <w14:ligatures w14:val="none"/>
              </w:rPr>
              <w:t>100%</w:t>
            </w:r>
          </w:p>
        </w:tc>
      </w:tr>
      <w:tr w:rsidR="00E63C85" w:rsidRPr="007E2527" w14:paraId="0AC4D0C4" w14:textId="77777777" w:rsidTr="00216CED">
        <w:trPr>
          <w:trHeight w:val="300"/>
        </w:trPr>
        <w:tc>
          <w:tcPr>
            <w:tcW w:w="2438" w:type="dxa"/>
            <w:tcBorders>
              <w:top w:val="nil"/>
              <w:left w:val="single" w:sz="4" w:space="0" w:color="auto"/>
              <w:bottom w:val="nil"/>
              <w:right w:val="nil"/>
            </w:tcBorders>
            <w:shd w:val="clear" w:color="000000" w:fill="FFFFFF"/>
            <w:noWrap/>
            <w:vAlign w:val="bottom"/>
            <w:hideMark/>
          </w:tcPr>
          <w:p w14:paraId="2E687C4B"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Non-UK</w:t>
            </w:r>
          </w:p>
        </w:tc>
        <w:tc>
          <w:tcPr>
            <w:tcW w:w="947" w:type="dxa"/>
            <w:tcBorders>
              <w:top w:val="nil"/>
              <w:left w:val="single" w:sz="4" w:space="0" w:color="auto"/>
              <w:bottom w:val="nil"/>
              <w:right w:val="nil"/>
            </w:tcBorders>
            <w:shd w:val="clear" w:color="000000" w:fill="FFFFFF"/>
            <w:noWrap/>
            <w:vAlign w:val="bottom"/>
            <w:hideMark/>
          </w:tcPr>
          <w:p w14:paraId="797520D6"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single" w:sz="4" w:space="0" w:color="auto"/>
            </w:tcBorders>
            <w:shd w:val="clear" w:color="000000" w:fill="FFFFFF"/>
            <w:noWrap/>
            <w:vAlign w:val="bottom"/>
            <w:hideMark/>
          </w:tcPr>
          <w:p w14:paraId="1D79988C"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nil"/>
            </w:tcBorders>
            <w:shd w:val="clear" w:color="000000" w:fill="FFFFFF"/>
            <w:noWrap/>
            <w:vAlign w:val="bottom"/>
            <w:hideMark/>
          </w:tcPr>
          <w:p w14:paraId="5CDDEE6D"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nil"/>
              <w:right w:val="nil"/>
            </w:tcBorders>
            <w:shd w:val="clear" w:color="000000" w:fill="FFFFFF"/>
            <w:noWrap/>
            <w:vAlign w:val="bottom"/>
            <w:hideMark/>
          </w:tcPr>
          <w:p w14:paraId="4910B4F2"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single" w:sz="4" w:space="0" w:color="auto"/>
              <w:bottom w:val="nil"/>
              <w:right w:val="nil"/>
            </w:tcBorders>
            <w:shd w:val="clear" w:color="000000" w:fill="FFFFFF"/>
            <w:noWrap/>
            <w:vAlign w:val="bottom"/>
            <w:hideMark/>
          </w:tcPr>
          <w:p w14:paraId="20FA9097"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&lt;7</w:t>
            </w:r>
          </w:p>
        </w:tc>
        <w:tc>
          <w:tcPr>
            <w:tcW w:w="947" w:type="dxa"/>
            <w:tcBorders>
              <w:top w:val="nil"/>
              <w:left w:val="nil"/>
              <w:bottom w:val="nil"/>
              <w:right w:val="single" w:sz="4" w:space="0" w:color="auto"/>
            </w:tcBorders>
            <w:shd w:val="clear" w:color="000000" w:fill="FFFFFF"/>
            <w:noWrap/>
            <w:vAlign w:val="bottom"/>
            <w:hideMark/>
          </w:tcPr>
          <w:p w14:paraId="4789C12E"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w:t>
            </w:r>
          </w:p>
        </w:tc>
      </w:tr>
      <w:tr w:rsidR="00E63C85" w:rsidRPr="007E2527" w14:paraId="7FDB8D36" w14:textId="77777777" w:rsidTr="00216CED">
        <w:trPr>
          <w:trHeight w:val="315"/>
        </w:trPr>
        <w:tc>
          <w:tcPr>
            <w:tcW w:w="2438" w:type="dxa"/>
            <w:tcBorders>
              <w:top w:val="nil"/>
              <w:left w:val="single" w:sz="4" w:space="0" w:color="auto"/>
              <w:bottom w:val="double" w:sz="6" w:space="0" w:color="auto"/>
              <w:right w:val="nil"/>
            </w:tcBorders>
            <w:shd w:val="clear" w:color="000000" w:fill="FFFFFF"/>
            <w:noWrap/>
            <w:vAlign w:val="bottom"/>
            <w:hideMark/>
          </w:tcPr>
          <w:p w14:paraId="3B899485" w14:textId="77777777" w:rsidR="00E63C85" w:rsidRPr="00E63C85" w:rsidRDefault="00E63C85" w:rsidP="00E63C85">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UK</w:t>
            </w:r>
          </w:p>
        </w:tc>
        <w:tc>
          <w:tcPr>
            <w:tcW w:w="947" w:type="dxa"/>
            <w:tcBorders>
              <w:top w:val="nil"/>
              <w:left w:val="single" w:sz="4" w:space="0" w:color="auto"/>
              <w:bottom w:val="double" w:sz="6" w:space="0" w:color="auto"/>
              <w:right w:val="nil"/>
            </w:tcBorders>
            <w:shd w:val="clear" w:color="000000" w:fill="FFFFFF"/>
            <w:noWrap/>
            <w:vAlign w:val="bottom"/>
            <w:hideMark/>
          </w:tcPr>
          <w:p w14:paraId="28137754"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double" w:sz="6" w:space="0" w:color="auto"/>
              <w:right w:val="single" w:sz="4" w:space="0" w:color="auto"/>
            </w:tcBorders>
            <w:shd w:val="clear" w:color="000000" w:fill="FFFFFF"/>
            <w:noWrap/>
            <w:vAlign w:val="bottom"/>
            <w:hideMark/>
          </w:tcPr>
          <w:p w14:paraId="0DD59029"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double" w:sz="6" w:space="0" w:color="auto"/>
              <w:right w:val="nil"/>
            </w:tcBorders>
            <w:shd w:val="clear" w:color="000000" w:fill="FFFFFF"/>
            <w:noWrap/>
            <w:vAlign w:val="bottom"/>
            <w:hideMark/>
          </w:tcPr>
          <w:p w14:paraId="550822AD"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nil"/>
              <w:bottom w:val="double" w:sz="6" w:space="0" w:color="auto"/>
              <w:right w:val="nil"/>
            </w:tcBorders>
            <w:shd w:val="clear" w:color="000000" w:fill="FFFFFF"/>
            <w:noWrap/>
            <w:vAlign w:val="bottom"/>
            <w:hideMark/>
          </w:tcPr>
          <w:p w14:paraId="34272003"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 </w:t>
            </w:r>
          </w:p>
        </w:tc>
        <w:tc>
          <w:tcPr>
            <w:tcW w:w="947" w:type="dxa"/>
            <w:tcBorders>
              <w:top w:val="nil"/>
              <w:left w:val="single" w:sz="4" w:space="0" w:color="auto"/>
              <w:bottom w:val="double" w:sz="6" w:space="0" w:color="auto"/>
              <w:right w:val="nil"/>
            </w:tcBorders>
            <w:shd w:val="clear" w:color="000000" w:fill="FFFFFF"/>
            <w:noWrap/>
            <w:vAlign w:val="bottom"/>
            <w:hideMark/>
          </w:tcPr>
          <w:p w14:paraId="5C03F2C6"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106</w:t>
            </w:r>
          </w:p>
        </w:tc>
        <w:tc>
          <w:tcPr>
            <w:tcW w:w="947" w:type="dxa"/>
            <w:tcBorders>
              <w:top w:val="nil"/>
              <w:left w:val="nil"/>
              <w:bottom w:val="double" w:sz="6" w:space="0" w:color="auto"/>
              <w:right w:val="single" w:sz="4" w:space="0" w:color="auto"/>
            </w:tcBorders>
            <w:shd w:val="clear" w:color="000000" w:fill="FFFFFF"/>
            <w:noWrap/>
            <w:vAlign w:val="bottom"/>
            <w:hideMark/>
          </w:tcPr>
          <w:p w14:paraId="1E856E0C" w14:textId="77777777" w:rsidR="00E63C85" w:rsidRPr="00E63C85" w:rsidRDefault="00E63C85" w:rsidP="00E63C85">
            <w:pPr>
              <w:spacing w:after="0" w:line="240" w:lineRule="auto"/>
              <w:jc w:val="right"/>
              <w:rPr>
                <w:rFonts w:asciiTheme="minorHAnsi" w:eastAsia="Times New Roman" w:hAnsiTheme="minorHAnsi" w:cs="Times New Roman"/>
                <w:color w:val="000000"/>
                <w:kern w:val="0"/>
                <w:szCs w:val="22"/>
                <w:lang w:eastAsia="en-GB"/>
                <w14:ligatures w14:val="none"/>
              </w:rPr>
            </w:pPr>
            <w:r w:rsidRPr="00E63C85">
              <w:rPr>
                <w:rFonts w:asciiTheme="minorHAnsi" w:eastAsia="Times New Roman" w:hAnsiTheme="minorHAnsi" w:cs="Times New Roman"/>
                <w:color w:val="000000"/>
                <w:kern w:val="0"/>
                <w:szCs w:val="22"/>
                <w:lang w:eastAsia="en-GB"/>
                <w14:ligatures w14:val="none"/>
              </w:rPr>
              <w:t>95.5%</w:t>
            </w:r>
          </w:p>
        </w:tc>
      </w:tr>
    </w:tbl>
    <w:p w14:paraId="32D2CD84" w14:textId="77777777" w:rsidR="00E63C85" w:rsidRPr="007E2527" w:rsidRDefault="00E63C85" w:rsidP="00E63C85">
      <w:pPr>
        <w:rPr>
          <w:rFonts w:asciiTheme="minorHAnsi" w:hAnsiTheme="minorHAnsi"/>
          <w:b/>
          <w:bCs/>
          <w:szCs w:val="22"/>
        </w:rPr>
      </w:pPr>
    </w:p>
    <w:p w14:paraId="4C46AB98" w14:textId="44DEC5A8" w:rsidR="00482B2A" w:rsidRPr="007E2527" w:rsidRDefault="00482B2A" w:rsidP="00B34432">
      <w:pPr>
        <w:rPr>
          <w:rFonts w:asciiTheme="minorHAnsi" w:hAnsiTheme="minorHAnsi"/>
          <w:b/>
          <w:bCs/>
          <w:szCs w:val="22"/>
        </w:rPr>
      </w:pPr>
    </w:p>
    <w:p w14:paraId="4A9941DA" w14:textId="77777777" w:rsidR="00E26853" w:rsidRPr="007E2527" w:rsidRDefault="00E26853" w:rsidP="00B34432">
      <w:pPr>
        <w:rPr>
          <w:rFonts w:asciiTheme="minorHAnsi" w:hAnsiTheme="minorHAnsi"/>
          <w:b/>
          <w:bCs/>
          <w:szCs w:val="22"/>
        </w:rPr>
      </w:pPr>
    </w:p>
    <w:p w14:paraId="73B798A7" w14:textId="77777777" w:rsidR="00E26853" w:rsidRPr="007E2527" w:rsidRDefault="00E26853" w:rsidP="00B34432">
      <w:pPr>
        <w:rPr>
          <w:rFonts w:asciiTheme="minorHAnsi" w:hAnsiTheme="minorHAnsi"/>
          <w:b/>
          <w:bCs/>
          <w:szCs w:val="22"/>
        </w:rPr>
      </w:pPr>
    </w:p>
    <w:p w14:paraId="6850D236" w14:textId="77777777" w:rsidR="00482B2A" w:rsidRPr="007E2527" w:rsidRDefault="00482B2A" w:rsidP="00B34432">
      <w:pPr>
        <w:rPr>
          <w:rFonts w:asciiTheme="minorHAnsi" w:hAnsiTheme="minorHAnsi"/>
          <w:b/>
          <w:bCs/>
          <w:szCs w:val="22"/>
        </w:rPr>
      </w:pPr>
    </w:p>
    <w:p w14:paraId="2DFC756F" w14:textId="55CC2A98" w:rsidR="00B34432" w:rsidRPr="007E2527" w:rsidRDefault="00B34432" w:rsidP="00B34432">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nationality and mode of employment, 2025 (Full-time n=4,856; Part-time n=1,385)</w:t>
      </w:r>
    </w:p>
    <w:tbl>
      <w:tblPr>
        <w:tblW w:w="5564" w:type="dxa"/>
        <w:tblLayout w:type="fixed"/>
        <w:tblLook w:val="04A0" w:firstRow="1" w:lastRow="0" w:firstColumn="1" w:lastColumn="0" w:noHBand="0" w:noVBand="1"/>
      </w:tblPr>
      <w:tblGrid>
        <w:gridCol w:w="1644"/>
        <w:gridCol w:w="980"/>
        <w:gridCol w:w="980"/>
        <w:gridCol w:w="980"/>
        <w:gridCol w:w="980"/>
      </w:tblGrid>
      <w:tr w:rsidR="00D4646B" w:rsidRPr="00D4646B" w14:paraId="7020737F" w14:textId="77777777" w:rsidTr="00216CED">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25332CCC" w14:textId="77777777" w:rsidR="00D4646B" w:rsidRPr="00D4646B" w:rsidRDefault="00D4646B" w:rsidP="00D4646B">
            <w:pPr>
              <w:spacing w:after="0" w:line="240" w:lineRule="auto"/>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74A4E06" w14:textId="77777777" w:rsidR="00D4646B" w:rsidRPr="00D4646B" w:rsidRDefault="00D4646B" w:rsidP="00D4646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Full-time</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38A013B2" w14:textId="77777777" w:rsidR="00D4646B" w:rsidRPr="00D4646B" w:rsidRDefault="00D4646B" w:rsidP="00D4646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Part-time</w:t>
            </w:r>
          </w:p>
        </w:tc>
      </w:tr>
      <w:tr w:rsidR="00D4646B" w:rsidRPr="00D4646B" w14:paraId="084618B9" w14:textId="77777777" w:rsidTr="00216CED">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27FBB531" w14:textId="77777777" w:rsidR="00D4646B" w:rsidRPr="00D4646B" w:rsidRDefault="00D4646B" w:rsidP="00D4646B">
            <w:pPr>
              <w:spacing w:after="0" w:line="240" w:lineRule="auto"/>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7E62DB8F"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318DF715"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2E4CBD77"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510D5A18"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r>
      <w:tr w:rsidR="00D4646B" w:rsidRPr="00D4646B" w14:paraId="73DD31CE"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042F280F" w14:textId="77777777" w:rsidR="00D4646B" w:rsidRPr="00D4646B" w:rsidRDefault="00D4646B" w:rsidP="00D4646B">
            <w:pPr>
              <w:spacing w:after="0" w:line="240" w:lineRule="auto"/>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2020796E"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1029</w:t>
            </w:r>
          </w:p>
        </w:tc>
        <w:tc>
          <w:tcPr>
            <w:tcW w:w="980" w:type="dxa"/>
            <w:tcBorders>
              <w:top w:val="nil"/>
              <w:left w:val="nil"/>
              <w:bottom w:val="nil"/>
              <w:right w:val="single" w:sz="4" w:space="0" w:color="auto"/>
            </w:tcBorders>
            <w:shd w:val="clear" w:color="000000" w:fill="FFFFFF"/>
            <w:noWrap/>
            <w:vAlign w:val="bottom"/>
            <w:hideMark/>
          </w:tcPr>
          <w:p w14:paraId="18DF2A5C"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21.2%</w:t>
            </w:r>
          </w:p>
        </w:tc>
        <w:tc>
          <w:tcPr>
            <w:tcW w:w="980" w:type="dxa"/>
            <w:tcBorders>
              <w:top w:val="nil"/>
              <w:left w:val="nil"/>
              <w:bottom w:val="nil"/>
              <w:right w:val="nil"/>
            </w:tcBorders>
            <w:shd w:val="clear" w:color="000000" w:fill="FFFFFF"/>
            <w:noWrap/>
            <w:vAlign w:val="bottom"/>
            <w:hideMark/>
          </w:tcPr>
          <w:p w14:paraId="4468C425"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171</w:t>
            </w:r>
          </w:p>
        </w:tc>
        <w:tc>
          <w:tcPr>
            <w:tcW w:w="980" w:type="dxa"/>
            <w:tcBorders>
              <w:top w:val="nil"/>
              <w:left w:val="nil"/>
              <w:bottom w:val="nil"/>
              <w:right w:val="single" w:sz="4" w:space="0" w:color="auto"/>
            </w:tcBorders>
            <w:shd w:val="clear" w:color="000000" w:fill="FFFFFF"/>
            <w:noWrap/>
            <w:vAlign w:val="bottom"/>
            <w:hideMark/>
          </w:tcPr>
          <w:p w14:paraId="0239862E"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12.3%</w:t>
            </w:r>
          </w:p>
        </w:tc>
      </w:tr>
      <w:tr w:rsidR="00D4646B" w:rsidRPr="00D4646B" w14:paraId="2FDCD693"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07CC944B" w14:textId="77777777" w:rsidR="00D4646B" w:rsidRPr="00D4646B" w:rsidRDefault="00D4646B" w:rsidP="00D4646B">
            <w:pPr>
              <w:spacing w:after="0" w:line="240" w:lineRule="auto"/>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4E61AD61"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3827</w:t>
            </w:r>
          </w:p>
        </w:tc>
        <w:tc>
          <w:tcPr>
            <w:tcW w:w="980" w:type="dxa"/>
            <w:tcBorders>
              <w:top w:val="nil"/>
              <w:left w:val="nil"/>
              <w:bottom w:val="nil"/>
              <w:right w:val="single" w:sz="4" w:space="0" w:color="auto"/>
            </w:tcBorders>
            <w:shd w:val="clear" w:color="000000" w:fill="FFFFFF"/>
            <w:noWrap/>
            <w:vAlign w:val="bottom"/>
            <w:hideMark/>
          </w:tcPr>
          <w:p w14:paraId="14453B8E"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78.8%</w:t>
            </w:r>
          </w:p>
        </w:tc>
        <w:tc>
          <w:tcPr>
            <w:tcW w:w="980" w:type="dxa"/>
            <w:tcBorders>
              <w:top w:val="nil"/>
              <w:left w:val="nil"/>
              <w:bottom w:val="nil"/>
              <w:right w:val="nil"/>
            </w:tcBorders>
            <w:shd w:val="clear" w:color="000000" w:fill="FFFFFF"/>
            <w:noWrap/>
            <w:vAlign w:val="bottom"/>
            <w:hideMark/>
          </w:tcPr>
          <w:p w14:paraId="3F0A7DD8"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1214</w:t>
            </w:r>
          </w:p>
        </w:tc>
        <w:tc>
          <w:tcPr>
            <w:tcW w:w="980" w:type="dxa"/>
            <w:tcBorders>
              <w:top w:val="nil"/>
              <w:left w:val="nil"/>
              <w:bottom w:val="nil"/>
              <w:right w:val="single" w:sz="4" w:space="0" w:color="auto"/>
            </w:tcBorders>
            <w:shd w:val="clear" w:color="000000" w:fill="FFFFFF"/>
            <w:noWrap/>
            <w:vAlign w:val="bottom"/>
            <w:hideMark/>
          </w:tcPr>
          <w:p w14:paraId="108A9758"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87.7%</w:t>
            </w:r>
          </w:p>
        </w:tc>
      </w:tr>
      <w:tr w:rsidR="00D4646B" w:rsidRPr="00D4646B" w14:paraId="4C71F31D" w14:textId="77777777" w:rsidTr="00216CED">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46208371" w14:textId="77777777" w:rsidR="00D4646B" w:rsidRPr="00D4646B" w:rsidRDefault="00D4646B" w:rsidP="00D4646B">
            <w:pPr>
              <w:spacing w:after="0" w:line="240" w:lineRule="auto"/>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685F6F2C"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4856</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038E51E"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11BA8C96"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1385</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CB0246B"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100%</w:t>
            </w:r>
          </w:p>
        </w:tc>
      </w:tr>
    </w:tbl>
    <w:p w14:paraId="1B661CBA" w14:textId="77777777" w:rsidR="00AE2746" w:rsidRDefault="00AE2746" w:rsidP="00AE2746">
      <w:pPr>
        <w:rPr>
          <w:rFonts w:asciiTheme="minorHAnsi" w:hAnsiTheme="minorHAnsi"/>
          <w:b/>
          <w:bCs/>
          <w:szCs w:val="22"/>
        </w:rPr>
      </w:pPr>
    </w:p>
    <w:p w14:paraId="30748FFD" w14:textId="77777777" w:rsidR="00216CED" w:rsidRPr="007E2527" w:rsidRDefault="00216CED" w:rsidP="00AE2746">
      <w:pPr>
        <w:rPr>
          <w:rFonts w:asciiTheme="minorHAnsi" w:hAnsiTheme="minorHAnsi"/>
          <w:b/>
          <w:bCs/>
          <w:szCs w:val="22"/>
        </w:rPr>
      </w:pPr>
    </w:p>
    <w:p w14:paraId="4A13EE68" w14:textId="20562162" w:rsidR="00AE2746" w:rsidRPr="007E2527" w:rsidRDefault="00AE2746" w:rsidP="00AE2746">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nationality and grade, 2025 (n=2,860)</w:t>
      </w:r>
    </w:p>
    <w:tbl>
      <w:tblPr>
        <w:tblW w:w="11444" w:type="dxa"/>
        <w:tblLayout w:type="fixed"/>
        <w:tblLook w:val="04A0" w:firstRow="1" w:lastRow="0" w:firstColumn="1" w:lastColumn="0" w:noHBand="0" w:noVBand="1"/>
      </w:tblPr>
      <w:tblGrid>
        <w:gridCol w:w="1644"/>
        <w:gridCol w:w="980"/>
        <w:gridCol w:w="980"/>
        <w:gridCol w:w="980"/>
        <w:gridCol w:w="980"/>
        <w:gridCol w:w="980"/>
        <w:gridCol w:w="980"/>
        <w:gridCol w:w="980"/>
        <w:gridCol w:w="980"/>
        <w:gridCol w:w="980"/>
        <w:gridCol w:w="980"/>
      </w:tblGrid>
      <w:tr w:rsidR="00D4646B" w:rsidRPr="00D4646B" w14:paraId="0FF1E6BB" w14:textId="77777777" w:rsidTr="00216CED">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791476E1" w14:textId="77777777" w:rsidR="00D4646B" w:rsidRPr="00D4646B" w:rsidRDefault="00D4646B" w:rsidP="00D4646B">
            <w:pPr>
              <w:spacing w:after="0" w:line="240" w:lineRule="auto"/>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121A142" w14:textId="77777777" w:rsidR="00D4646B" w:rsidRPr="00D4646B" w:rsidRDefault="00D4646B" w:rsidP="00D4646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Grade E</w:t>
            </w:r>
          </w:p>
        </w:tc>
        <w:tc>
          <w:tcPr>
            <w:tcW w:w="1960" w:type="dxa"/>
            <w:gridSpan w:val="2"/>
            <w:tcBorders>
              <w:top w:val="single" w:sz="4" w:space="0" w:color="auto"/>
              <w:left w:val="nil"/>
              <w:bottom w:val="nil"/>
              <w:right w:val="nil"/>
            </w:tcBorders>
            <w:shd w:val="clear" w:color="000000" w:fill="FFFFFF"/>
            <w:noWrap/>
            <w:vAlign w:val="bottom"/>
            <w:hideMark/>
          </w:tcPr>
          <w:p w14:paraId="22341CD9" w14:textId="77777777" w:rsidR="00D4646B" w:rsidRPr="00D4646B" w:rsidRDefault="00D4646B" w:rsidP="00D4646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Grade F</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4436954" w14:textId="77777777" w:rsidR="00D4646B" w:rsidRPr="00D4646B" w:rsidRDefault="00D4646B" w:rsidP="00D4646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Grade G</w:t>
            </w:r>
          </w:p>
        </w:tc>
        <w:tc>
          <w:tcPr>
            <w:tcW w:w="1960" w:type="dxa"/>
            <w:gridSpan w:val="2"/>
            <w:tcBorders>
              <w:top w:val="single" w:sz="4" w:space="0" w:color="auto"/>
              <w:left w:val="nil"/>
              <w:bottom w:val="nil"/>
              <w:right w:val="nil"/>
            </w:tcBorders>
            <w:shd w:val="clear" w:color="000000" w:fill="FFFFFF"/>
            <w:noWrap/>
            <w:vAlign w:val="bottom"/>
            <w:hideMark/>
          </w:tcPr>
          <w:p w14:paraId="692C93B4" w14:textId="77777777" w:rsidR="00D4646B" w:rsidRPr="00D4646B" w:rsidRDefault="00D4646B" w:rsidP="00D4646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Grade H</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E2B5893" w14:textId="77777777" w:rsidR="00D4646B" w:rsidRPr="00D4646B" w:rsidRDefault="00D4646B" w:rsidP="00D4646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Grade I</w:t>
            </w:r>
          </w:p>
        </w:tc>
      </w:tr>
      <w:tr w:rsidR="00D4646B" w:rsidRPr="007E2527" w14:paraId="35CC710C" w14:textId="77777777" w:rsidTr="00216CED">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4E2D59FE" w14:textId="77777777" w:rsidR="00D4646B" w:rsidRPr="00D4646B" w:rsidRDefault="00D4646B" w:rsidP="00D4646B">
            <w:pPr>
              <w:spacing w:after="0" w:line="240" w:lineRule="auto"/>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3CE238BE"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4DA7B833"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36525AF0"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10777DEF"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5326FE02"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19EB77CF"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795FF4F2"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7144E351"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7AD1A0EB"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5717595F" w14:textId="77777777" w:rsidR="00D4646B" w:rsidRPr="00D4646B" w:rsidRDefault="00D4646B" w:rsidP="00D4646B">
            <w:pPr>
              <w:spacing w:after="0" w:line="240" w:lineRule="auto"/>
              <w:jc w:val="center"/>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r>
      <w:tr w:rsidR="00D4646B" w:rsidRPr="007E2527" w14:paraId="57FFE5ED"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7F19A389" w14:textId="77777777" w:rsidR="00D4646B" w:rsidRPr="00D4646B" w:rsidRDefault="00D4646B" w:rsidP="00D4646B">
            <w:pPr>
              <w:spacing w:after="0" w:line="240" w:lineRule="auto"/>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15A3B83B"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20</w:t>
            </w:r>
          </w:p>
        </w:tc>
        <w:tc>
          <w:tcPr>
            <w:tcW w:w="980" w:type="dxa"/>
            <w:tcBorders>
              <w:top w:val="nil"/>
              <w:left w:val="nil"/>
              <w:bottom w:val="nil"/>
              <w:right w:val="single" w:sz="4" w:space="0" w:color="auto"/>
            </w:tcBorders>
            <w:shd w:val="clear" w:color="000000" w:fill="FFFFFF"/>
            <w:noWrap/>
            <w:vAlign w:val="bottom"/>
            <w:hideMark/>
          </w:tcPr>
          <w:p w14:paraId="44DF73D8"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76.9%</w:t>
            </w:r>
          </w:p>
        </w:tc>
        <w:tc>
          <w:tcPr>
            <w:tcW w:w="980" w:type="dxa"/>
            <w:tcBorders>
              <w:top w:val="nil"/>
              <w:left w:val="nil"/>
              <w:bottom w:val="nil"/>
              <w:right w:val="nil"/>
            </w:tcBorders>
            <w:shd w:val="clear" w:color="000000" w:fill="FFFFFF"/>
            <w:noWrap/>
            <w:vAlign w:val="bottom"/>
            <w:hideMark/>
          </w:tcPr>
          <w:p w14:paraId="4B6BF917"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430</w:t>
            </w:r>
          </w:p>
        </w:tc>
        <w:tc>
          <w:tcPr>
            <w:tcW w:w="980" w:type="dxa"/>
            <w:tcBorders>
              <w:top w:val="nil"/>
              <w:left w:val="nil"/>
              <w:bottom w:val="nil"/>
              <w:right w:val="single" w:sz="4" w:space="0" w:color="auto"/>
            </w:tcBorders>
            <w:shd w:val="clear" w:color="000000" w:fill="FFFFFF"/>
            <w:noWrap/>
            <w:vAlign w:val="bottom"/>
            <w:hideMark/>
          </w:tcPr>
          <w:p w14:paraId="083FB61C"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45.4%</w:t>
            </w:r>
          </w:p>
        </w:tc>
        <w:tc>
          <w:tcPr>
            <w:tcW w:w="980" w:type="dxa"/>
            <w:tcBorders>
              <w:top w:val="nil"/>
              <w:left w:val="nil"/>
              <w:bottom w:val="nil"/>
              <w:right w:val="nil"/>
            </w:tcBorders>
            <w:shd w:val="clear" w:color="000000" w:fill="FFFFFF"/>
            <w:noWrap/>
            <w:vAlign w:val="bottom"/>
            <w:hideMark/>
          </w:tcPr>
          <w:p w14:paraId="0F39FFFB"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210</w:t>
            </w:r>
          </w:p>
        </w:tc>
        <w:tc>
          <w:tcPr>
            <w:tcW w:w="980" w:type="dxa"/>
            <w:tcBorders>
              <w:top w:val="nil"/>
              <w:left w:val="nil"/>
              <w:bottom w:val="nil"/>
              <w:right w:val="single" w:sz="4" w:space="0" w:color="auto"/>
            </w:tcBorders>
            <w:shd w:val="clear" w:color="000000" w:fill="FFFFFF"/>
            <w:noWrap/>
            <w:vAlign w:val="bottom"/>
            <w:hideMark/>
          </w:tcPr>
          <w:p w14:paraId="3F1DEF50"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33.0%</w:t>
            </w:r>
          </w:p>
        </w:tc>
        <w:tc>
          <w:tcPr>
            <w:tcW w:w="980" w:type="dxa"/>
            <w:tcBorders>
              <w:top w:val="nil"/>
              <w:left w:val="nil"/>
              <w:bottom w:val="nil"/>
              <w:right w:val="nil"/>
            </w:tcBorders>
            <w:shd w:val="clear" w:color="000000" w:fill="FFFFFF"/>
            <w:noWrap/>
            <w:vAlign w:val="bottom"/>
            <w:hideMark/>
          </w:tcPr>
          <w:p w14:paraId="7A72B390"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146</w:t>
            </w:r>
          </w:p>
        </w:tc>
        <w:tc>
          <w:tcPr>
            <w:tcW w:w="980" w:type="dxa"/>
            <w:tcBorders>
              <w:top w:val="nil"/>
              <w:left w:val="nil"/>
              <w:bottom w:val="nil"/>
              <w:right w:val="single" w:sz="4" w:space="0" w:color="auto"/>
            </w:tcBorders>
            <w:shd w:val="clear" w:color="000000" w:fill="FFFFFF"/>
            <w:noWrap/>
            <w:vAlign w:val="bottom"/>
            <w:hideMark/>
          </w:tcPr>
          <w:p w14:paraId="1D5FA3E9"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28.6%</w:t>
            </w:r>
          </w:p>
        </w:tc>
        <w:tc>
          <w:tcPr>
            <w:tcW w:w="980" w:type="dxa"/>
            <w:tcBorders>
              <w:top w:val="nil"/>
              <w:left w:val="nil"/>
              <w:bottom w:val="nil"/>
              <w:right w:val="nil"/>
            </w:tcBorders>
            <w:shd w:val="clear" w:color="000000" w:fill="FFFFFF"/>
            <w:noWrap/>
            <w:vAlign w:val="bottom"/>
            <w:hideMark/>
          </w:tcPr>
          <w:p w14:paraId="791FDA36"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130</w:t>
            </w:r>
          </w:p>
        </w:tc>
        <w:tc>
          <w:tcPr>
            <w:tcW w:w="980" w:type="dxa"/>
            <w:tcBorders>
              <w:top w:val="nil"/>
              <w:left w:val="nil"/>
              <w:bottom w:val="nil"/>
              <w:right w:val="single" w:sz="4" w:space="0" w:color="auto"/>
            </w:tcBorders>
            <w:shd w:val="clear" w:color="000000" w:fill="FFFFFF"/>
            <w:noWrap/>
            <w:vAlign w:val="bottom"/>
            <w:hideMark/>
          </w:tcPr>
          <w:p w14:paraId="56034F23"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17.6%</w:t>
            </w:r>
          </w:p>
        </w:tc>
      </w:tr>
      <w:tr w:rsidR="00D4646B" w:rsidRPr="007E2527" w14:paraId="3569E4BF"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0F24AABD" w14:textId="77777777" w:rsidR="00D4646B" w:rsidRPr="00D4646B" w:rsidRDefault="00D4646B" w:rsidP="00D4646B">
            <w:pPr>
              <w:spacing w:after="0" w:line="240" w:lineRule="auto"/>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0CB6CEE2"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&lt;7</w:t>
            </w:r>
          </w:p>
        </w:tc>
        <w:tc>
          <w:tcPr>
            <w:tcW w:w="980" w:type="dxa"/>
            <w:tcBorders>
              <w:top w:val="nil"/>
              <w:left w:val="nil"/>
              <w:bottom w:val="nil"/>
              <w:right w:val="single" w:sz="4" w:space="0" w:color="auto"/>
            </w:tcBorders>
            <w:shd w:val="clear" w:color="000000" w:fill="FFFFFF"/>
            <w:noWrap/>
            <w:vAlign w:val="bottom"/>
            <w:hideMark/>
          </w:tcPr>
          <w:p w14:paraId="5C2B6CBF"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nil"/>
              <w:right w:val="nil"/>
            </w:tcBorders>
            <w:shd w:val="clear" w:color="000000" w:fill="FFFFFF"/>
            <w:noWrap/>
            <w:vAlign w:val="bottom"/>
            <w:hideMark/>
          </w:tcPr>
          <w:p w14:paraId="08F7C185"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517</w:t>
            </w:r>
          </w:p>
        </w:tc>
        <w:tc>
          <w:tcPr>
            <w:tcW w:w="980" w:type="dxa"/>
            <w:tcBorders>
              <w:top w:val="nil"/>
              <w:left w:val="nil"/>
              <w:bottom w:val="nil"/>
              <w:right w:val="single" w:sz="4" w:space="0" w:color="auto"/>
            </w:tcBorders>
            <w:shd w:val="clear" w:color="000000" w:fill="FFFFFF"/>
            <w:noWrap/>
            <w:vAlign w:val="bottom"/>
            <w:hideMark/>
          </w:tcPr>
          <w:p w14:paraId="23C7AE89"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54.6%</w:t>
            </w:r>
          </w:p>
        </w:tc>
        <w:tc>
          <w:tcPr>
            <w:tcW w:w="980" w:type="dxa"/>
            <w:tcBorders>
              <w:top w:val="nil"/>
              <w:left w:val="nil"/>
              <w:bottom w:val="nil"/>
              <w:right w:val="nil"/>
            </w:tcBorders>
            <w:shd w:val="clear" w:color="000000" w:fill="FFFFFF"/>
            <w:noWrap/>
            <w:vAlign w:val="bottom"/>
            <w:hideMark/>
          </w:tcPr>
          <w:p w14:paraId="3E7F7F7B"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426</w:t>
            </w:r>
          </w:p>
        </w:tc>
        <w:tc>
          <w:tcPr>
            <w:tcW w:w="980" w:type="dxa"/>
            <w:tcBorders>
              <w:top w:val="nil"/>
              <w:left w:val="nil"/>
              <w:bottom w:val="nil"/>
              <w:right w:val="single" w:sz="4" w:space="0" w:color="auto"/>
            </w:tcBorders>
            <w:shd w:val="clear" w:color="000000" w:fill="FFFFFF"/>
            <w:noWrap/>
            <w:vAlign w:val="bottom"/>
            <w:hideMark/>
          </w:tcPr>
          <w:p w14:paraId="3C4A76FD"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67.0%</w:t>
            </w:r>
          </w:p>
        </w:tc>
        <w:tc>
          <w:tcPr>
            <w:tcW w:w="980" w:type="dxa"/>
            <w:tcBorders>
              <w:top w:val="nil"/>
              <w:left w:val="nil"/>
              <w:bottom w:val="nil"/>
              <w:right w:val="nil"/>
            </w:tcBorders>
            <w:shd w:val="clear" w:color="000000" w:fill="FFFFFF"/>
            <w:noWrap/>
            <w:vAlign w:val="bottom"/>
            <w:hideMark/>
          </w:tcPr>
          <w:p w14:paraId="0FC39191"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365</w:t>
            </w:r>
          </w:p>
        </w:tc>
        <w:tc>
          <w:tcPr>
            <w:tcW w:w="980" w:type="dxa"/>
            <w:tcBorders>
              <w:top w:val="nil"/>
              <w:left w:val="nil"/>
              <w:bottom w:val="nil"/>
              <w:right w:val="single" w:sz="4" w:space="0" w:color="auto"/>
            </w:tcBorders>
            <w:shd w:val="clear" w:color="000000" w:fill="FFFFFF"/>
            <w:noWrap/>
            <w:vAlign w:val="bottom"/>
            <w:hideMark/>
          </w:tcPr>
          <w:p w14:paraId="5CB4305B"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71.4%</w:t>
            </w:r>
          </w:p>
        </w:tc>
        <w:tc>
          <w:tcPr>
            <w:tcW w:w="980" w:type="dxa"/>
            <w:tcBorders>
              <w:top w:val="nil"/>
              <w:left w:val="nil"/>
              <w:bottom w:val="nil"/>
              <w:right w:val="nil"/>
            </w:tcBorders>
            <w:shd w:val="clear" w:color="000000" w:fill="FFFFFF"/>
            <w:noWrap/>
            <w:vAlign w:val="bottom"/>
            <w:hideMark/>
          </w:tcPr>
          <w:p w14:paraId="07AFF43F"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610</w:t>
            </w:r>
          </w:p>
        </w:tc>
        <w:tc>
          <w:tcPr>
            <w:tcW w:w="980" w:type="dxa"/>
            <w:tcBorders>
              <w:top w:val="nil"/>
              <w:left w:val="nil"/>
              <w:bottom w:val="nil"/>
              <w:right w:val="single" w:sz="4" w:space="0" w:color="auto"/>
            </w:tcBorders>
            <w:shd w:val="clear" w:color="000000" w:fill="FFFFFF"/>
            <w:noWrap/>
            <w:vAlign w:val="bottom"/>
            <w:hideMark/>
          </w:tcPr>
          <w:p w14:paraId="0439B88E" w14:textId="77777777" w:rsidR="00D4646B" w:rsidRPr="00D4646B" w:rsidRDefault="00D4646B" w:rsidP="00D4646B">
            <w:pPr>
              <w:spacing w:after="0" w:line="240" w:lineRule="auto"/>
              <w:jc w:val="right"/>
              <w:rPr>
                <w:rFonts w:asciiTheme="minorHAnsi" w:eastAsia="Times New Roman" w:hAnsiTheme="minorHAnsi" w:cs="Times New Roman"/>
                <w:color w:val="000000"/>
                <w:kern w:val="0"/>
                <w:szCs w:val="22"/>
                <w:lang w:eastAsia="en-GB"/>
                <w14:ligatures w14:val="none"/>
              </w:rPr>
            </w:pPr>
            <w:r w:rsidRPr="00D4646B">
              <w:rPr>
                <w:rFonts w:asciiTheme="minorHAnsi" w:eastAsia="Times New Roman" w:hAnsiTheme="minorHAnsi" w:cs="Times New Roman"/>
                <w:color w:val="000000"/>
                <w:kern w:val="0"/>
                <w:szCs w:val="22"/>
                <w:lang w:eastAsia="en-GB"/>
                <w14:ligatures w14:val="none"/>
              </w:rPr>
              <w:t>82.4%</w:t>
            </w:r>
          </w:p>
        </w:tc>
      </w:tr>
      <w:tr w:rsidR="00D4646B" w:rsidRPr="007E2527" w14:paraId="780D3193" w14:textId="77777777" w:rsidTr="00216CED">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3A793FF7" w14:textId="77777777" w:rsidR="00D4646B" w:rsidRPr="00D4646B" w:rsidRDefault="00D4646B" w:rsidP="00D4646B">
            <w:pPr>
              <w:spacing w:after="0" w:line="240" w:lineRule="auto"/>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5897B2A2"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26</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4EACCAC4"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55EB99D8"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947</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4A79C8BD"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3D16C943"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636</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2E33D792"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15E1D9C7"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511</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146C63B0"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1D3919DA"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740</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2A17B8A" w14:textId="77777777" w:rsidR="00D4646B" w:rsidRPr="00D4646B" w:rsidRDefault="00D4646B" w:rsidP="00D4646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646B">
              <w:rPr>
                <w:rFonts w:asciiTheme="minorHAnsi" w:eastAsia="Times New Roman" w:hAnsiTheme="minorHAnsi" w:cs="Times New Roman"/>
                <w:b/>
                <w:bCs/>
                <w:color w:val="000000"/>
                <w:kern w:val="0"/>
                <w:szCs w:val="22"/>
                <w:lang w:eastAsia="en-GB"/>
                <w14:ligatures w14:val="none"/>
              </w:rPr>
              <w:t>100%</w:t>
            </w:r>
          </w:p>
        </w:tc>
      </w:tr>
    </w:tbl>
    <w:p w14:paraId="536BE5FF" w14:textId="77777777" w:rsidR="00D4646B" w:rsidRPr="007E2527" w:rsidRDefault="00D4646B" w:rsidP="00D4646B">
      <w:pPr>
        <w:rPr>
          <w:rFonts w:asciiTheme="minorHAnsi" w:hAnsiTheme="minorHAnsi"/>
          <w:b/>
          <w:bCs/>
          <w:szCs w:val="22"/>
        </w:rPr>
      </w:pPr>
    </w:p>
    <w:p w14:paraId="2055328C" w14:textId="31907245" w:rsidR="00AE2746" w:rsidRPr="007E2527" w:rsidRDefault="00AE2746" w:rsidP="00AE2746">
      <w:pPr>
        <w:rPr>
          <w:rFonts w:asciiTheme="minorHAnsi" w:hAnsiTheme="minorHAnsi"/>
          <w:b/>
          <w:bCs/>
          <w:szCs w:val="22"/>
        </w:rPr>
      </w:pPr>
    </w:p>
    <w:p w14:paraId="1752C277" w14:textId="77777777" w:rsidR="00AE2746" w:rsidRPr="007E2527" w:rsidRDefault="00AE2746" w:rsidP="00AE2746">
      <w:pPr>
        <w:rPr>
          <w:rFonts w:asciiTheme="minorHAnsi" w:hAnsiTheme="minorHAnsi"/>
          <w:b/>
          <w:bCs/>
          <w:szCs w:val="22"/>
        </w:rPr>
      </w:pPr>
    </w:p>
    <w:p w14:paraId="124C051E" w14:textId="77777777" w:rsidR="00E26853" w:rsidRPr="007E2527" w:rsidRDefault="00E26853" w:rsidP="00AE2746">
      <w:pPr>
        <w:rPr>
          <w:rFonts w:asciiTheme="minorHAnsi" w:hAnsiTheme="minorHAnsi"/>
          <w:b/>
          <w:bCs/>
          <w:szCs w:val="22"/>
        </w:rPr>
      </w:pPr>
    </w:p>
    <w:p w14:paraId="37BC9950" w14:textId="77777777" w:rsidR="00E26853" w:rsidRPr="007E2527" w:rsidRDefault="00E26853" w:rsidP="00AE2746">
      <w:pPr>
        <w:rPr>
          <w:rFonts w:asciiTheme="minorHAnsi" w:hAnsiTheme="minorHAnsi"/>
          <w:b/>
          <w:bCs/>
          <w:szCs w:val="22"/>
        </w:rPr>
      </w:pPr>
    </w:p>
    <w:p w14:paraId="49197911" w14:textId="77777777" w:rsidR="00E26853" w:rsidRPr="007E2527" w:rsidRDefault="00E26853" w:rsidP="00AE2746">
      <w:pPr>
        <w:rPr>
          <w:rFonts w:asciiTheme="minorHAnsi" w:hAnsiTheme="minorHAnsi"/>
          <w:b/>
          <w:bCs/>
          <w:szCs w:val="22"/>
        </w:rPr>
      </w:pPr>
    </w:p>
    <w:p w14:paraId="2A75BCDE" w14:textId="77777777" w:rsidR="00E26853" w:rsidRPr="007E2527" w:rsidRDefault="00E26853" w:rsidP="00AE2746">
      <w:pPr>
        <w:rPr>
          <w:rFonts w:asciiTheme="minorHAnsi" w:hAnsiTheme="minorHAnsi"/>
          <w:b/>
          <w:bCs/>
          <w:szCs w:val="22"/>
        </w:rPr>
      </w:pPr>
    </w:p>
    <w:p w14:paraId="4486335D" w14:textId="77777777" w:rsidR="00D4646B" w:rsidRPr="007E2527" w:rsidRDefault="00D4646B" w:rsidP="00AE2746">
      <w:pPr>
        <w:rPr>
          <w:rFonts w:asciiTheme="minorHAnsi" w:hAnsiTheme="minorHAnsi"/>
          <w:b/>
          <w:bCs/>
          <w:szCs w:val="22"/>
        </w:rPr>
      </w:pPr>
    </w:p>
    <w:p w14:paraId="2589A115" w14:textId="317D6E25" w:rsidR="00AE2746" w:rsidRPr="007E2527" w:rsidRDefault="00AE2746" w:rsidP="00AE2746">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nationality and grade, 2025 (n=3,381)</w:t>
      </w:r>
    </w:p>
    <w:tbl>
      <w:tblPr>
        <w:tblW w:w="11444" w:type="dxa"/>
        <w:tblLayout w:type="fixed"/>
        <w:tblLook w:val="04A0" w:firstRow="1" w:lastRow="0" w:firstColumn="1" w:lastColumn="0" w:noHBand="0" w:noVBand="1"/>
      </w:tblPr>
      <w:tblGrid>
        <w:gridCol w:w="1644"/>
        <w:gridCol w:w="980"/>
        <w:gridCol w:w="980"/>
        <w:gridCol w:w="980"/>
        <w:gridCol w:w="980"/>
        <w:gridCol w:w="980"/>
        <w:gridCol w:w="980"/>
        <w:gridCol w:w="980"/>
        <w:gridCol w:w="980"/>
        <w:gridCol w:w="980"/>
        <w:gridCol w:w="980"/>
      </w:tblGrid>
      <w:tr w:rsidR="008B55C6" w:rsidRPr="008B55C6" w14:paraId="6B9C4045" w14:textId="77777777" w:rsidTr="00216CED">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10504CAD" w14:textId="77777777" w:rsidR="008B55C6" w:rsidRPr="008B55C6" w:rsidRDefault="008B55C6" w:rsidP="008B55C6">
            <w:pPr>
              <w:spacing w:after="0" w:line="240" w:lineRule="auto"/>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39A33C7" w14:textId="77777777" w:rsidR="008B55C6" w:rsidRPr="008B55C6" w:rsidRDefault="008B55C6" w:rsidP="008B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Grade A</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7DC15C90" w14:textId="77777777" w:rsidR="008B55C6" w:rsidRPr="008B55C6" w:rsidRDefault="008B55C6" w:rsidP="008B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Grade B</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7E090981" w14:textId="77777777" w:rsidR="008B55C6" w:rsidRPr="008B55C6" w:rsidRDefault="008B55C6" w:rsidP="008B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Grade C</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3BBE8A2E" w14:textId="77777777" w:rsidR="008B55C6" w:rsidRPr="008B55C6" w:rsidRDefault="008B55C6" w:rsidP="008B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Grade D</w:t>
            </w:r>
          </w:p>
        </w:tc>
        <w:tc>
          <w:tcPr>
            <w:tcW w:w="1960" w:type="dxa"/>
            <w:gridSpan w:val="2"/>
            <w:tcBorders>
              <w:top w:val="single" w:sz="4" w:space="0" w:color="auto"/>
              <w:left w:val="nil"/>
              <w:bottom w:val="nil"/>
              <w:right w:val="single" w:sz="4" w:space="0" w:color="000000"/>
            </w:tcBorders>
            <w:shd w:val="clear" w:color="000000" w:fill="FFFFFF"/>
            <w:noWrap/>
            <w:vAlign w:val="bottom"/>
            <w:hideMark/>
          </w:tcPr>
          <w:p w14:paraId="17C7EB58" w14:textId="77777777" w:rsidR="008B55C6" w:rsidRPr="008B55C6" w:rsidRDefault="008B55C6" w:rsidP="008B55C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Grade E</w:t>
            </w:r>
          </w:p>
        </w:tc>
      </w:tr>
      <w:tr w:rsidR="008B55C6" w:rsidRPr="007E2527" w14:paraId="269C3449" w14:textId="77777777" w:rsidTr="00216CED">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645A84D6" w14:textId="77777777" w:rsidR="008B55C6" w:rsidRPr="008B55C6" w:rsidRDefault="008B55C6" w:rsidP="008B55C6">
            <w:pPr>
              <w:spacing w:after="0" w:line="240" w:lineRule="auto"/>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7FA6E3A0"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407761D1"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3EF06FF5"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2903EC76"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16933845"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28E27AE5"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13917624"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4E6DF97A"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6C089236"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1FDE1A1B" w14:textId="77777777" w:rsidR="008B55C6" w:rsidRPr="008B55C6" w:rsidRDefault="008B55C6" w:rsidP="008B55C6">
            <w:pPr>
              <w:spacing w:after="0" w:line="240" w:lineRule="auto"/>
              <w:jc w:val="center"/>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w:t>
            </w:r>
          </w:p>
        </w:tc>
      </w:tr>
      <w:tr w:rsidR="008B55C6" w:rsidRPr="007E2527" w14:paraId="6958CBC5"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518E8A05" w14:textId="77777777" w:rsidR="008B55C6" w:rsidRPr="008B55C6" w:rsidRDefault="008B55C6" w:rsidP="008B55C6">
            <w:pPr>
              <w:spacing w:after="0" w:line="240" w:lineRule="auto"/>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6451AFD1"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19</w:t>
            </w:r>
          </w:p>
        </w:tc>
        <w:tc>
          <w:tcPr>
            <w:tcW w:w="980" w:type="dxa"/>
            <w:tcBorders>
              <w:top w:val="nil"/>
              <w:left w:val="nil"/>
              <w:bottom w:val="nil"/>
              <w:right w:val="single" w:sz="4" w:space="0" w:color="auto"/>
            </w:tcBorders>
            <w:shd w:val="clear" w:color="000000" w:fill="FFFFFF"/>
            <w:noWrap/>
            <w:vAlign w:val="bottom"/>
            <w:hideMark/>
          </w:tcPr>
          <w:p w14:paraId="2CD2C223"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6.6%</w:t>
            </w:r>
          </w:p>
        </w:tc>
        <w:tc>
          <w:tcPr>
            <w:tcW w:w="980" w:type="dxa"/>
            <w:tcBorders>
              <w:top w:val="nil"/>
              <w:left w:val="nil"/>
              <w:bottom w:val="nil"/>
              <w:right w:val="nil"/>
            </w:tcBorders>
            <w:shd w:val="clear" w:color="000000" w:fill="FFFFFF"/>
            <w:noWrap/>
            <w:vAlign w:val="bottom"/>
            <w:hideMark/>
          </w:tcPr>
          <w:p w14:paraId="2C6E910F"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9</w:t>
            </w:r>
          </w:p>
        </w:tc>
        <w:tc>
          <w:tcPr>
            <w:tcW w:w="980" w:type="dxa"/>
            <w:tcBorders>
              <w:top w:val="nil"/>
              <w:left w:val="nil"/>
              <w:bottom w:val="nil"/>
              <w:right w:val="single" w:sz="4" w:space="0" w:color="auto"/>
            </w:tcBorders>
            <w:shd w:val="clear" w:color="000000" w:fill="FFFFFF"/>
            <w:noWrap/>
            <w:vAlign w:val="bottom"/>
            <w:hideMark/>
          </w:tcPr>
          <w:p w14:paraId="28BFA5D9"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7.2%</w:t>
            </w:r>
          </w:p>
        </w:tc>
        <w:tc>
          <w:tcPr>
            <w:tcW w:w="980" w:type="dxa"/>
            <w:tcBorders>
              <w:top w:val="nil"/>
              <w:left w:val="nil"/>
              <w:bottom w:val="nil"/>
              <w:right w:val="nil"/>
            </w:tcBorders>
            <w:shd w:val="clear" w:color="000000" w:fill="FFFFFF"/>
            <w:noWrap/>
            <w:vAlign w:val="bottom"/>
            <w:hideMark/>
          </w:tcPr>
          <w:p w14:paraId="5B4A2E8D"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34</w:t>
            </w:r>
          </w:p>
        </w:tc>
        <w:tc>
          <w:tcPr>
            <w:tcW w:w="980" w:type="dxa"/>
            <w:tcBorders>
              <w:top w:val="nil"/>
              <w:left w:val="nil"/>
              <w:bottom w:val="nil"/>
              <w:right w:val="single" w:sz="4" w:space="0" w:color="auto"/>
            </w:tcBorders>
            <w:shd w:val="clear" w:color="000000" w:fill="FFFFFF"/>
            <w:noWrap/>
            <w:vAlign w:val="bottom"/>
            <w:hideMark/>
          </w:tcPr>
          <w:p w14:paraId="47E8C451"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8.8%</w:t>
            </w:r>
          </w:p>
        </w:tc>
        <w:tc>
          <w:tcPr>
            <w:tcW w:w="980" w:type="dxa"/>
            <w:tcBorders>
              <w:top w:val="nil"/>
              <w:left w:val="nil"/>
              <w:bottom w:val="nil"/>
              <w:right w:val="nil"/>
            </w:tcBorders>
            <w:shd w:val="clear" w:color="000000" w:fill="FFFFFF"/>
            <w:noWrap/>
            <w:vAlign w:val="bottom"/>
            <w:hideMark/>
          </w:tcPr>
          <w:p w14:paraId="47C0433F"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38</w:t>
            </w:r>
          </w:p>
        </w:tc>
        <w:tc>
          <w:tcPr>
            <w:tcW w:w="980" w:type="dxa"/>
            <w:tcBorders>
              <w:top w:val="nil"/>
              <w:left w:val="nil"/>
              <w:bottom w:val="nil"/>
              <w:right w:val="single" w:sz="4" w:space="0" w:color="auto"/>
            </w:tcBorders>
            <w:shd w:val="clear" w:color="000000" w:fill="FFFFFF"/>
            <w:noWrap/>
            <w:vAlign w:val="bottom"/>
            <w:hideMark/>
          </w:tcPr>
          <w:p w14:paraId="35E0B056"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6.4%</w:t>
            </w:r>
          </w:p>
        </w:tc>
        <w:tc>
          <w:tcPr>
            <w:tcW w:w="980" w:type="dxa"/>
            <w:tcBorders>
              <w:top w:val="nil"/>
              <w:left w:val="nil"/>
              <w:bottom w:val="nil"/>
              <w:right w:val="nil"/>
            </w:tcBorders>
            <w:shd w:val="clear" w:color="000000" w:fill="FFFFFF"/>
            <w:noWrap/>
            <w:vAlign w:val="bottom"/>
            <w:hideMark/>
          </w:tcPr>
          <w:p w14:paraId="07D9B507"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48</w:t>
            </w:r>
          </w:p>
        </w:tc>
        <w:tc>
          <w:tcPr>
            <w:tcW w:w="980" w:type="dxa"/>
            <w:tcBorders>
              <w:top w:val="nil"/>
              <w:left w:val="nil"/>
              <w:bottom w:val="nil"/>
              <w:right w:val="single" w:sz="4" w:space="0" w:color="auto"/>
            </w:tcBorders>
            <w:shd w:val="clear" w:color="000000" w:fill="FFFFFF"/>
            <w:noWrap/>
            <w:vAlign w:val="bottom"/>
            <w:hideMark/>
          </w:tcPr>
          <w:p w14:paraId="46028298"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7.7%</w:t>
            </w:r>
          </w:p>
        </w:tc>
      </w:tr>
      <w:tr w:rsidR="008B55C6" w:rsidRPr="007E2527" w14:paraId="4ED2C198" w14:textId="77777777" w:rsidTr="00216CED">
        <w:trPr>
          <w:trHeight w:val="300"/>
        </w:trPr>
        <w:tc>
          <w:tcPr>
            <w:tcW w:w="1644" w:type="dxa"/>
            <w:tcBorders>
              <w:top w:val="nil"/>
              <w:left w:val="single" w:sz="4" w:space="0" w:color="auto"/>
              <w:bottom w:val="nil"/>
              <w:right w:val="nil"/>
            </w:tcBorders>
            <w:shd w:val="clear" w:color="000000" w:fill="FFFFFF"/>
            <w:noWrap/>
            <w:vAlign w:val="bottom"/>
            <w:hideMark/>
          </w:tcPr>
          <w:p w14:paraId="0E8E3A82" w14:textId="77777777" w:rsidR="008B55C6" w:rsidRPr="008B55C6" w:rsidRDefault="008B55C6" w:rsidP="008B55C6">
            <w:pPr>
              <w:spacing w:after="0" w:line="240" w:lineRule="auto"/>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01673CF6"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267</w:t>
            </w:r>
          </w:p>
        </w:tc>
        <w:tc>
          <w:tcPr>
            <w:tcW w:w="980" w:type="dxa"/>
            <w:tcBorders>
              <w:top w:val="nil"/>
              <w:left w:val="nil"/>
              <w:bottom w:val="nil"/>
              <w:right w:val="single" w:sz="4" w:space="0" w:color="auto"/>
            </w:tcBorders>
            <w:shd w:val="clear" w:color="000000" w:fill="FFFFFF"/>
            <w:noWrap/>
            <w:vAlign w:val="bottom"/>
            <w:hideMark/>
          </w:tcPr>
          <w:p w14:paraId="709A5187"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93.4%</w:t>
            </w:r>
          </w:p>
        </w:tc>
        <w:tc>
          <w:tcPr>
            <w:tcW w:w="980" w:type="dxa"/>
            <w:tcBorders>
              <w:top w:val="nil"/>
              <w:left w:val="nil"/>
              <w:bottom w:val="nil"/>
              <w:right w:val="nil"/>
            </w:tcBorders>
            <w:shd w:val="clear" w:color="000000" w:fill="FFFFFF"/>
            <w:noWrap/>
            <w:vAlign w:val="bottom"/>
            <w:hideMark/>
          </w:tcPr>
          <w:p w14:paraId="6B368FAB"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116</w:t>
            </w:r>
          </w:p>
        </w:tc>
        <w:tc>
          <w:tcPr>
            <w:tcW w:w="980" w:type="dxa"/>
            <w:tcBorders>
              <w:top w:val="nil"/>
              <w:left w:val="nil"/>
              <w:bottom w:val="nil"/>
              <w:right w:val="single" w:sz="4" w:space="0" w:color="auto"/>
            </w:tcBorders>
            <w:shd w:val="clear" w:color="000000" w:fill="FFFFFF"/>
            <w:noWrap/>
            <w:vAlign w:val="bottom"/>
            <w:hideMark/>
          </w:tcPr>
          <w:p w14:paraId="27328098"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92.8%</w:t>
            </w:r>
          </w:p>
        </w:tc>
        <w:tc>
          <w:tcPr>
            <w:tcW w:w="980" w:type="dxa"/>
            <w:tcBorders>
              <w:top w:val="nil"/>
              <w:left w:val="nil"/>
              <w:bottom w:val="nil"/>
              <w:right w:val="nil"/>
            </w:tcBorders>
            <w:shd w:val="clear" w:color="000000" w:fill="FFFFFF"/>
            <w:noWrap/>
            <w:vAlign w:val="bottom"/>
            <w:hideMark/>
          </w:tcPr>
          <w:p w14:paraId="577C093B"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351</w:t>
            </w:r>
          </w:p>
        </w:tc>
        <w:tc>
          <w:tcPr>
            <w:tcW w:w="980" w:type="dxa"/>
            <w:tcBorders>
              <w:top w:val="nil"/>
              <w:left w:val="nil"/>
              <w:bottom w:val="nil"/>
              <w:right w:val="single" w:sz="4" w:space="0" w:color="auto"/>
            </w:tcBorders>
            <w:shd w:val="clear" w:color="000000" w:fill="FFFFFF"/>
            <w:noWrap/>
            <w:vAlign w:val="bottom"/>
            <w:hideMark/>
          </w:tcPr>
          <w:p w14:paraId="4C7AF73F"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91.2%</w:t>
            </w:r>
          </w:p>
        </w:tc>
        <w:tc>
          <w:tcPr>
            <w:tcW w:w="980" w:type="dxa"/>
            <w:tcBorders>
              <w:top w:val="nil"/>
              <w:left w:val="nil"/>
              <w:bottom w:val="nil"/>
              <w:right w:val="nil"/>
            </w:tcBorders>
            <w:shd w:val="clear" w:color="000000" w:fill="FFFFFF"/>
            <w:noWrap/>
            <w:vAlign w:val="bottom"/>
            <w:hideMark/>
          </w:tcPr>
          <w:p w14:paraId="246C0B6C"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560</w:t>
            </w:r>
          </w:p>
        </w:tc>
        <w:tc>
          <w:tcPr>
            <w:tcW w:w="980" w:type="dxa"/>
            <w:tcBorders>
              <w:top w:val="nil"/>
              <w:left w:val="nil"/>
              <w:bottom w:val="nil"/>
              <w:right w:val="single" w:sz="4" w:space="0" w:color="auto"/>
            </w:tcBorders>
            <w:shd w:val="clear" w:color="000000" w:fill="FFFFFF"/>
            <w:noWrap/>
            <w:vAlign w:val="bottom"/>
            <w:hideMark/>
          </w:tcPr>
          <w:p w14:paraId="5FFEF869"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93.6%</w:t>
            </w:r>
          </w:p>
        </w:tc>
        <w:tc>
          <w:tcPr>
            <w:tcW w:w="980" w:type="dxa"/>
            <w:tcBorders>
              <w:top w:val="nil"/>
              <w:left w:val="nil"/>
              <w:bottom w:val="nil"/>
              <w:right w:val="nil"/>
            </w:tcBorders>
            <w:shd w:val="clear" w:color="000000" w:fill="FFFFFF"/>
            <w:noWrap/>
            <w:vAlign w:val="bottom"/>
            <w:hideMark/>
          </w:tcPr>
          <w:p w14:paraId="538CCD9A"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579</w:t>
            </w:r>
          </w:p>
        </w:tc>
        <w:tc>
          <w:tcPr>
            <w:tcW w:w="980" w:type="dxa"/>
            <w:tcBorders>
              <w:top w:val="nil"/>
              <w:left w:val="nil"/>
              <w:bottom w:val="nil"/>
              <w:right w:val="single" w:sz="4" w:space="0" w:color="auto"/>
            </w:tcBorders>
            <w:shd w:val="clear" w:color="000000" w:fill="FFFFFF"/>
            <w:noWrap/>
            <w:vAlign w:val="bottom"/>
            <w:hideMark/>
          </w:tcPr>
          <w:p w14:paraId="5BB877A4" w14:textId="77777777" w:rsidR="008B55C6" w:rsidRPr="008B55C6" w:rsidRDefault="008B55C6" w:rsidP="008B55C6">
            <w:pPr>
              <w:spacing w:after="0" w:line="240" w:lineRule="auto"/>
              <w:jc w:val="right"/>
              <w:rPr>
                <w:rFonts w:asciiTheme="minorHAnsi" w:eastAsia="Times New Roman" w:hAnsiTheme="minorHAnsi" w:cs="Times New Roman"/>
                <w:color w:val="000000"/>
                <w:kern w:val="0"/>
                <w:szCs w:val="22"/>
                <w:lang w:eastAsia="en-GB"/>
                <w14:ligatures w14:val="none"/>
              </w:rPr>
            </w:pPr>
            <w:r w:rsidRPr="008B55C6">
              <w:rPr>
                <w:rFonts w:asciiTheme="minorHAnsi" w:eastAsia="Times New Roman" w:hAnsiTheme="minorHAnsi" w:cs="Times New Roman"/>
                <w:color w:val="000000"/>
                <w:kern w:val="0"/>
                <w:szCs w:val="22"/>
                <w:lang w:eastAsia="en-GB"/>
                <w14:ligatures w14:val="none"/>
              </w:rPr>
              <w:t>92.3%</w:t>
            </w:r>
          </w:p>
        </w:tc>
      </w:tr>
      <w:tr w:rsidR="008B55C6" w:rsidRPr="007E2527" w14:paraId="5B9DAE03" w14:textId="77777777" w:rsidTr="00216CED">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0659B718" w14:textId="77777777" w:rsidR="008B55C6" w:rsidRPr="008B55C6" w:rsidRDefault="008B55C6" w:rsidP="008B55C6">
            <w:pPr>
              <w:spacing w:after="0" w:line="240" w:lineRule="auto"/>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3AD1C326"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286</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1C3861D2"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3A0D8709"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125</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40244A1"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560F9E97"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385</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043F959"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3AC193CA"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598</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2F4F78A9"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16D4C1CA"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627</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7B1B266A" w14:textId="77777777" w:rsidR="008B55C6" w:rsidRPr="008B55C6" w:rsidRDefault="008B55C6" w:rsidP="008B55C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B55C6">
              <w:rPr>
                <w:rFonts w:asciiTheme="minorHAnsi" w:eastAsia="Times New Roman" w:hAnsiTheme="minorHAnsi" w:cs="Times New Roman"/>
                <w:b/>
                <w:bCs/>
                <w:color w:val="000000"/>
                <w:kern w:val="0"/>
                <w:szCs w:val="22"/>
                <w:lang w:eastAsia="en-GB"/>
                <w14:ligatures w14:val="none"/>
              </w:rPr>
              <w:t>100%</w:t>
            </w:r>
          </w:p>
        </w:tc>
      </w:tr>
    </w:tbl>
    <w:p w14:paraId="234D0ED7" w14:textId="77777777" w:rsidR="008B55C6" w:rsidRPr="007E2527" w:rsidRDefault="008B55C6" w:rsidP="008B55C6">
      <w:pPr>
        <w:rPr>
          <w:rFonts w:asciiTheme="minorHAnsi" w:hAnsiTheme="minorHAnsi"/>
          <w:b/>
          <w:bCs/>
          <w:szCs w:val="22"/>
        </w:rPr>
      </w:pPr>
    </w:p>
    <w:tbl>
      <w:tblPr>
        <w:tblW w:w="9484" w:type="dxa"/>
        <w:tblLayout w:type="fixed"/>
        <w:tblLook w:val="04A0" w:firstRow="1" w:lastRow="0" w:firstColumn="1" w:lastColumn="0" w:noHBand="0" w:noVBand="1"/>
      </w:tblPr>
      <w:tblGrid>
        <w:gridCol w:w="1644"/>
        <w:gridCol w:w="980"/>
        <w:gridCol w:w="980"/>
        <w:gridCol w:w="980"/>
        <w:gridCol w:w="980"/>
        <w:gridCol w:w="980"/>
        <w:gridCol w:w="980"/>
        <w:gridCol w:w="980"/>
        <w:gridCol w:w="980"/>
      </w:tblGrid>
      <w:tr w:rsidR="00B00240" w:rsidRPr="00B00240" w14:paraId="5EDA59CA" w14:textId="77777777" w:rsidTr="00216CED">
        <w:trPr>
          <w:trHeight w:val="300"/>
        </w:trPr>
        <w:tc>
          <w:tcPr>
            <w:tcW w:w="1644" w:type="dxa"/>
            <w:tcBorders>
              <w:top w:val="single" w:sz="4" w:space="0" w:color="auto"/>
              <w:left w:val="single" w:sz="4" w:space="0" w:color="auto"/>
              <w:bottom w:val="nil"/>
              <w:right w:val="single" w:sz="4" w:space="0" w:color="auto"/>
            </w:tcBorders>
            <w:shd w:val="clear" w:color="000000" w:fill="FFFFFF"/>
            <w:noWrap/>
            <w:vAlign w:val="bottom"/>
            <w:hideMark/>
          </w:tcPr>
          <w:p w14:paraId="7F4B4451" w14:textId="77777777" w:rsidR="00B00240" w:rsidRPr="00B00240" w:rsidRDefault="00B00240" w:rsidP="00B00240">
            <w:pPr>
              <w:spacing w:after="0" w:line="240" w:lineRule="auto"/>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 </w:t>
            </w:r>
          </w:p>
        </w:tc>
        <w:tc>
          <w:tcPr>
            <w:tcW w:w="1960" w:type="dxa"/>
            <w:gridSpan w:val="2"/>
            <w:tcBorders>
              <w:top w:val="single" w:sz="4" w:space="0" w:color="auto"/>
              <w:left w:val="single" w:sz="4" w:space="0" w:color="auto"/>
              <w:bottom w:val="nil"/>
              <w:right w:val="nil"/>
            </w:tcBorders>
            <w:shd w:val="clear" w:color="000000" w:fill="FFFFFF"/>
            <w:noWrap/>
            <w:vAlign w:val="bottom"/>
            <w:hideMark/>
          </w:tcPr>
          <w:p w14:paraId="0588DCF4" w14:textId="77777777" w:rsidR="00B00240" w:rsidRPr="00B00240" w:rsidRDefault="00B00240" w:rsidP="00B0024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Grade F</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E913B0E" w14:textId="77777777" w:rsidR="00B00240" w:rsidRPr="00B00240" w:rsidRDefault="00B00240" w:rsidP="00B0024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Grade G</w:t>
            </w:r>
          </w:p>
        </w:tc>
        <w:tc>
          <w:tcPr>
            <w:tcW w:w="1960" w:type="dxa"/>
            <w:gridSpan w:val="2"/>
            <w:tcBorders>
              <w:top w:val="single" w:sz="4" w:space="0" w:color="auto"/>
              <w:left w:val="nil"/>
              <w:bottom w:val="nil"/>
              <w:right w:val="nil"/>
            </w:tcBorders>
            <w:shd w:val="clear" w:color="000000" w:fill="FFFFFF"/>
            <w:noWrap/>
            <w:vAlign w:val="bottom"/>
            <w:hideMark/>
          </w:tcPr>
          <w:p w14:paraId="54936DB0" w14:textId="77777777" w:rsidR="00B00240" w:rsidRPr="00B00240" w:rsidRDefault="00B00240" w:rsidP="00B0024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Grade H</w:t>
            </w:r>
          </w:p>
        </w:tc>
        <w:tc>
          <w:tcPr>
            <w:tcW w:w="196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6E3DE77" w14:textId="77777777" w:rsidR="00B00240" w:rsidRPr="00B00240" w:rsidRDefault="00B00240" w:rsidP="00B0024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Grade I</w:t>
            </w:r>
          </w:p>
        </w:tc>
      </w:tr>
      <w:tr w:rsidR="00B00240" w:rsidRPr="007E2527" w14:paraId="0457ECC4" w14:textId="77777777" w:rsidTr="00216CED">
        <w:trPr>
          <w:trHeight w:val="300"/>
        </w:trPr>
        <w:tc>
          <w:tcPr>
            <w:tcW w:w="1644" w:type="dxa"/>
            <w:tcBorders>
              <w:top w:val="nil"/>
              <w:left w:val="single" w:sz="4" w:space="0" w:color="auto"/>
              <w:bottom w:val="single" w:sz="4" w:space="0" w:color="auto"/>
              <w:right w:val="single" w:sz="4" w:space="0" w:color="auto"/>
            </w:tcBorders>
            <w:shd w:val="clear" w:color="000000" w:fill="FFFFFF"/>
            <w:noWrap/>
            <w:vAlign w:val="bottom"/>
            <w:hideMark/>
          </w:tcPr>
          <w:p w14:paraId="79B37D0F" w14:textId="77777777" w:rsidR="00B00240" w:rsidRPr="00B00240" w:rsidRDefault="00B00240" w:rsidP="00B00240">
            <w:pPr>
              <w:spacing w:after="0" w:line="240" w:lineRule="auto"/>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 </w:t>
            </w:r>
          </w:p>
        </w:tc>
        <w:tc>
          <w:tcPr>
            <w:tcW w:w="980" w:type="dxa"/>
            <w:tcBorders>
              <w:top w:val="nil"/>
              <w:left w:val="single" w:sz="4" w:space="0" w:color="auto"/>
              <w:bottom w:val="single" w:sz="4" w:space="0" w:color="auto"/>
              <w:right w:val="nil"/>
            </w:tcBorders>
            <w:shd w:val="clear" w:color="000000" w:fill="FFFFFF"/>
            <w:noWrap/>
            <w:vAlign w:val="bottom"/>
            <w:hideMark/>
          </w:tcPr>
          <w:p w14:paraId="75D1B11E"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0884B1BB"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65A300B6"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395F45A5"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16FFAAA1"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6941943D"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single" w:sz="4" w:space="0" w:color="auto"/>
              <w:right w:val="nil"/>
            </w:tcBorders>
            <w:shd w:val="clear" w:color="000000" w:fill="FFFFFF"/>
            <w:noWrap/>
            <w:vAlign w:val="bottom"/>
            <w:hideMark/>
          </w:tcPr>
          <w:p w14:paraId="13E0D961"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n</w:t>
            </w:r>
          </w:p>
        </w:tc>
        <w:tc>
          <w:tcPr>
            <w:tcW w:w="980" w:type="dxa"/>
            <w:tcBorders>
              <w:top w:val="nil"/>
              <w:left w:val="nil"/>
              <w:bottom w:val="single" w:sz="4" w:space="0" w:color="auto"/>
              <w:right w:val="single" w:sz="4" w:space="0" w:color="auto"/>
            </w:tcBorders>
            <w:shd w:val="clear" w:color="000000" w:fill="FFFFFF"/>
            <w:noWrap/>
            <w:vAlign w:val="bottom"/>
            <w:hideMark/>
          </w:tcPr>
          <w:p w14:paraId="34002353" w14:textId="77777777" w:rsidR="00B00240" w:rsidRPr="00B00240" w:rsidRDefault="00B00240" w:rsidP="00B00240">
            <w:pPr>
              <w:spacing w:after="0" w:line="240" w:lineRule="auto"/>
              <w:jc w:val="center"/>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w:t>
            </w:r>
          </w:p>
        </w:tc>
      </w:tr>
      <w:tr w:rsidR="00B00240" w:rsidRPr="007E2527" w14:paraId="46BB3044" w14:textId="77777777" w:rsidTr="00216CED">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3C22C4DD" w14:textId="77777777" w:rsidR="00B00240" w:rsidRPr="00B00240" w:rsidRDefault="00B00240" w:rsidP="00B00240">
            <w:pPr>
              <w:spacing w:after="0" w:line="240" w:lineRule="auto"/>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Non-UK</w:t>
            </w:r>
          </w:p>
        </w:tc>
        <w:tc>
          <w:tcPr>
            <w:tcW w:w="980" w:type="dxa"/>
            <w:tcBorders>
              <w:top w:val="nil"/>
              <w:left w:val="single" w:sz="4" w:space="0" w:color="auto"/>
              <w:bottom w:val="nil"/>
              <w:right w:val="nil"/>
            </w:tcBorders>
            <w:shd w:val="clear" w:color="000000" w:fill="FFFFFF"/>
            <w:noWrap/>
            <w:vAlign w:val="bottom"/>
            <w:hideMark/>
          </w:tcPr>
          <w:p w14:paraId="1CE72BD4"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90</w:t>
            </w:r>
          </w:p>
        </w:tc>
        <w:tc>
          <w:tcPr>
            <w:tcW w:w="980" w:type="dxa"/>
            <w:tcBorders>
              <w:top w:val="nil"/>
              <w:left w:val="nil"/>
              <w:bottom w:val="nil"/>
              <w:right w:val="single" w:sz="4" w:space="0" w:color="auto"/>
            </w:tcBorders>
            <w:shd w:val="clear" w:color="000000" w:fill="FFFFFF"/>
            <w:noWrap/>
            <w:vAlign w:val="bottom"/>
            <w:hideMark/>
          </w:tcPr>
          <w:p w14:paraId="6B8919D0"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10.9%</w:t>
            </w:r>
          </w:p>
        </w:tc>
        <w:tc>
          <w:tcPr>
            <w:tcW w:w="980" w:type="dxa"/>
            <w:tcBorders>
              <w:top w:val="nil"/>
              <w:left w:val="nil"/>
              <w:bottom w:val="nil"/>
              <w:right w:val="nil"/>
            </w:tcBorders>
            <w:shd w:val="clear" w:color="000000" w:fill="FFFFFF"/>
            <w:noWrap/>
            <w:vAlign w:val="bottom"/>
            <w:hideMark/>
          </w:tcPr>
          <w:p w14:paraId="05B02A71"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21</w:t>
            </w:r>
          </w:p>
        </w:tc>
        <w:tc>
          <w:tcPr>
            <w:tcW w:w="980" w:type="dxa"/>
            <w:tcBorders>
              <w:top w:val="nil"/>
              <w:left w:val="nil"/>
              <w:bottom w:val="nil"/>
              <w:right w:val="single" w:sz="4" w:space="0" w:color="auto"/>
            </w:tcBorders>
            <w:shd w:val="clear" w:color="000000" w:fill="FFFFFF"/>
            <w:noWrap/>
            <w:vAlign w:val="bottom"/>
            <w:hideMark/>
          </w:tcPr>
          <w:p w14:paraId="5258D77D"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5.4%</w:t>
            </w:r>
          </w:p>
        </w:tc>
        <w:tc>
          <w:tcPr>
            <w:tcW w:w="980" w:type="dxa"/>
            <w:tcBorders>
              <w:top w:val="nil"/>
              <w:left w:val="nil"/>
              <w:bottom w:val="nil"/>
              <w:right w:val="nil"/>
            </w:tcBorders>
            <w:shd w:val="clear" w:color="000000" w:fill="FFFFFF"/>
            <w:noWrap/>
            <w:vAlign w:val="bottom"/>
            <w:hideMark/>
          </w:tcPr>
          <w:p w14:paraId="354FB738"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&lt;7</w:t>
            </w:r>
          </w:p>
        </w:tc>
        <w:tc>
          <w:tcPr>
            <w:tcW w:w="980" w:type="dxa"/>
            <w:tcBorders>
              <w:top w:val="nil"/>
              <w:left w:val="nil"/>
              <w:bottom w:val="nil"/>
              <w:right w:val="single" w:sz="4" w:space="0" w:color="auto"/>
            </w:tcBorders>
            <w:shd w:val="clear" w:color="000000" w:fill="FFFFFF"/>
            <w:noWrap/>
            <w:vAlign w:val="bottom"/>
            <w:hideMark/>
          </w:tcPr>
          <w:p w14:paraId="4E34ACE5"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w:t>
            </w:r>
          </w:p>
        </w:tc>
        <w:tc>
          <w:tcPr>
            <w:tcW w:w="980" w:type="dxa"/>
            <w:tcBorders>
              <w:top w:val="nil"/>
              <w:left w:val="nil"/>
              <w:bottom w:val="nil"/>
              <w:right w:val="nil"/>
            </w:tcBorders>
            <w:shd w:val="clear" w:color="000000" w:fill="FFFFFF"/>
            <w:noWrap/>
            <w:vAlign w:val="bottom"/>
            <w:hideMark/>
          </w:tcPr>
          <w:p w14:paraId="55D9A6F4"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&lt;7</w:t>
            </w:r>
          </w:p>
        </w:tc>
        <w:tc>
          <w:tcPr>
            <w:tcW w:w="980" w:type="dxa"/>
            <w:tcBorders>
              <w:top w:val="nil"/>
              <w:left w:val="nil"/>
              <w:bottom w:val="nil"/>
              <w:right w:val="single" w:sz="4" w:space="0" w:color="auto"/>
            </w:tcBorders>
            <w:shd w:val="clear" w:color="000000" w:fill="FFFFFF"/>
            <w:noWrap/>
            <w:vAlign w:val="bottom"/>
            <w:hideMark/>
          </w:tcPr>
          <w:p w14:paraId="19E6CFB6"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w:t>
            </w:r>
          </w:p>
        </w:tc>
      </w:tr>
      <w:tr w:rsidR="00B00240" w:rsidRPr="007E2527" w14:paraId="31463EA6" w14:textId="77777777" w:rsidTr="00216CED">
        <w:trPr>
          <w:trHeight w:val="300"/>
        </w:trPr>
        <w:tc>
          <w:tcPr>
            <w:tcW w:w="1644" w:type="dxa"/>
            <w:tcBorders>
              <w:top w:val="nil"/>
              <w:left w:val="single" w:sz="4" w:space="0" w:color="auto"/>
              <w:bottom w:val="nil"/>
              <w:right w:val="single" w:sz="4" w:space="0" w:color="auto"/>
            </w:tcBorders>
            <w:shd w:val="clear" w:color="000000" w:fill="FFFFFF"/>
            <w:noWrap/>
            <w:vAlign w:val="bottom"/>
            <w:hideMark/>
          </w:tcPr>
          <w:p w14:paraId="16376E8E" w14:textId="77777777" w:rsidR="00B00240" w:rsidRPr="00B00240" w:rsidRDefault="00B00240" w:rsidP="00B00240">
            <w:pPr>
              <w:spacing w:after="0" w:line="240" w:lineRule="auto"/>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UK</w:t>
            </w:r>
          </w:p>
        </w:tc>
        <w:tc>
          <w:tcPr>
            <w:tcW w:w="980" w:type="dxa"/>
            <w:tcBorders>
              <w:top w:val="nil"/>
              <w:left w:val="single" w:sz="4" w:space="0" w:color="auto"/>
              <w:bottom w:val="nil"/>
              <w:right w:val="nil"/>
            </w:tcBorders>
            <w:shd w:val="clear" w:color="000000" w:fill="FFFFFF"/>
            <w:noWrap/>
            <w:vAlign w:val="bottom"/>
            <w:hideMark/>
          </w:tcPr>
          <w:p w14:paraId="67990CDC"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738</w:t>
            </w:r>
          </w:p>
        </w:tc>
        <w:tc>
          <w:tcPr>
            <w:tcW w:w="980" w:type="dxa"/>
            <w:tcBorders>
              <w:top w:val="nil"/>
              <w:left w:val="nil"/>
              <w:bottom w:val="nil"/>
              <w:right w:val="single" w:sz="4" w:space="0" w:color="auto"/>
            </w:tcBorders>
            <w:shd w:val="clear" w:color="000000" w:fill="FFFFFF"/>
            <w:noWrap/>
            <w:vAlign w:val="bottom"/>
            <w:hideMark/>
          </w:tcPr>
          <w:p w14:paraId="758F3480"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89.1%</w:t>
            </w:r>
          </w:p>
        </w:tc>
        <w:tc>
          <w:tcPr>
            <w:tcW w:w="980" w:type="dxa"/>
            <w:tcBorders>
              <w:top w:val="nil"/>
              <w:left w:val="nil"/>
              <w:bottom w:val="nil"/>
              <w:right w:val="nil"/>
            </w:tcBorders>
            <w:shd w:val="clear" w:color="000000" w:fill="FFFFFF"/>
            <w:noWrap/>
            <w:vAlign w:val="bottom"/>
            <w:hideMark/>
          </w:tcPr>
          <w:p w14:paraId="11DE17E0"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367</w:t>
            </w:r>
          </w:p>
        </w:tc>
        <w:tc>
          <w:tcPr>
            <w:tcW w:w="980" w:type="dxa"/>
            <w:tcBorders>
              <w:top w:val="nil"/>
              <w:left w:val="nil"/>
              <w:bottom w:val="nil"/>
              <w:right w:val="single" w:sz="4" w:space="0" w:color="auto"/>
            </w:tcBorders>
            <w:shd w:val="clear" w:color="000000" w:fill="FFFFFF"/>
            <w:noWrap/>
            <w:vAlign w:val="bottom"/>
            <w:hideMark/>
          </w:tcPr>
          <w:p w14:paraId="1046AC24"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94.6%</w:t>
            </w:r>
          </w:p>
        </w:tc>
        <w:tc>
          <w:tcPr>
            <w:tcW w:w="980" w:type="dxa"/>
            <w:tcBorders>
              <w:top w:val="nil"/>
              <w:left w:val="nil"/>
              <w:bottom w:val="nil"/>
              <w:right w:val="nil"/>
            </w:tcBorders>
            <w:shd w:val="clear" w:color="000000" w:fill="FFFFFF"/>
            <w:noWrap/>
            <w:vAlign w:val="bottom"/>
            <w:hideMark/>
          </w:tcPr>
          <w:p w14:paraId="0246AAA9"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93</w:t>
            </w:r>
          </w:p>
        </w:tc>
        <w:tc>
          <w:tcPr>
            <w:tcW w:w="980" w:type="dxa"/>
            <w:tcBorders>
              <w:top w:val="nil"/>
              <w:left w:val="nil"/>
              <w:bottom w:val="nil"/>
              <w:right w:val="single" w:sz="4" w:space="0" w:color="auto"/>
            </w:tcBorders>
            <w:shd w:val="clear" w:color="000000" w:fill="FFFFFF"/>
            <w:noWrap/>
            <w:vAlign w:val="bottom"/>
            <w:hideMark/>
          </w:tcPr>
          <w:p w14:paraId="6C0DD71B"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97.9%</w:t>
            </w:r>
          </w:p>
        </w:tc>
        <w:tc>
          <w:tcPr>
            <w:tcW w:w="980" w:type="dxa"/>
            <w:tcBorders>
              <w:top w:val="nil"/>
              <w:left w:val="nil"/>
              <w:bottom w:val="nil"/>
              <w:right w:val="nil"/>
            </w:tcBorders>
            <w:shd w:val="clear" w:color="000000" w:fill="FFFFFF"/>
            <w:noWrap/>
            <w:vAlign w:val="bottom"/>
            <w:hideMark/>
          </w:tcPr>
          <w:p w14:paraId="6A020C1D"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46</w:t>
            </w:r>
          </w:p>
        </w:tc>
        <w:tc>
          <w:tcPr>
            <w:tcW w:w="980" w:type="dxa"/>
            <w:tcBorders>
              <w:top w:val="nil"/>
              <w:left w:val="nil"/>
              <w:bottom w:val="nil"/>
              <w:right w:val="single" w:sz="4" w:space="0" w:color="auto"/>
            </w:tcBorders>
            <w:shd w:val="clear" w:color="000000" w:fill="FFFFFF"/>
            <w:noWrap/>
            <w:vAlign w:val="bottom"/>
            <w:hideMark/>
          </w:tcPr>
          <w:p w14:paraId="6B979544" w14:textId="77777777" w:rsidR="00B00240" w:rsidRPr="00B00240" w:rsidRDefault="00B00240" w:rsidP="00B00240">
            <w:pPr>
              <w:spacing w:after="0" w:line="240" w:lineRule="auto"/>
              <w:jc w:val="right"/>
              <w:rPr>
                <w:rFonts w:asciiTheme="minorHAnsi" w:eastAsia="Times New Roman" w:hAnsiTheme="minorHAnsi" w:cs="Times New Roman"/>
                <w:color w:val="000000"/>
                <w:kern w:val="0"/>
                <w:szCs w:val="22"/>
                <w:lang w:eastAsia="en-GB"/>
                <w14:ligatures w14:val="none"/>
              </w:rPr>
            </w:pPr>
            <w:r w:rsidRPr="00B00240">
              <w:rPr>
                <w:rFonts w:asciiTheme="minorHAnsi" w:eastAsia="Times New Roman" w:hAnsiTheme="minorHAnsi" w:cs="Times New Roman"/>
                <w:color w:val="000000"/>
                <w:kern w:val="0"/>
                <w:szCs w:val="22"/>
                <w:lang w:eastAsia="en-GB"/>
                <w14:ligatures w14:val="none"/>
              </w:rPr>
              <w:t>93.9%</w:t>
            </w:r>
          </w:p>
        </w:tc>
      </w:tr>
      <w:tr w:rsidR="00B00240" w:rsidRPr="007E2527" w14:paraId="5931DADB" w14:textId="77777777" w:rsidTr="00216CED">
        <w:trPr>
          <w:trHeight w:val="315"/>
        </w:trPr>
        <w:tc>
          <w:tcPr>
            <w:tcW w:w="1644"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6EDE4456" w14:textId="77777777" w:rsidR="00B00240" w:rsidRPr="00B00240" w:rsidRDefault="00B00240" w:rsidP="00B00240">
            <w:pPr>
              <w:spacing w:after="0" w:line="240" w:lineRule="auto"/>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All colleagues</w:t>
            </w:r>
          </w:p>
        </w:tc>
        <w:tc>
          <w:tcPr>
            <w:tcW w:w="980" w:type="dxa"/>
            <w:tcBorders>
              <w:top w:val="dotted" w:sz="4" w:space="0" w:color="auto"/>
              <w:left w:val="single" w:sz="4" w:space="0" w:color="auto"/>
              <w:bottom w:val="double" w:sz="6" w:space="0" w:color="auto"/>
              <w:right w:val="nil"/>
            </w:tcBorders>
            <w:shd w:val="clear" w:color="000000" w:fill="FFFFFF"/>
            <w:noWrap/>
            <w:vAlign w:val="bottom"/>
            <w:hideMark/>
          </w:tcPr>
          <w:p w14:paraId="5FF095DF"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828</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2BB264F4"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75D7AF6B"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388</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6E718059"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1355C681"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95</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5CACF331"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100%</w:t>
            </w:r>
          </w:p>
        </w:tc>
        <w:tc>
          <w:tcPr>
            <w:tcW w:w="980" w:type="dxa"/>
            <w:tcBorders>
              <w:top w:val="dotted" w:sz="4" w:space="0" w:color="auto"/>
              <w:left w:val="nil"/>
              <w:bottom w:val="double" w:sz="6" w:space="0" w:color="auto"/>
              <w:right w:val="nil"/>
            </w:tcBorders>
            <w:shd w:val="clear" w:color="000000" w:fill="FFFFFF"/>
            <w:noWrap/>
            <w:vAlign w:val="bottom"/>
            <w:hideMark/>
          </w:tcPr>
          <w:p w14:paraId="71FA7EB5"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49</w:t>
            </w:r>
          </w:p>
        </w:tc>
        <w:tc>
          <w:tcPr>
            <w:tcW w:w="980" w:type="dxa"/>
            <w:tcBorders>
              <w:top w:val="dotted" w:sz="4" w:space="0" w:color="auto"/>
              <w:left w:val="nil"/>
              <w:bottom w:val="double" w:sz="6" w:space="0" w:color="auto"/>
              <w:right w:val="single" w:sz="4" w:space="0" w:color="auto"/>
            </w:tcBorders>
            <w:shd w:val="clear" w:color="000000" w:fill="FFFFFF"/>
            <w:noWrap/>
            <w:vAlign w:val="bottom"/>
            <w:hideMark/>
          </w:tcPr>
          <w:p w14:paraId="31DBD2C7" w14:textId="77777777" w:rsidR="00B00240" w:rsidRPr="00B00240" w:rsidRDefault="00B00240" w:rsidP="00B0024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0240">
              <w:rPr>
                <w:rFonts w:asciiTheme="minorHAnsi" w:eastAsia="Times New Roman" w:hAnsiTheme="minorHAnsi" w:cs="Times New Roman"/>
                <w:b/>
                <w:bCs/>
                <w:color w:val="000000"/>
                <w:kern w:val="0"/>
                <w:szCs w:val="22"/>
                <w:lang w:eastAsia="en-GB"/>
                <w14:ligatures w14:val="none"/>
              </w:rPr>
              <w:t>100%</w:t>
            </w:r>
          </w:p>
        </w:tc>
      </w:tr>
    </w:tbl>
    <w:p w14:paraId="41B690E5" w14:textId="242B6584" w:rsidR="00342D6B" w:rsidRPr="007E2527" w:rsidRDefault="00342D6B">
      <w:pPr>
        <w:rPr>
          <w:rFonts w:asciiTheme="minorHAnsi" w:hAnsiTheme="minorHAnsi"/>
          <w:b/>
          <w:bCs/>
          <w:szCs w:val="22"/>
        </w:rPr>
      </w:pPr>
    </w:p>
    <w:p w14:paraId="1B44CEF8" w14:textId="77777777" w:rsidR="00B00240" w:rsidRPr="007E2527" w:rsidRDefault="00B00240">
      <w:pPr>
        <w:rPr>
          <w:rFonts w:asciiTheme="minorHAnsi" w:hAnsiTheme="minorHAnsi"/>
          <w:b/>
          <w:bCs/>
          <w:szCs w:val="22"/>
        </w:rPr>
      </w:pPr>
    </w:p>
    <w:p w14:paraId="4DE12EE7" w14:textId="77777777" w:rsidR="00B00240" w:rsidRPr="007E2527" w:rsidRDefault="00B00240">
      <w:pPr>
        <w:rPr>
          <w:rFonts w:asciiTheme="minorHAnsi" w:hAnsiTheme="minorHAnsi"/>
          <w:b/>
          <w:bCs/>
          <w:szCs w:val="22"/>
        </w:rPr>
      </w:pPr>
    </w:p>
    <w:p w14:paraId="40508091" w14:textId="77777777" w:rsidR="00B00240" w:rsidRPr="007E2527" w:rsidRDefault="00B00240">
      <w:pPr>
        <w:rPr>
          <w:rFonts w:asciiTheme="minorHAnsi" w:hAnsiTheme="minorHAnsi"/>
          <w:b/>
          <w:bCs/>
          <w:szCs w:val="22"/>
        </w:rPr>
      </w:pPr>
    </w:p>
    <w:p w14:paraId="07C9ED34" w14:textId="77777777" w:rsidR="00B00240" w:rsidRPr="007E2527" w:rsidRDefault="00B00240">
      <w:pPr>
        <w:rPr>
          <w:rFonts w:asciiTheme="minorHAnsi" w:hAnsiTheme="minorHAnsi"/>
          <w:b/>
          <w:bCs/>
          <w:szCs w:val="22"/>
        </w:rPr>
      </w:pPr>
    </w:p>
    <w:p w14:paraId="02C46BCE" w14:textId="77777777" w:rsidR="00B00240" w:rsidRPr="007E2527" w:rsidRDefault="00B00240">
      <w:pPr>
        <w:rPr>
          <w:rFonts w:asciiTheme="minorHAnsi" w:hAnsiTheme="minorHAnsi"/>
          <w:b/>
          <w:bCs/>
          <w:szCs w:val="22"/>
        </w:rPr>
      </w:pPr>
    </w:p>
    <w:p w14:paraId="750C6487" w14:textId="77777777" w:rsidR="00B00240" w:rsidRPr="007E2527" w:rsidRDefault="00B00240">
      <w:pPr>
        <w:rPr>
          <w:rFonts w:asciiTheme="minorHAnsi" w:hAnsiTheme="minorHAnsi"/>
          <w:b/>
          <w:bCs/>
          <w:szCs w:val="22"/>
        </w:rPr>
      </w:pPr>
    </w:p>
    <w:p w14:paraId="0CDB1CAD" w14:textId="77777777" w:rsidR="00B00240" w:rsidRPr="007E2527" w:rsidRDefault="00B00240">
      <w:pPr>
        <w:rPr>
          <w:rFonts w:asciiTheme="minorHAnsi" w:hAnsiTheme="minorHAnsi"/>
          <w:b/>
          <w:bCs/>
          <w:szCs w:val="22"/>
        </w:rPr>
      </w:pPr>
    </w:p>
    <w:p w14:paraId="0F3DC6C1" w14:textId="77777777" w:rsidR="00B00240" w:rsidRPr="007E2527" w:rsidRDefault="00B00240">
      <w:pPr>
        <w:rPr>
          <w:rFonts w:asciiTheme="minorHAnsi" w:hAnsiTheme="minorHAnsi"/>
          <w:b/>
          <w:bCs/>
          <w:szCs w:val="22"/>
        </w:rPr>
      </w:pPr>
    </w:p>
    <w:p w14:paraId="28E901C8" w14:textId="77777777" w:rsidR="00E26853" w:rsidRPr="007E2527" w:rsidRDefault="00E26853">
      <w:pPr>
        <w:rPr>
          <w:rFonts w:asciiTheme="minorHAnsi" w:hAnsiTheme="minorHAnsi"/>
          <w:b/>
          <w:bCs/>
          <w:szCs w:val="22"/>
        </w:rPr>
      </w:pPr>
    </w:p>
    <w:p w14:paraId="0F5D6062" w14:textId="6C47D6C3" w:rsidR="00342D6B" w:rsidRPr="00216CED" w:rsidRDefault="00342D6B" w:rsidP="00342D6B">
      <w:pPr>
        <w:pStyle w:val="ListParagraph"/>
        <w:numPr>
          <w:ilvl w:val="1"/>
          <w:numId w:val="11"/>
        </w:numPr>
        <w:rPr>
          <w:rFonts w:asciiTheme="minorHAnsi" w:hAnsiTheme="minorHAnsi"/>
          <w:color w:val="0B769F" w:themeColor="accent4" w:themeShade="BF"/>
          <w:sz w:val="28"/>
          <w:szCs w:val="28"/>
        </w:rPr>
      </w:pPr>
      <w:r w:rsidRPr="00216CED">
        <w:rPr>
          <w:rFonts w:asciiTheme="minorHAnsi" w:hAnsiTheme="minorHAnsi"/>
          <w:color w:val="0B769F" w:themeColor="accent4" w:themeShade="BF"/>
          <w:sz w:val="28"/>
          <w:szCs w:val="28"/>
        </w:rPr>
        <w:lastRenderedPageBreak/>
        <w:t>Parental Leave</w:t>
      </w:r>
    </w:p>
    <w:p w14:paraId="71943CF4" w14:textId="77777777" w:rsidR="00482B2A" w:rsidRPr="007E2527" w:rsidRDefault="00482B2A" w:rsidP="00482B2A">
      <w:pPr>
        <w:pStyle w:val="ListParagraph"/>
        <w:rPr>
          <w:rFonts w:asciiTheme="minorHAnsi" w:hAnsiTheme="minorHAnsi"/>
          <w:color w:val="0B769F" w:themeColor="accent4" w:themeShade="BF"/>
          <w:szCs w:val="22"/>
        </w:rPr>
      </w:pPr>
    </w:p>
    <w:p w14:paraId="6B9F3539" w14:textId="0E9F978C" w:rsidR="00342D6B" w:rsidRPr="007E2527" w:rsidRDefault="00342D6B" w:rsidP="00342D6B">
      <w:pPr>
        <w:pStyle w:val="ListParagraph"/>
        <w:numPr>
          <w:ilvl w:val="2"/>
          <w:numId w:val="11"/>
        </w:numPr>
        <w:rPr>
          <w:rFonts w:asciiTheme="minorHAnsi" w:hAnsiTheme="minorHAnsi"/>
          <w:b/>
          <w:bCs/>
          <w:szCs w:val="22"/>
        </w:rPr>
      </w:pPr>
      <w:r w:rsidRPr="007E2527">
        <w:rPr>
          <w:rFonts w:asciiTheme="minorHAnsi" w:hAnsiTheme="minorHAnsi"/>
          <w:b/>
          <w:bCs/>
          <w:szCs w:val="22"/>
        </w:rPr>
        <w:t>Parental leave taken during the reporting period 1st August 2024 to 31st July 2025 (number of colleagues and number of occasions)</w:t>
      </w:r>
    </w:p>
    <w:tbl>
      <w:tblPr>
        <w:tblW w:w="13343" w:type="dxa"/>
        <w:tblLayout w:type="fixed"/>
        <w:tblLook w:val="04A0" w:firstRow="1" w:lastRow="0" w:firstColumn="1" w:lastColumn="0" w:noHBand="0" w:noVBand="1"/>
      </w:tblPr>
      <w:tblGrid>
        <w:gridCol w:w="2689"/>
        <w:gridCol w:w="1331"/>
        <w:gridCol w:w="1332"/>
        <w:gridCol w:w="1332"/>
        <w:gridCol w:w="1332"/>
        <w:gridCol w:w="1331"/>
        <w:gridCol w:w="1332"/>
        <w:gridCol w:w="1332"/>
        <w:gridCol w:w="1332"/>
      </w:tblGrid>
      <w:tr w:rsidR="0073338E" w:rsidRPr="00A37D94" w14:paraId="160D5829" w14:textId="77777777" w:rsidTr="0073338E">
        <w:trPr>
          <w:trHeight w:val="305"/>
        </w:trPr>
        <w:tc>
          <w:tcPr>
            <w:tcW w:w="2689" w:type="dxa"/>
            <w:tcBorders>
              <w:top w:val="single" w:sz="4" w:space="0" w:color="auto"/>
              <w:left w:val="single" w:sz="4" w:space="0" w:color="auto"/>
              <w:bottom w:val="nil"/>
              <w:right w:val="nil"/>
            </w:tcBorders>
            <w:shd w:val="clear" w:color="000000" w:fill="FFFFFF"/>
            <w:noWrap/>
            <w:vAlign w:val="bottom"/>
            <w:hideMark/>
          </w:tcPr>
          <w:p w14:paraId="47DEEDEC" w14:textId="77777777" w:rsidR="00A37D94" w:rsidRPr="00A37D94" w:rsidRDefault="00A37D94" w:rsidP="00A37D94">
            <w:pPr>
              <w:spacing w:after="0" w:line="240" w:lineRule="auto"/>
              <w:rPr>
                <w:rFonts w:asciiTheme="minorHAnsi" w:eastAsia="Times New Roman" w:hAnsiTheme="minorHAnsi" w:cs="Times New Roman"/>
                <w:b/>
                <w:bCs/>
                <w:color w:val="000000"/>
                <w:kern w:val="0"/>
                <w:szCs w:val="22"/>
                <w:lang w:eastAsia="en-GB"/>
                <w14:ligatures w14:val="none"/>
              </w:rPr>
            </w:pPr>
            <w:r w:rsidRPr="00A37D94">
              <w:rPr>
                <w:rFonts w:asciiTheme="minorHAnsi" w:eastAsia="Times New Roman" w:hAnsiTheme="minorHAnsi" w:cs="Times New Roman"/>
                <w:b/>
                <w:bCs/>
                <w:color w:val="000000"/>
                <w:kern w:val="0"/>
                <w:szCs w:val="22"/>
                <w:lang w:eastAsia="en-GB"/>
                <w14:ligatures w14:val="none"/>
              </w:rPr>
              <w:t> </w:t>
            </w:r>
          </w:p>
        </w:tc>
        <w:tc>
          <w:tcPr>
            <w:tcW w:w="2663" w:type="dxa"/>
            <w:gridSpan w:val="2"/>
            <w:tcBorders>
              <w:top w:val="single" w:sz="4" w:space="0" w:color="auto"/>
              <w:left w:val="single" w:sz="4" w:space="0" w:color="auto"/>
              <w:bottom w:val="nil"/>
              <w:right w:val="nil"/>
            </w:tcBorders>
            <w:shd w:val="clear" w:color="000000" w:fill="FFFFFF"/>
            <w:noWrap/>
            <w:vAlign w:val="bottom"/>
            <w:hideMark/>
          </w:tcPr>
          <w:p w14:paraId="4E5A4961" w14:textId="77777777" w:rsidR="00A37D94" w:rsidRPr="00A37D94" w:rsidRDefault="00A37D94" w:rsidP="00A37D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37D94">
              <w:rPr>
                <w:rFonts w:asciiTheme="minorHAnsi" w:eastAsia="Times New Roman" w:hAnsiTheme="minorHAnsi" w:cs="Times New Roman"/>
                <w:b/>
                <w:bCs/>
                <w:color w:val="000000"/>
                <w:kern w:val="0"/>
                <w:szCs w:val="22"/>
                <w:lang w:eastAsia="en-GB"/>
                <w14:ligatures w14:val="none"/>
              </w:rPr>
              <w:t>Academic</w:t>
            </w:r>
          </w:p>
        </w:tc>
        <w:tc>
          <w:tcPr>
            <w:tcW w:w="2664"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8BDF57D" w14:textId="77777777" w:rsidR="00A37D94" w:rsidRPr="00A37D94" w:rsidRDefault="00A37D94" w:rsidP="00A37D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37D94">
              <w:rPr>
                <w:rFonts w:asciiTheme="minorHAnsi" w:eastAsia="Times New Roman" w:hAnsiTheme="minorHAnsi" w:cs="Times New Roman"/>
                <w:b/>
                <w:bCs/>
                <w:color w:val="000000"/>
                <w:kern w:val="0"/>
                <w:szCs w:val="22"/>
                <w:lang w:eastAsia="en-GB"/>
                <w14:ligatures w14:val="none"/>
              </w:rPr>
              <w:t>Research</w:t>
            </w:r>
          </w:p>
        </w:tc>
        <w:tc>
          <w:tcPr>
            <w:tcW w:w="2663" w:type="dxa"/>
            <w:gridSpan w:val="2"/>
            <w:tcBorders>
              <w:top w:val="single" w:sz="4" w:space="0" w:color="auto"/>
              <w:left w:val="nil"/>
              <w:bottom w:val="nil"/>
              <w:right w:val="nil"/>
            </w:tcBorders>
            <w:shd w:val="clear" w:color="000000" w:fill="FFFFFF"/>
            <w:noWrap/>
            <w:vAlign w:val="bottom"/>
            <w:hideMark/>
          </w:tcPr>
          <w:p w14:paraId="2A7FA1CA" w14:textId="77777777" w:rsidR="00A37D94" w:rsidRPr="00A37D94" w:rsidRDefault="00A37D94" w:rsidP="00A37D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37D94">
              <w:rPr>
                <w:rFonts w:asciiTheme="minorHAnsi" w:eastAsia="Times New Roman" w:hAnsiTheme="minorHAnsi" w:cs="Times New Roman"/>
                <w:b/>
                <w:bCs/>
                <w:color w:val="000000"/>
                <w:kern w:val="0"/>
                <w:szCs w:val="22"/>
                <w:lang w:eastAsia="en-GB"/>
                <w14:ligatures w14:val="none"/>
              </w:rPr>
              <w:t>PS</w:t>
            </w:r>
          </w:p>
        </w:tc>
        <w:tc>
          <w:tcPr>
            <w:tcW w:w="2664"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D6E9314" w14:textId="77777777" w:rsidR="00A37D94" w:rsidRPr="00A37D94" w:rsidRDefault="00A37D94" w:rsidP="00A37D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37D94">
              <w:rPr>
                <w:rFonts w:asciiTheme="minorHAnsi" w:eastAsia="Times New Roman" w:hAnsiTheme="minorHAnsi" w:cs="Times New Roman"/>
                <w:b/>
                <w:bCs/>
                <w:color w:val="000000"/>
                <w:kern w:val="0"/>
                <w:szCs w:val="22"/>
                <w:lang w:eastAsia="en-GB"/>
                <w14:ligatures w14:val="none"/>
              </w:rPr>
              <w:t>All colleagues</w:t>
            </w:r>
          </w:p>
        </w:tc>
      </w:tr>
      <w:tr w:rsidR="0073338E" w:rsidRPr="007E2527" w14:paraId="0056D1E3" w14:textId="77777777" w:rsidTr="0073338E">
        <w:trPr>
          <w:trHeight w:val="305"/>
        </w:trPr>
        <w:tc>
          <w:tcPr>
            <w:tcW w:w="2689" w:type="dxa"/>
            <w:tcBorders>
              <w:top w:val="nil"/>
              <w:left w:val="single" w:sz="4" w:space="0" w:color="auto"/>
              <w:bottom w:val="single" w:sz="4" w:space="0" w:color="auto"/>
              <w:right w:val="nil"/>
            </w:tcBorders>
            <w:shd w:val="clear" w:color="000000" w:fill="FFFFFF"/>
            <w:noWrap/>
            <w:vAlign w:val="center"/>
            <w:hideMark/>
          </w:tcPr>
          <w:p w14:paraId="18FBD3F8" w14:textId="77777777" w:rsidR="00A37D94" w:rsidRPr="00A37D94" w:rsidRDefault="00A37D94" w:rsidP="00A37D94">
            <w:pPr>
              <w:spacing w:after="0" w:line="240" w:lineRule="auto"/>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1" w:type="dxa"/>
            <w:tcBorders>
              <w:top w:val="nil"/>
              <w:left w:val="single" w:sz="4" w:space="0" w:color="auto"/>
              <w:bottom w:val="single" w:sz="4" w:space="0" w:color="auto"/>
              <w:right w:val="nil"/>
            </w:tcBorders>
            <w:shd w:val="clear" w:color="000000" w:fill="FFFFFF"/>
            <w:noWrap/>
            <w:vAlign w:val="center"/>
            <w:hideMark/>
          </w:tcPr>
          <w:p w14:paraId="0FFF97FB"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n</w:t>
            </w:r>
          </w:p>
        </w:tc>
        <w:tc>
          <w:tcPr>
            <w:tcW w:w="1332" w:type="dxa"/>
            <w:tcBorders>
              <w:top w:val="nil"/>
              <w:left w:val="nil"/>
              <w:bottom w:val="single" w:sz="4" w:space="0" w:color="auto"/>
              <w:right w:val="nil"/>
            </w:tcBorders>
            <w:shd w:val="clear" w:color="000000" w:fill="FFFFFF"/>
            <w:noWrap/>
            <w:vAlign w:val="center"/>
            <w:hideMark/>
          </w:tcPr>
          <w:p w14:paraId="5B762537"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#occasions</w:t>
            </w:r>
          </w:p>
        </w:tc>
        <w:tc>
          <w:tcPr>
            <w:tcW w:w="1332" w:type="dxa"/>
            <w:tcBorders>
              <w:top w:val="nil"/>
              <w:left w:val="single" w:sz="4" w:space="0" w:color="auto"/>
              <w:bottom w:val="single" w:sz="4" w:space="0" w:color="auto"/>
              <w:right w:val="nil"/>
            </w:tcBorders>
            <w:shd w:val="clear" w:color="000000" w:fill="FFFFFF"/>
            <w:noWrap/>
            <w:vAlign w:val="center"/>
            <w:hideMark/>
          </w:tcPr>
          <w:p w14:paraId="5E7E8F30"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n</w:t>
            </w:r>
          </w:p>
        </w:tc>
        <w:tc>
          <w:tcPr>
            <w:tcW w:w="1332" w:type="dxa"/>
            <w:tcBorders>
              <w:top w:val="nil"/>
              <w:left w:val="nil"/>
              <w:bottom w:val="single" w:sz="4" w:space="0" w:color="auto"/>
              <w:right w:val="single" w:sz="4" w:space="0" w:color="auto"/>
            </w:tcBorders>
            <w:shd w:val="clear" w:color="000000" w:fill="FFFFFF"/>
            <w:noWrap/>
            <w:vAlign w:val="center"/>
            <w:hideMark/>
          </w:tcPr>
          <w:p w14:paraId="384806F8"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#occasions</w:t>
            </w:r>
          </w:p>
        </w:tc>
        <w:tc>
          <w:tcPr>
            <w:tcW w:w="1331" w:type="dxa"/>
            <w:tcBorders>
              <w:top w:val="nil"/>
              <w:left w:val="nil"/>
              <w:bottom w:val="single" w:sz="4" w:space="0" w:color="auto"/>
              <w:right w:val="nil"/>
            </w:tcBorders>
            <w:shd w:val="clear" w:color="000000" w:fill="FFFFFF"/>
            <w:noWrap/>
            <w:vAlign w:val="center"/>
            <w:hideMark/>
          </w:tcPr>
          <w:p w14:paraId="3E402C77"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n</w:t>
            </w:r>
          </w:p>
        </w:tc>
        <w:tc>
          <w:tcPr>
            <w:tcW w:w="1332" w:type="dxa"/>
            <w:tcBorders>
              <w:top w:val="nil"/>
              <w:left w:val="nil"/>
              <w:bottom w:val="single" w:sz="4" w:space="0" w:color="auto"/>
              <w:right w:val="nil"/>
            </w:tcBorders>
            <w:shd w:val="clear" w:color="000000" w:fill="FFFFFF"/>
            <w:noWrap/>
            <w:vAlign w:val="center"/>
            <w:hideMark/>
          </w:tcPr>
          <w:p w14:paraId="3EF698F0"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#occasions</w:t>
            </w:r>
          </w:p>
        </w:tc>
        <w:tc>
          <w:tcPr>
            <w:tcW w:w="1332" w:type="dxa"/>
            <w:tcBorders>
              <w:top w:val="nil"/>
              <w:left w:val="single" w:sz="4" w:space="0" w:color="auto"/>
              <w:bottom w:val="single" w:sz="4" w:space="0" w:color="auto"/>
              <w:right w:val="nil"/>
            </w:tcBorders>
            <w:shd w:val="clear" w:color="000000" w:fill="FFFFFF"/>
            <w:noWrap/>
            <w:vAlign w:val="center"/>
            <w:hideMark/>
          </w:tcPr>
          <w:p w14:paraId="15560283"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n</w:t>
            </w:r>
          </w:p>
        </w:tc>
        <w:tc>
          <w:tcPr>
            <w:tcW w:w="1332" w:type="dxa"/>
            <w:tcBorders>
              <w:top w:val="nil"/>
              <w:left w:val="nil"/>
              <w:bottom w:val="single" w:sz="4" w:space="0" w:color="auto"/>
              <w:right w:val="single" w:sz="4" w:space="0" w:color="auto"/>
            </w:tcBorders>
            <w:shd w:val="clear" w:color="000000" w:fill="FFFFFF"/>
            <w:noWrap/>
            <w:vAlign w:val="center"/>
            <w:hideMark/>
          </w:tcPr>
          <w:p w14:paraId="1FAB0E78" w14:textId="77777777" w:rsidR="00A37D94" w:rsidRPr="00A37D94" w:rsidRDefault="00A37D94" w:rsidP="00A37D94">
            <w:pPr>
              <w:spacing w:after="0" w:line="240" w:lineRule="auto"/>
              <w:jc w:val="center"/>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#occasions</w:t>
            </w:r>
          </w:p>
        </w:tc>
      </w:tr>
      <w:tr w:rsidR="0073338E" w:rsidRPr="007E2527" w14:paraId="39085A82" w14:textId="77777777" w:rsidTr="0073338E">
        <w:trPr>
          <w:trHeight w:val="305"/>
        </w:trPr>
        <w:tc>
          <w:tcPr>
            <w:tcW w:w="2689" w:type="dxa"/>
            <w:tcBorders>
              <w:top w:val="nil"/>
              <w:left w:val="single" w:sz="4" w:space="0" w:color="auto"/>
              <w:bottom w:val="nil"/>
              <w:right w:val="nil"/>
            </w:tcBorders>
            <w:shd w:val="clear" w:color="000000" w:fill="FFFFFF"/>
            <w:noWrap/>
            <w:vAlign w:val="bottom"/>
            <w:hideMark/>
          </w:tcPr>
          <w:p w14:paraId="1DBE9F19" w14:textId="77777777" w:rsidR="00A37D94" w:rsidRPr="00A37D94" w:rsidRDefault="00A37D94" w:rsidP="00A37D94">
            <w:pPr>
              <w:spacing w:after="0" w:line="240" w:lineRule="auto"/>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xml:space="preserve">Adoption </w:t>
            </w:r>
            <w:proofErr w:type="gramStart"/>
            <w:r w:rsidRPr="00A37D94">
              <w:rPr>
                <w:rFonts w:asciiTheme="minorHAnsi" w:eastAsia="Times New Roman" w:hAnsiTheme="minorHAnsi" w:cs="Times New Roman"/>
                <w:color w:val="000000"/>
                <w:kern w:val="0"/>
                <w:szCs w:val="22"/>
                <w:lang w:eastAsia="en-GB"/>
                <w14:ligatures w14:val="none"/>
              </w:rPr>
              <w:t>leave</w:t>
            </w:r>
            <w:proofErr w:type="gramEnd"/>
          </w:p>
        </w:tc>
        <w:tc>
          <w:tcPr>
            <w:tcW w:w="1331" w:type="dxa"/>
            <w:tcBorders>
              <w:top w:val="nil"/>
              <w:left w:val="single" w:sz="4" w:space="0" w:color="auto"/>
              <w:bottom w:val="nil"/>
              <w:right w:val="nil"/>
            </w:tcBorders>
            <w:shd w:val="clear" w:color="000000" w:fill="FFFFFF"/>
            <w:noWrap/>
            <w:vAlign w:val="bottom"/>
            <w:hideMark/>
          </w:tcPr>
          <w:p w14:paraId="34EA4D50"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nil"/>
            </w:tcBorders>
            <w:shd w:val="clear" w:color="000000" w:fill="FFFFFF"/>
            <w:noWrap/>
            <w:vAlign w:val="bottom"/>
            <w:hideMark/>
          </w:tcPr>
          <w:p w14:paraId="1BA4C603"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c>
          <w:tcPr>
            <w:tcW w:w="1332" w:type="dxa"/>
            <w:tcBorders>
              <w:top w:val="nil"/>
              <w:left w:val="single" w:sz="4" w:space="0" w:color="auto"/>
              <w:bottom w:val="nil"/>
              <w:right w:val="nil"/>
            </w:tcBorders>
            <w:shd w:val="clear" w:color="000000" w:fill="FFFFFF"/>
            <w:noWrap/>
            <w:vAlign w:val="bottom"/>
            <w:hideMark/>
          </w:tcPr>
          <w:p w14:paraId="1B4D33AA"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nil"/>
              <w:bottom w:val="nil"/>
              <w:right w:val="single" w:sz="4" w:space="0" w:color="auto"/>
            </w:tcBorders>
            <w:shd w:val="clear" w:color="000000" w:fill="FFFFFF"/>
            <w:noWrap/>
            <w:vAlign w:val="bottom"/>
            <w:hideMark/>
          </w:tcPr>
          <w:p w14:paraId="7BC3BAAD"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1" w:type="dxa"/>
            <w:tcBorders>
              <w:top w:val="nil"/>
              <w:left w:val="nil"/>
              <w:bottom w:val="nil"/>
              <w:right w:val="nil"/>
            </w:tcBorders>
            <w:shd w:val="clear" w:color="000000" w:fill="FFFFFF"/>
            <w:noWrap/>
            <w:vAlign w:val="bottom"/>
            <w:hideMark/>
          </w:tcPr>
          <w:p w14:paraId="1EDD6859"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nil"/>
            </w:tcBorders>
            <w:shd w:val="clear" w:color="000000" w:fill="FFFFFF"/>
            <w:noWrap/>
            <w:vAlign w:val="bottom"/>
            <w:hideMark/>
          </w:tcPr>
          <w:p w14:paraId="2EF8EE95"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c>
          <w:tcPr>
            <w:tcW w:w="1332" w:type="dxa"/>
            <w:tcBorders>
              <w:top w:val="nil"/>
              <w:left w:val="single" w:sz="4" w:space="0" w:color="auto"/>
              <w:bottom w:val="nil"/>
              <w:right w:val="nil"/>
            </w:tcBorders>
            <w:shd w:val="clear" w:color="000000" w:fill="FFFFFF"/>
            <w:noWrap/>
            <w:vAlign w:val="bottom"/>
            <w:hideMark/>
          </w:tcPr>
          <w:p w14:paraId="1EE59236"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single" w:sz="4" w:space="0" w:color="auto"/>
            </w:tcBorders>
            <w:shd w:val="clear" w:color="000000" w:fill="FFFFFF"/>
            <w:noWrap/>
            <w:vAlign w:val="bottom"/>
            <w:hideMark/>
          </w:tcPr>
          <w:p w14:paraId="6826F16A"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r>
      <w:tr w:rsidR="0073338E" w:rsidRPr="007E2527" w14:paraId="5AA9A100" w14:textId="77777777" w:rsidTr="0073338E">
        <w:trPr>
          <w:trHeight w:val="305"/>
        </w:trPr>
        <w:tc>
          <w:tcPr>
            <w:tcW w:w="2689" w:type="dxa"/>
            <w:tcBorders>
              <w:top w:val="nil"/>
              <w:left w:val="single" w:sz="4" w:space="0" w:color="auto"/>
              <w:bottom w:val="nil"/>
              <w:right w:val="nil"/>
            </w:tcBorders>
            <w:shd w:val="clear" w:color="000000" w:fill="FFFFFF"/>
            <w:noWrap/>
            <w:vAlign w:val="bottom"/>
            <w:hideMark/>
          </w:tcPr>
          <w:p w14:paraId="1084EF64" w14:textId="77777777" w:rsidR="00A37D94" w:rsidRPr="00A37D94" w:rsidRDefault="00A37D94" w:rsidP="00A37D94">
            <w:pPr>
              <w:spacing w:after="0" w:line="240" w:lineRule="auto"/>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Maternity leave</w:t>
            </w:r>
          </w:p>
        </w:tc>
        <w:tc>
          <w:tcPr>
            <w:tcW w:w="1331" w:type="dxa"/>
            <w:tcBorders>
              <w:top w:val="nil"/>
              <w:left w:val="single" w:sz="4" w:space="0" w:color="auto"/>
              <w:bottom w:val="nil"/>
              <w:right w:val="nil"/>
            </w:tcBorders>
            <w:shd w:val="clear" w:color="000000" w:fill="FFFFFF"/>
            <w:noWrap/>
            <w:vAlign w:val="bottom"/>
            <w:hideMark/>
          </w:tcPr>
          <w:p w14:paraId="56E091B7"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29</w:t>
            </w:r>
          </w:p>
        </w:tc>
        <w:tc>
          <w:tcPr>
            <w:tcW w:w="1332" w:type="dxa"/>
            <w:tcBorders>
              <w:top w:val="nil"/>
              <w:left w:val="nil"/>
              <w:bottom w:val="nil"/>
              <w:right w:val="nil"/>
            </w:tcBorders>
            <w:shd w:val="clear" w:color="000000" w:fill="FFFFFF"/>
            <w:noWrap/>
            <w:vAlign w:val="bottom"/>
            <w:hideMark/>
          </w:tcPr>
          <w:p w14:paraId="0042F0C7"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29</w:t>
            </w:r>
          </w:p>
        </w:tc>
        <w:tc>
          <w:tcPr>
            <w:tcW w:w="1332" w:type="dxa"/>
            <w:tcBorders>
              <w:top w:val="nil"/>
              <w:left w:val="single" w:sz="4" w:space="0" w:color="auto"/>
              <w:bottom w:val="nil"/>
              <w:right w:val="nil"/>
            </w:tcBorders>
            <w:shd w:val="clear" w:color="000000" w:fill="FFFFFF"/>
            <w:noWrap/>
            <w:vAlign w:val="bottom"/>
            <w:hideMark/>
          </w:tcPr>
          <w:p w14:paraId="231BA6DC"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38</w:t>
            </w:r>
          </w:p>
        </w:tc>
        <w:tc>
          <w:tcPr>
            <w:tcW w:w="1332" w:type="dxa"/>
            <w:tcBorders>
              <w:top w:val="nil"/>
              <w:left w:val="nil"/>
              <w:bottom w:val="nil"/>
              <w:right w:val="single" w:sz="4" w:space="0" w:color="auto"/>
            </w:tcBorders>
            <w:shd w:val="clear" w:color="000000" w:fill="FFFFFF"/>
            <w:noWrap/>
            <w:vAlign w:val="bottom"/>
            <w:hideMark/>
          </w:tcPr>
          <w:p w14:paraId="76DD11F9"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38</w:t>
            </w:r>
          </w:p>
        </w:tc>
        <w:tc>
          <w:tcPr>
            <w:tcW w:w="1331" w:type="dxa"/>
            <w:tcBorders>
              <w:top w:val="nil"/>
              <w:left w:val="nil"/>
              <w:bottom w:val="nil"/>
              <w:right w:val="nil"/>
            </w:tcBorders>
            <w:shd w:val="clear" w:color="000000" w:fill="FFFFFF"/>
            <w:noWrap/>
            <w:vAlign w:val="bottom"/>
            <w:hideMark/>
          </w:tcPr>
          <w:p w14:paraId="1A0773B2"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103</w:t>
            </w:r>
          </w:p>
        </w:tc>
        <w:tc>
          <w:tcPr>
            <w:tcW w:w="1332" w:type="dxa"/>
            <w:tcBorders>
              <w:top w:val="nil"/>
              <w:left w:val="nil"/>
              <w:bottom w:val="nil"/>
              <w:right w:val="nil"/>
            </w:tcBorders>
            <w:shd w:val="clear" w:color="000000" w:fill="FFFFFF"/>
            <w:noWrap/>
            <w:vAlign w:val="bottom"/>
            <w:hideMark/>
          </w:tcPr>
          <w:p w14:paraId="2AEE3F6B"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103</w:t>
            </w:r>
          </w:p>
        </w:tc>
        <w:tc>
          <w:tcPr>
            <w:tcW w:w="1332" w:type="dxa"/>
            <w:tcBorders>
              <w:top w:val="nil"/>
              <w:left w:val="single" w:sz="4" w:space="0" w:color="auto"/>
              <w:bottom w:val="nil"/>
              <w:right w:val="nil"/>
            </w:tcBorders>
            <w:shd w:val="clear" w:color="000000" w:fill="FFFFFF"/>
            <w:noWrap/>
            <w:vAlign w:val="bottom"/>
            <w:hideMark/>
          </w:tcPr>
          <w:p w14:paraId="1103B7DA"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170</w:t>
            </w:r>
          </w:p>
        </w:tc>
        <w:tc>
          <w:tcPr>
            <w:tcW w:w="1332" w:type="dxa"/>
            <w:tcBorders>
              <w:top w:val="nil"/>
              <w:left w:val="nil"/>
              <w:bottom w:val="nil"/>
              <w:right w:val="single" w:sz="4" w:space="0" w:color="auto"/>
            </w:tcBorders>
            <w:shd w:val="clear" w:color="000000" w:fill="FFFFFF"/>
            <w:noWrap/>
            <w:vAlign w:val="bottom"/>
            <w:hideMark/>
          </w:tcPr>
          <w:p w14:paraId="56B0E0B7"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170</w:t>
            </w:r>
          </w:p>
        </w:tc>
      </w:tr>
      <w:tr w:rsidR="0073338E" w:rsidRPr="007E2527" w14:paraId="02D112EE" w14:textId="77777777" w:rsidTr="0073338E">
        <w:trPr>
          <w:trHeight w:val="305"/>
        </w:trPr>
        <w:tc>
          <w:tcPr>
            <w:tcW w:w="2689" w:type="dxa"/>
            <w:tcBorders>
              <w:top w:val="nil"/>
              <w:left w:val="single" w:sz="4" w:space="0" w:color="auto"/>
              <w:bottom w:val="nil"/>
              <w:right w:val="nil"/>
            </w:tcBorders>
            <w:shd w:val="clear" w:color="000000" w:fill="FFFFFF"/>
            <w:noWrap/>
            <w:vAlign w:val="bottom"/>
            <w:hideMark/>
          </w:tcPr>
          <w:p w14:paraId="389252A5" w14:textId="77777777" w:rsidR="00A37D94" w:rsidRPr="00A37D94" w:rsidRDefault="00A37D94" w:rsidP="00A37D94">
            <w:pPr>
              <w:spacing w:after="0" w:line="240" w:lineRule="auto"/>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Paternity leave</w:t>
            </w:r>
          </w:p>
        </w:tc>
        <w:tc>
          <w:tcPr>
            <w:tcW w:w="1331" w:type="dxa"/>
            <w:tcBorders>
              <w:top w:val="nil"/>
              <w:left w:val="single" w:sz="4" w:space="0" w:color="auto"/>
              <w:bottom w:val="nil"/>
              <w:right w:val="nil"/>
            </w:tcBorders>
            <w:shd w:val="clear" w:color="000000" w:fill="FFFFFF"/>
            <w:noWrap/>
            <w:vAlign w:val="bottom"/>
            <w:hideMark/>
          </w:tcPr>
          <w:p w14:paraId="60794F05"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18</w:t>
            </w:r>
          </w:p>
        </w:tc>
        <w:tc>
          <w:tcPr>
            <w:tcW w:w="1332" w:type="dxa"/>
            <w:tcBorders>
              <w:top w:val="nil"/>
              <w:left w:val="nil"/>
              <w:bottom w:val="nil"/>
              <w:right w:val="nil"/>
            </w:tcBorders>
            <w:shd w:val="clear" w:color="000000" w:fill="FFFFFF"/>
            <w:noWrap/>
            <w:vAlign w:val="bottom"/>
            <w:hideMark/>
          </w:tcPr>
          <w:p w14:paraId="28D94CCF"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20</w:t>
            </w:r>
          </w:p>
        </w:tc>
        <w:tc>
          <w:tcPr>
            <w:tcW w:w="1332" w:type="dxa"/>
            <w:tcBorders>
              <w:top w:val="nil"/>
              <w:left w:val="single" w:sz="4" w:space="0" w:color="auto"/>
              <w:bottom w:val="nil"/>
              <w:right w:val="nil"/>
            </w:tcBorders>
            <w:shd w:val="clear" w:color="000000" w:fill="FFFFFF"/>
            <w:noWrap/>
            <w:vAlign w:val="bottom"/>
            <w:hideMark/>
          </w:tcPr>
          <w:p w14:paraId="33645A72"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16</w:t>
            </w:r>
          </w:p>
        </w:tc>
        <w:tc>
          <w:tcPr>
            <w:tcW w:w="1332" w:type="dxa"/>
            <w:tcBorders>
              <w:top w:val="nil"/>
              <w:left w:val="nil"/>
              <w:bottom w:val="nil"/>
              <w:right w:val="single" w:sz="4" w:space="0" w:color="auto"/>
            </w:tcBorders>
            <w:shd w:val="clear" w:color="000000" w:fill="FFFFFF"/>
            <w:noWrap/>
            <w:vAlign w:val="bottom"/>
            <w:hideMark/>
          </w:tcPr>
          <w:p w14:paraId="2BEE9890"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17</w:t>
            </w:r>
          </w:p>
        </w:tc>
        <w:tc>
          <w:tcPr>
            <w:tcW w:w="1331" w:type="dxa"/>
            <w:tcBorders>
              <w:top w:val="nil"/>
              <w:left w:val="nil"/>
              <w:bottom w:val="nil"/>
              <w:right w:val="nil"/>
            </w:tcBorders>
            <w:shd w:val="clear" w:color="000000" w:fill="FFFFFF"/>
            <w:noWrap/>
            <w:vAlign w:val="bottom"/>
            <w:hideMark/>
          </w:tcPr>
          <w:p w14:paraId="7B5F9B49"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29</w:t>
            </w:r>
          </w:p>
        </w:tc>
        <w:tc>
          <w:tcPr>
            <w:tcW w:w="1332" w:type="dxa"/>
            <w:tcBorders>
              <w:top w:val="nil"/>
              <w:left w:val="nil"/>
              <w:bottom w:val="nil"/>
              <w:right w:val="nil"/>
            </w:tcBorders>
            <w:shd w:val="clear" w:color="000000" w:fill="FFFFFF"/>
            <w:noWrap/>
            <w:vAlign w:val="bottom"/>
            <w:hideMark/>
          </w:tcPr>
          <w:p w14:paraId="1DD52A98"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36</w:t>
            </w:r>
          </w:p>
        </w:tc>
        <w:tc>
          <w:tcPr>
            <w:tcW w:w="1332" w:type="dxa"/>
            <w:tcBorders>
              <w:top w:val="nil"/>
              <w:left w:val="single" w:sz="4" w:space="0" w:color="auto"/>
              <w:bottom w:val="nil"/>
              <w:right w:val="nil"/>
            </w:tcBorders>
            <w:shd w:val="clear" w:color="000000" w:fill="FFFFFF"/>
            <w:noWrap/>
            <w:vAlign w:val="bottom"/>
            <w:hideMark/>
          </w:tcPr>
          <w:p w14:paraId="15CFD26D"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63</w:t>
            </w:r>
          </w:p>
        </w:tc>
        <w:tc>
          <w:tcPr>
            <w:tcW w:w="1332" w:type="dxa"/>
            <w:tcBorders>
              <w:top w:val="nil"/>
              <w:left w:val="nil"/>
              <w:bottom w:val="nil"/>
              <w:right w:val="single" w:sz="4" w:space="0" w:color="auto"/>
            </w:tcBorders>
            <w:shd w:val="clear" w:color="000000" w:fill="FFFFFF"/>
            <w:noWrap/>
            <w:vAlign w:val="bottom"/>
            <w:hideMark/>
          </w:tcPr>
          <w:p w14:paraId="60C864D4"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73</w:t>
            </w:r>
          </w:p>
        </w:tc>
      </w:tr>
      <w:tr w:rsidR="0073338E" w:rsidRPr="007E2527" w14:paraId="278A012F" w14:textId="77777777" w:rsidTr="0073338E">
        <w:trPr>
          <w:trHeight w:val="305"/>
        </w:trPr>
        <w:tc>
          <w:tcPr>
            <w:tcW w:w="2689" w:type="dxa"/>
            <w:tcBorders>
              <w:top w:val="nil"/>
              <w:left w:val="single" w:sz="4" w:space="0" w:color="auto"/>
              <w:bottom w:val="nil"/>
              <w:right w:val="nil"/>
            </w:tcBorders>
            <w:shd w:val="clear" w:color="000000" w:fill="FFFFFF"/>
            <w:noWrap/>
            <w:vAlign w:val="bottom"/>
            <w:hideMark/>
          </w:tcPr>
          <w:p w14:paraId="29CFD5E1" w14:textId="77777777" w:rsidR="00A37D94" w:rsidRPr="00A37D94" w:rsidRDefault="00A37D94" w:rsidP="00A37D94">
            <w:pPr>
              <w:spacing w:after="0" w:line="240" w:lineRule="auto"/>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Preterm baby leave</w:t>
            </w:r>
          </w:p>
        </w:tc>
        <w:tc>
          <w:tcPr>
            <w:tcW w:w="1331" w:type="dxa"/>
            <w:tcBorders>
              <w:top w:val="nil"/>
              <w:left w:val="single" w:sz="4" w:space="0" w:color="auto"/>
              <w:bottom w:val="nil"/>
              <w:right w:val="nil"/>
            </w:tcBorders>
            <w:shd w:val="clear" w:color="000000" w:fill="FFFFFF"/>
            <w:noWrap/>
            <w:vAlign w:val="bottom"/>
            <w:hideMark/>
          </w:tcPr>
          <w:p w14:paraId="254CF308"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nil"/>
            </w:tcBorders>
            <w:shd w:val="clear" w:color="000000" w:fill="FFFFFF"/>
            <w:noWrap/>
            <w:vAlign w:val="bottom"/>
            <w:hideMark/>
          </w:tcPr>
          <w:p w14:paraId="14143FAB"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c>
          <w:tcPr>
            <w:tcW w:w="1332" w:type="dxa"/>
            <w:tcBorders>
              <w:top w:val="nil"/>
              <w:left w:val="single" w:sz="4" w:space="0" w:color="auto"/>
              <w:bottom w:val="nil"/>
              <w:right w:val="nil"/>
            </w:tcBorders>
            <w:shd w:val="clear" w:color="000000" w:fill="FFFFFF"/>
            <w:noWrap/>
            <w:vAlign w:val="bottom"/>
            <w:hideMark/>
          </w:tcPr>
          <w:p w14:paraId="67DB3AB7"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nil"/>
              <w:bottom w:val="nil"/>
              <w:right w:val="single" w:sz="4" w:space="0" w:color="auto"/>
            </w:tcBorders>
            <w:shd w:val="clear" w:color="000000" w:fill="FFFFFF"/>
            <w:noWrap/>
            <w:vAlign w:val="bottom"/>
            <w:hideMark/>
          </w:tcPr>
          <w:p w14:paraId="60687624"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1" w:type="dxa"/>
            <w:tcBorders>
              <w:top w:val="nil"/>
              <w:left w:val="nil"/>
              <w:bottom w:val="nil"/>
              <w:right w:val="nil"/>
            </w:tcBorders>
            <w:shd w:val="clear" w:color="000000" w:fill="FFFFFF"/>
            <w:noWrap/>
            <w:vAlign w:val="bottom"/>
            <w:hideMark/>
          </w:tcPr>
          <w:p w14:paraId="22891FFE"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nil"/>
              <w:bottom w:val="nil"/>
              <w:right w:val="nil"/>
            </w:tcBorders>
            <w:shd w:val="clear" w:color="000000" w:fill="FFFFFF"/>
            <w:noWrap/>
            <w:vAlign w:val="bottom"/>
            <w:hideMark/>
          </w:tcPr>
          <w:p w14:paraId="019D0FBF"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single" w:sz="4" w:space="0" w:color="auto"/>
              <w:bottom w:val="nil"/>
              <w:right w:val="nil"/>
            </w:tcBorders>
            <w:shd w:val="clear" w:color="000000" w:fill="FFFFFF"/>
            <w:noWrap/>
            <w:vAlign w:val="bottom"/>
            <w:hideMark/>
          </w:tcPr>
          <w:p w14:paraId="0171B5E8"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single" w:sz="4" w:space="0" w:color="auto"/>
            </w:tcBorders>
            <w:shd w:val="clear" w:color="000000" w:fill="FFFFFF"/>
            <w:noWrap/>
            <w:vAlign w:val="bottom"/>
            <w:hideMark/>
          </w:tcPr>
          <w:p w14:paraId="025C3C82"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r>
      <w:tr w:rsidR="0073338E" w:rsidRPr="007E2527" w14:paraId="23C73495" w14:textId="77777777" w:rsidTr="0073338E">
        <w:trPr>
          <w:trHeight w:val="305"/>
        </w:trPr>
        <w:tc>
          <w:tcPr>
            <w:tcW w:w="2689" w:type="dxa"/>
            <w:tcBorders>
              <w:top w:val="nil"/>
              <w:left w:val="single" w:sz="4" w:space="0" w:color="auto"/>
              <w:bottom w:val="nil"/>
              <w:right w:val="nil"/>
            </w:tcBorders>
            <w:shd w:val="clear" w:color="000000" w:fill="FFFFFF"/>
            <w:noWrap/>
            <w:vAlign w:val="bottom"/>
            <w:hideMark/>
          </w:tcPr>
          <w:p w14:paraId="745C2AE1" w14:textId="77777777" w:rsidR="00A37D94" w:rsidRPr="00A37D94" w:rsidRDefault="00A37D94" w:rsidP="0073338E">
            <w:pPr>
              <w:spacing w:after="0" w:line="240" w:lineRule="auto"/>
              <w:ind w:left="306" w:hanging="284"/>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Shared parental leave (paid and/or unpaid)</w:t>
            </w:r>
          </w:p>
        </w:tc>
        <w:tc>
          <w:tcPr>
            <w:tcW w:w="1331" w:type="dxa"/>
            <w:tcBorders>
              <w:top w:val="nil"/>
              <w:left w:val="single" w:sz="4" w:space="0" w:color="auto"/>
              <w:bottom w:val="nil"/>
              <w:right w:val="nil"/>
            </w:tcBorders>
            <w:shd w:val="clear" w:color="000000" w:fill="FFFFFF"/>
            <w:noWrap/>
            <w:vAlign w:val="bottom"/>
            <w:hideMark/>
          </w:tcPr>
          <w:p w14:paraId="0EE5F36D"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nil"/>
              <w:bottom w:val="nil"/>
              <w:right w:val="nil"/>
            </w:tcBorders>
            <w:shd w:val="clear" w:color="000000" w:fill="FFFFFF"/>
            <w:noWrap/>
            <w:vAlign w:val="bottom"/>
            <w:hideMark/>
          </w:tcPr>
          <w:p w14:paraId="26B84F7A"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single" w:sz="4" w:space="0" w:color="auto"/>
              <w:bottom w:val="nil"/>
              <w:right w:val="nil"/>
            </w:tcBorders>
            <w:shd w:val="clear" w:color="000000" w:fill="FFFFFF"/>
            <w:noWrap/>
            <w:vAlign w:val="bottom"/>
            <w:hideMark/>
          </w:tcPr>
          <w:p w14:paraId="07CDBB9D"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single" w:sz="4" w:space="0" w:color="auto"/>
            </w:tcBorders>
            <w:shd w:val="clear" w:color="000000" w:fill="FFFFFF"/>
            <w:noWrap/>
            <w:vAlign w:val="bottom"/>
            <w:hideMark/>
          </w:tcPr>
          <w:p w14:paraId="7AA323AA"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c>
          <w:tcPr>
            <w:tcW w:w="1331" w:type="dxa"/>
            <w:tcBorders>
              <w:top w:val="nil"/>
              <w:left w:val="nil"/>
              <w:bottom w:val="nil"/>
              <w:right w:val="nil"/>
            </w:tcBorders>
            <w:shd w:val="clear" w:color="000000" w:fill="FFFFFF"/>
            <w:noWrap/>
            <w:vAlign w:val="bottom"/>
            <w:hideMark/>
          </w:tcPr>
          <w:p w14:paraId="5F9C2259"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nil"/>
            </w:tcBorders>
            <w:shd w:val="clear" w:color="000000" w:fill="FFFFFF"/>
            <w:noWrap/>
            <w:vAlign w:val="bottom"/>
            <w:hideMark/>
          </w:tcPr>
          <w:p w14:paraId="03DE9843"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c>
          <w:tcPr>
            <w:tcW w:w="1332" w:type="dxa"/>
            <w:tcBorders>
              <w:top w:val="nil"/>
              <w:left w:val="single" w:sz="4" w:space="0" w:color="auto"/>
              <w:bottom w:val="nil"/>
              <w:right w:val="nil"/>
            </w:tcBorders>
            <w:shd w:val="clear" w:color="000000" w:fill="FFFFFF"/>
            <w:noWrap/>
            <w:vAlign w:val="bottom"/>
            <w:hideMark/>
          </w:tcPr>
          <w:p w14:paraId="0D83F359"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single" w:sz="4" w:space="0" w:color="auto"/>
            </w:tcBorders>
            <w:shd w:val="clear" w:color="000000" w:fill="FFFFFF"/>
            <w:noWrap/>
            <w:vAlign w:val="bottom"/>
            <w:hideMark/>
          </w:tcPr>
          <w:p w14:paraId="1A1B48DE"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r>
      <w:tr w:rsidR="0073338E" w:rsidRPr="007E2527" w14:paraId="4D8FC2B6" w14:textId="77777777" w:rsidTr="0073338E">
        <w:trPr>
          <w:trHeight w:val="305"/>
        </w:trPr>
        <w:tc>
          <w:tcPr>
            <w:tcW w:w="2689" w:type="dxa"/>
            <w:tcBorders>
              <w:top w:val="nil"/>
              <w:left w:val="single" w:sz="4" w:space="0" w:color="auto"/>
              <w:bottom w:val="nil"/>
              <w:right w:val="nil"/>
            </w:tcBorders>
            <w:shd w:val="clear" w:color="000000" w:fill="FFFFFF"/>
            <w:noWrap/>
            <w:vAlign w:val="bottom"/>
            <w:hideMark/>
          </w:tcPr>
          <w:p w14:paraId="2C38F9FE" w14:textId="77777777" w:rsidR="00A37D94" w:rsidRPr="00A37D94" w:rsidRDefault="00A37D94" w:rsidP="00A37D94">
            <w:pPr>
              <w:spacing w:after="0" w:line="240" w:lineRule="auto"/>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Short-term carers leave</w:t>
            </w:r>
          </w:p>
        </w:tc>
        <w:tc>
          <w:tcPr>
            <w:tcW w:w="1331" w:type="dxa"/>
            <w:tcBorders>
              <w:top w:val="nil"/>
              <w:left w:val="single" w:sz="4" w:space="0" w:color="auto"/>
              <w:bottom w:val="nil"/>
              <w:right w:val="nil"/>
            </w:tcBorders>
            <w:shd w:val="clear" w:color="000000" w:fill="FFFFFF"/>
            <w:noWrap/>
            <w:vAlign w:val="bottom"/>
            <w:hideMark/>
          </w:tcPr>
          <w:p w14:paraId="20DB5227"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9</w:t>
            </w:r>
          </w:p>
        </w:tc>
        <w:tc>
          <w:tcPr>
            <w:tcW w:w="1332" w:type="dxa"/>
            <w:tcBorders>
              <w:top w:val="nil"/>
              <w:left w:val="nil"/>
              <w:bottom w:val="nil"/>
              <w:right w:val="nil"/>
            </w:tcBorders>
            <w:shd w:val="clear" w:color="000000" w:fill="FFFFFF"/>
            <w:noWrap/>
            <w:vAlign w:val="bottom"/>
            <w:hideMark/>
          </w:tcPr>
          <w:p w14:paraId="18EB6395"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10</w:t>
            </w:r>
          </w:p>
        </w:tc>
        <w:tc>
          <w:tcPr>
            <w:tcW w:w="1332" w:type="dxa"/>
            <w:tcBorders>
              <w:top w:val="nil"/>
              <w:left w:val="single" w:sz="4" w:space="0" w:color="auto"/>
              <w:bottom w:val="nil"/>
              <w:right w:val="nil"/>
            </w:tcBorders>
            <w:shd w:val="clear" w:color="000000" w:fill="FFFFFF"/>
            <w:noWrap/>
            <w:vAlign w:val="bottom"/>
            <w:hideMark/>
          </w:tcPr>
          <w:p w14:paraId="19581490"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&lt;7</w:t>
            </w:r>
          </w:p>
        </w:tc>
        <w:tc>
          <w:tcPr>
            <w:tcW w:w="1332" w:type="dxa"/>
            <w:tcBorders>
              <w:top w:val="nil"/>
              <w:left w:val="nil"/>
              <w:bottom w:val="nil"/>
              <w:right w:val="single" w:sz="4" w:space="0" w:color="auto"/>
            </w:tcBorders>
            <w:shd w:val="clear" w:color="000000" w:fill="FFFFFF"/>
            <w:noWrap/>
            <w:vAlign w:val="bottom"/>
            <w:hideMark/>
          </w:tcPr>
          <w:p w14:paraId="63198C16"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w:t>
            </w:r>
          </w:p>
        </w:tc>
        <w:tc>
          <w:tcPr>
            <w:tcW w:w="1331" w:type="dxa"/>
            <w:tcBorders>
              <w:top w:val="nil"/>
              <w:left w:val="nil"/>
              <w:bottom w:val="nil"/>
              <w:right w:val="nil"/>
            </w:tcBorders>
            <w:shd w:val="clear" w:color="000000" w:fill="FFFFFF"/>
            <w:noWrap/>
            <w:vAlign w:val="bottom"/>
            <w:hideMark/>
          </w:tcPr>
          <w:p w14:paraId="66201589"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14</w:t>
            </w:r>
          </w:p>
        </w:tc>
        <w:tc>
          <w:tcPr>
            <w:tcW w:w="1332" w:type="dxa"/>
            <w:tcBorders>
              <w:top w:val="nil"/>
              <w:left w:val="nil"/>
              <w:bottom w:val="nil"/>
              <w:right w:val="nil"/>
            </w:tcBorders>
            <w:shd w:val="clear" w:color="000000" w:fill="FFFFFF"/>
            <w:noWrap/>
            <w:vAlign w:val="bottom"/>
            <w:hideMark/>
          </w:tcPr>
          <w:p w14:paraId="77E71809"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15</w:t>
            </w:r>
          </w:p>
        </w:tc>
        <w:tc>
          <w:tcPr>
            <w:tcW w:w="1332" w:type="dxa"/>
            <w:tcBorders>
              <w:top w:val="nil"/>
              <w:left w:val="single" w:sz="4" w:space="0" w:color="auto"/>
              <w:bottom w:val="nil"/>
              <w:right w:val="nil"/>
            </w:tcBorders>
            <w:shd w:val="clear" w:color="000000" w:fill="FFFFFF"/>
            <w:noWrap/>
            <w:vAlign w:val="bottom"/>
            <w:hideMark/>
          </w:tcPr>
          <w:p w14:paraId="7792075A"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27</w:t>
            </w:r>
          </w:p>
        </w:tc>
        <w:tc>
          <w:tcPr>
            <w:tcW w:w="1332" w:type="dxa"/>
            <w:tcBorders>
              <w:top w:val="nil"/>
              <w:left w:val="nil"/>
              <w:bottom w:val="nil"/>
              <w:right w:val="single" w:sz="4" w:space="0" w:color="auto"/>
            </w:tcBorders>
            <w:shd w:val="clear" w:color="000000" w:fill="FFFFFF"/>
            <w:noWrap/>
            <w:vAlign w:val="bottom"/>
            <w:hideMark/>
          </w:tcPr>
          <w:p w14:paraId="38311217"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30</w:t>
            </w:r>
          </w:p>
        </w:tc>
      </w:tr>
      <w:tr w:rsidR="0073338E" w:rsidRPr="007E2527" w14:paraId="5080159E" w14:textId="77777777" w:rsidTr="0073338E">
        <w:trPr>
          <w:trHeight w:val="320"/>
        </w:trPr>
        <w:tc>
          <w:tcPr>
            <w:tcW w:w="2689" w:type="dxa"/>
            <w:tcBorders>
              <w:top w:val="nil"/>
              <w:left w:val="single" w:sz="4" w:space="0" w:color="auto"/>
              <w:bottom w:val="double" w:sz="6" w:space="0" w:color="auto"/>
              <w:right w:val="nil"/>
            </w:tcBorders>
            <w:shd w:val="clear" w:color="000000" w:fill="FFFFFF"/>
            <w:noWrap/>
            <w:vAlign w:val="bottom"/>
            <w:hideMark/>
          </w:tcPr>
          <w:p w14:paraId="1F2DAF77" w14:textId="77777777" w:rsidR="00A37D94" w:rsidRPr="00A37D94" w:rsidRDefault="00A37D94" w:rsidP="00A37D94">
            <w:pPr>
              <w:spacing w:after="0" w:line="240" w:lineRule="auto"/>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Unpaid parental leave</w:t>
            </w:r>
          </w:p>
        </w:tc>
        <w:tc>
          <w:tcPr>
            <w:tcW w:w="1331" w:type="dxa"/>
            <w:tcBorders>
              <w:top w:val="nil"/>
              <w:left w:val="single" w:sz="4" w:space="0" w:color="auto"/>
              <w:bottom w:val="double" w:sz="6" w:space="0" w:color="auto"/>
              <w:right w:val="nil"/>
            </w:tcBorders>
            <w:shd w:val="clear" w:color="000000" w:fill="FFFFFF"/>
            <w:noWrap/>
            <w:vAlign w:val="bottom"/>
            <w:hideMark/>
          </w:tcPr>
          <w:p w14:paraId="36B1188F"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nil"/>
              <w:bottom w:val="double" w:sz="6" w:space="0" w:color="auto"/>
              <w:right w:val="nil"/>
            </w:tcBorders>
            <w:shd w:val="clear" w:color="000000" w:fill="FFFFFF"/>
            <w:noWrap/>
            <w:vAlign w:val="bottom"/>
            <w:hideMark/>
          </w:tcPr>
          <w:p w14:paraId="430805DC"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single" w:sz="4" w:space="0" w:color="auto"/>
              <w:bottom w:val="double" w:sz="6" w:space="0" w:color="auto"/>
              <w:right w:val="nil"/>
            </w:tcBorders>
            <w:shd w:val="clear" w:color="000000" w:fill="FFFFFF"/>
            <w:noWrap/>
            <w:vAlign w:val="bottom"/>
            <w:hideMark/>
          </w:tcPr>
          <w:p w14:paraId="25D58F95"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2" w:type="dxa"/>
            <w:tcBorders>
              <w:top w:val="nil"/>
              <w:left w:val="nil"/>
              <w:bottom w:val="double" w:sz="6" w:space="0" w:color="auto"/>
              <w:right w:val="single" w:sz="4" w:space="0" w:color="auto"/>
            </w:tcBorders>
            <w:shd w:val="clear" w:color="000000" w:fill="FFFFFF"/>
            <w:noWrap/>
            <w:vAlign w:val="bottom"/>
            <w:hideMark/>
          </w:tcPr>
          <w:p w14:paraId="0CF2059F"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 </w:t>
            </w:r>
          </w:p>
        </w:tc>
        <w:tc>
          <w:tcPr>
            <w:tcW w:w="1331" w:type="dxa"/>
            <w:tcBorders>
              <w:top w:val="nil"/>
              <w:left w:val="nil"/>
              <w:bottom w:val="double" w:sz="6" w:space="0" w:color="auto"/>
              <w:right w:val="nil"/>
            </w:tcBorders>
            <w:shd w:val="clear" w:color="000000" w:fill="FFFFFF"/>
            <w:noWrap/>
            <w:vAlign w:val="bottom"/>
            <w:hideMark/>
          </w:tcPr>
          <w:p w14:paraId="3BCE6AF8"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15</w:t>
            </w:r>
          </w:p>
        </w:tc>
        <w:tc>
          <w:tcPr>
            <w:tcW w:w="1332" w:type="dxa"/>
            <w:tcBorders>
              <w:top w:val="nil"/>
              <w:left w:val="nil"/>
              <w:bottom w:val="double" w:sz="6" w:space="0" w:color="auto"/>
              <w:right w:val="nil"/>
            </w:tcBorders>
            <w:shd w:val="clear" w:color="000000" w:fill="FFFFFF"/>
            <w:noWrap/>
            <w:vAlign w:val="bottom"/>
            <w:hideMark/>
          </w:tcPr>
          <w:p w14:paraId="78EA8D7F"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23</w:t>
            </w:r>
          </w:p>
        </w:tc>
        <w:tc>
          <w:tcPr>
            <w:tcW w:w="1332" w:type="dxa"/>
            <w:tcBorders>
              <w:top w:val="nil"/>
              <w:left w:val="single" w:sz="4" w:space="0" w:color="auto"/>
              <w:bottom w:val="double" w:sz="6" w:space="0" w:color="auto"/>
              <w:right w:val="nil"/>
            </w:tcBorders>
            <w:shd w:val="clear" w:color="000000" w:fill="FFFFFF"/>
            <w:noWrap/>
            <w:vAlign w:val="bottom"/>
            <w:hideMark/>
          </w:tcPr>
          <w:p w14:paraId="5943466F"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15</w:t>
            </w:r>
          </w:p>
        </w:tc>
        <w:tc>
          <w:tcPr>
            <w:tcW w:w="1332" w:type="dxa"/>
            <w:tcBorders>
              <w:top w:val="nil"/>
              <w:left w:val="nil"/>
              <w:bottom w:val="double" w:sz="6" w:space="0" w:color="auto"/>
              <w:right w:val="single" w:sz="4" w:space="0" w:color="auto"/>
            </w:tcBorders>
            <w:shd w:val="clear" w:color="000000" w:fill="FFFFFF"/>
            <w:noWrap/>
            <w:vAlign w:val="bottom"/>
            <w:hideMark/>
          </w:tcPr>
          <w:p w14:paraId="04F1EF90" w14:textId="77777777" w:rsidR="00A37D94" w:rsidRPr="00A37D94" w:rsidRDefault="00A37D94" w:rsidP="00A37D94">
            <w:pPr>
              <w:spacing w:after="0" w:line="240" w:lineRule="auto"/>
              <w:jc w:val="right"/>
              <w:rPr>
                <w:rFonts w:asciiTheme="minorHAnsi" w:eastAsia="Times New Roman" w:hAnsiTheme="minorHAnsi" w:cs="Times New Roman"/>
                <w:color w:val="000000"/>
                <w:kern w:val="0"/>
                <w:szCs w:val="22"/>
                <w:lang w:eastAsia="en-GB"/>
                <w14:ligatures w14:val="none"/>
              </w:rPr>
            </w:pPr>
            <w:r w:rsidRPr="00A37D94">
              <w:rPr>
                <w:rFonts w:asciiTheme="minorHAnsi" w:eastAsia="Times New Roman" w:hAnsiTheme="minorHAnsi" w:cs="Times New Roman"/>
                <w:color w:val="000000"/>
                <w:kern w:val="0"/>
                <w:szCs w:val="22"/>
                <w:lang w:eastAsia="en-GB"/>
                <w14:ligatures w14:val="none"/>
              </w:rPr>
              <w:t>23</w:t>
            </w:r>
          </w:p>
        </w:tc>
      </w:tr>
    </w:tbl>
    <w:p w14:paraId="4EC0767B" w14:textId="33CAC735" w:rsidR="00342D6B" w:rsidRPr="007E2527" w:rsidRDefault="00342D6B" w:rsidP="00AE2746">
      <w:pPr>
        <w:rPr>
          <w:rFonts w:asciiTheme="minorHAnsi" w:hAnsiTheme="minorHAnsi"/>
          <w:b/>
          <w:bCs/>
          <w:szCs w:val="22"/>
        </w:rPr>
      </w:pPr>
    </w:p>
    <w:p w14:paraId="6452CE28" w14:textId="1B5E20EA" w:rsidR="00A3269C" w:rsidRPr="007E2527" w:rsidRDefault="00A3269C">
      <w:pPr>
        <w:rPr>
          <w:rFonts w:asciiTheme="minorHAnsi" w:hAnsiTheme="minorHAnsi"/>
          <w:szCs w:val="22"/>
        </w:rPr>
      </w:pPr>
      <w:r w:rsidRPr="007E2527">
        <w:rPr>
          <w:rFonts w:asciiTheme="minorHAnsi" w:hAnsiTheme="minorHAnsi"/>
          <w:szCs w:val="22"/>
        </w:rPr>
        <w:t>Note. Some colleagues have taken the same type of parental leave on more than one occasion within the reporting period.</w:t>
      </w:r>
    </w:p>
    <w:p w14:paraId="6CF344BB" w14:textId="77777777" w:rsidR="00B00240" w:rsidRPr="007E2527" w:rsidRDefault="00B00240">
      <w:pPr>
        <w:rPr>
          <w:rFonts w:asciiTheme="minorHAnsi" w:hAnsiTheme="minorHAnsi"/>
          <w:szCs w:val="22"/>
        </w:rPr>
      </w:pPr>
    </w:p>
    <w:p w14:paraId="6C6B6C91" w14:textId="77777777" w:rsidR="00B00240" w:rsidRPr="007E2527" w:rsidRDefault="00B00240">
      <w:pPr>
        <w:rPr>
          <w:rFonts w:asciiTheme="minorHAnsi" w:hAnsiTheme="minorHAnsi"/>
          <w:szCs w:val="22"/>
        </w:rPr>
      </w:pPr>
    </w:p>
    <w:p w14:paraId="1D403851" w14:textId="77777777" w:rsidR="00B00240" w:rsidRPr="007E2527" w:rsidRDefault="00B00240">
      <w:pPr>
        <w:rPr>
          <w:rFonts w:asciiTheme="minorHAnsi" w:hAnsiTheme="minorHAnsi"/>
          <w:szCs w:val="22"/>
        </w:rPr>
      </w:pPr>
    </w:p>
    <w:p w14:paraId="50A26D34" w14:textId="77777777" w:rsidR="00B00240" w:rsidRPr="007E2527" w:rsidRDefault="00B00240">
      <w:pPr>
        <w:rPr>
          <w:rFonts w:asciiTheme="minorHAnsi" w:hAnsiTheme="minorHAnsi"/>
          <w:szCs w:val="22"/>
        </w:rPr>
      </w:pPr>
    </w:p>
    <w:p w14:paraId="0FE13685" w14:textId="77777777" w:rsidR="00B00240" w:rsidRPr="007E2527" w:rsidRDefault="00B00240">
      <w:pPr>
        <w:rPr>
          <w:rFonts w:asciiTheme="minorHAnsi" w:hAnsiTheme="minorHAnsi"/>
          <w:szCs w:val="22"/>
        </w:rPr>
      </w:pPr>
    </w:p>
    <w:p w14:paraId="3ABEE908" w14:textId="77777777" w:rsidR="00B00240" w:rsidRDefault="00B00240">
      <w:pPr>
        <w:rPr>
          <w:rFonts w:asciiTheme="minorHAnsi" w:hAnsiTheme="minorHAnsi"/>
          <w:szCs w:val="22"/>
        </w:rPr>
      </w:pPr>
    </w:p>
    <w:p w14:paraId="5D627C99" w14:textId="77777777" w:rsidR="00542531" w:rsidRPr="007E2527" w:rsidRDefault="00542531">
      <w:pPr>
        <w:rPr>
          <w:rFonts w:asciiTheme="minorHAnsi" w:hAnsiTheme="minorHAnsi"/>
          <w:szCs w:val="22"/>
        </w:rPr>
      </w:pPr>
    </w:p>
    <w:p w14:paraId="6B3B3D7C" w14:textId="77777777" w:rsidR="00B00240" w:rsidRPr="007E2527" w:rsidRDefault="00B00240">
      <w:pPr>
        <w:rPr>
          <w:rFonts w:asciiTheme="minorHAnsi" w:hAnsiTheme="minorHAnsi"/>
          <w:szCs w:val="22"/>
        </w:rPr>
      </w:pPr>
    </w:p>
    <w:p w14:paraId="73956872" w14:textId="24AF8F8F" w:rsidR="00A3269C" w:rsidRPr="00C90D22" w:rsidRDefault="00A3269C" w:rsidP="00A3269C">
      <w:pPr>
        <w:pStyle w:val="ListParagraph"/>
        <w:numPr>
          <w:ilvl w:val="1"/>
          <w:numId w:val="11"/>
        </w:numPr>
        <w:rPr>
          <w:rFonts w:asciiTheme="minorHAnsi" w:hAnsiTheme="minorHAnsi"/>
          <w:color w:val="0B769F" w:themeColor="accent4" w:themeShade="BF"/>
          <w:sz w:val="28"/>
          <w:szCs w:val="28"/>
        </w:rPr>
      </w:pPr>
      <w:r w:rsidRPr="00C90D22">
        <w:rPr>
          <w:rFonts w:asciiTheme="minorHAnsi" w:hAnsiTheme="minorHAnsi"/>
          <w:color w:val="0B769F" w:themeColor="accent4" w:themeShade="BF"/>
          <w:sz w:val="28"/>
          <w:szCs w:val="28"/>
        </w:rPr>
        <w:lastRenderedPageBreak/>
        <w:t>Religion &amp; Belief</w:t>
      </w:r>
    </w:p>
    <w:p w14:paraId="237743E6" w14:textId="77777777" w:rsidR="00482B2A" w:rsidRPr="007E2527" w:rsidRDefault="00482B2A" w:rsidP="00482B2A">
      <w:pPr>
        <w:pStyle w:val="ListParagraph"/>
        <w:rPr>
          <w:rFonts w:asciiTheme="minorHAnsi" w:hAnsiTheme="minorHAnsi"/>
          <w:color w:val="0B769F" w:themeColor="accent4" w:themeShade="BF"/>
          <w:szCs w:val="22"/>
        </w:rPr>
      </w:pPr>
    </w:p>
    <w:p w14:paraId="15EAEFA0" w14:textId="7E550BE0" w:rsidR="003104A7" w:rsidRPr="007E2527" w:rsidRDefault="003104A7" w:rsidP="003104A7">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religion and belief over time, 2019-2025</w:t>
      </w:r>
    </w:p>
    <w:tbl>
      <w:tblPr>
        <w:tblW w:w="13324" w:type="dxa"/>
        <w:tblLayout w:type="fixed"/>
        <w:tblLook w:val="04A0" w:firstRow="1" w:lastRow="0" w:firstColumn="1" w:lastColumn="0" w:noHBand="0" w:noVBand="1"/>
      </w:tblPr>
      <w:tblGrid>
        <w:gridCol w:w="2948"/>
        <w:gridCol w:w="898"/>
        <w:gridCol w:w="899"/>
        <w:gridCol w:w="899"/>
        <w:gridCol w:w="960"/>
        <w:gridCol w:w="960"/>
        <w:gridCol w:w="960"/>
        <w:gridCol w:w="960"/>
        <w:gridCol w:w="960"/>
        <w:gridCol w:w="960"/>
        <w:gridCol w:w="960"/>
        <w:gridCol w:w="960"/>
      </w:tblGrid>
      <w:tr w:rsidR="00AD7B91" w:rsidRPr="007E2527" w14:paraId="1E1DCFAD" w14:textId="77777777" w:rsidTr="00C90D22">
        <w:trPr>
          <w:trHeight w:val="300"/>
        </w:trPr>
        <w:tc>
          <w:tcPr>
            <w:tcW w:w="2948" w:type="dxa"/>
            <w:tcBorders>
              <w:top w:val="single" w:sz="4" w:space="0" w:color="auto"/>
              <w:left w:val="single" w:sz="4" w:space="0" w:color="auto"/>
              <w:bottom w:val="nil"/>
              <w:right w:val="nil"/>
            </w:tcBorders>
            <w:shd w:val="clear" w:color="000000" w:fill="FFFFFF"/>
            <w:noWrap/>
            <w:vAlign w:val="bottom"/>
            <w:hideMark/>
          </w:tcPr>
          <w:p w14:paraId="0BCE7758"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 </w:t>
            </w:r>
          </w:p>
        </w:tc>
        <w:tc>
          <w:tcPr>
            <w:tcW w:w="898" w:type="dxa"/>
            <w:tcBorders>
              <w:top w:val="single" w:sz="4" w:space="0" w:color="auto"/>
              <w:left w:val="single" w:sz="4" w:space="0" w:color="auto"/>
              <w:bottom w:val="nil"/>
              <w:right w:val="single" w:sz="4" w:space="0" w:color="auto"/>
            </w:tcBorders>
            <w:shd w:val="clear" w:color="000000" w:fill="FFFFFF"/>
            <w:noWrap/>
            <w:vAlign w:val="bottom"/>
            <w:hideMark/>
          </w:tcPr>
          <w:p w14:paraId="0AC5214C" w14:textId="77777777" w:rsidR="00AD7B91" w:rsidRPr="00AD7B91" w:rsidRDefault="00AD7B91" w:rsidP="00AD7B9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2019</w:t>
            </w:r>
          </w:p>
        </w:tc>
        <w:tc>
          <w:tcPr>
            <w:tcW w:w="899" w:type="dxa"/>
            <w:tcBorders>
              <w:top w:val="single" w:sz="4" w:space="0" w:color="auto"/>
              <w:left w:val="nil"/>
              <w:bottom w:val="nil"/>
              <w:right w:val="nil"/>
            </w:tcBorders>
            <w:shd w:val="clear" w:color="000000" w:fill="FFFFFF"/>
            <w:noWrap/>
            <w:vAlign w:val="bottom"/>
            <w:hideMark/>
          </w:tcPr>
          <w:p w14:paraId="479B082C" w14:textId="77777777" w:rsidR="00AD7B91" w:rsidRPr="00AD7B91" w:rsidRDefault="00AD7B91" w:rsidP="00AD7B9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2020</w:t>
            </w:r>
          </w:p>
        </w:tc>
        <w:tc>
          <w:tcPr>
            <w:tcW w:w="899" w:type="dxa"/>
            <w:tcBorders>
              <w:top w:val="single" w:sz="4" w:space="0" w:color="auto"/>
              <w:left w:val="single" w:sz="4" w:space="0" w:color="auto"/>
              <w:bottom w:val="nil"/>
              <w:right w:val="single" w:sz="4" w:space="0" w:color="auto"/>
            </w:tcBorders>
            <w:shd w:val="clear" w:color="000000" w:fill="FFFFFF"/>
            <w:noWrap/>
            <w:vAlign w:val="bottom"/>
            <w:hideMark/>
          </w:tcPr>
          <w:p w14:paraId="2195563B" w14:textId="77777777" w:rsidR="00AD7B91" w:rsidRPr="00AD7B91" w:rsidRDefault="00AD7B91" w:rsidP="00AD7B9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919CB87" w14:textId="77777777" w:rsidR="00AD7B91" w:rsidRPr="00AD7B91" w:rsidRDefault="00AD7B91" w:rsidP="00AD7B9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DA1FFCA" w14:textId="77777777" w:rsidR="00AD7B91" w:rsidRPr="00AD7B91" w:rsidRDefault="00AD7B91" w:rsidP="00AD7B9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ADECB0F" w14:textId="77777777" w:rsidR="00AD7B91" w:rsidRPr="00AD7B91" w:rsidRDefault="00AD7B91" w:rsidP="00AD7B9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0210731" w14:textId="77777777" w:rsidR="00AD7B91" w:rsidRPr="00AD7B91" w:rsidRDefault="00AD7B91" w:rsidP="00AD7B9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2025</w:t>
            </w:r>
          </w:p>
        </w:tc>
      </w:tr>
      <w:tr w:rsidR="00AD7B91" w:rsidRPr="007E2527" w14:paraId="526610D2" w14:textId="77777777" w:rsidTr="00C90D22">
        <w:trPr>
          <w:trHeight w:val="300"/>
        </w:trPr>
        <w:tc>
          <w:tcPr>
            <w:tcW w:w="2948" w:type="dxa"/>
            <w:tcBorders>
              <w:top w:val="nil"/>
              <w:left w:val="single" w:sz="4" w:space="0" w:color="auto"/>
              <w:bottom w:val="single" w:sz="4" w:space="0" w:color="auto"/>
              <w:right w:val="nil"/>
            </w:tcBorders>
            <w:shd w:val="clear" w:color="000000" w:fill="FFFFFF"/>
            <w:noWrap/>
            <w:vAlign w:val="bottom"/>
            <w:hideMark/>
          </w:tcPr>
          <w:p w14:paraId="78B4D066" w14:textId="77777777" w:rsidR="00AD7B91" w:rsidRPr="00AD7B91" w:rsidRDefault="00AD7B91" w:rsidP="00AD7B91">
            <w:pPr>
              <w:spacing w:after="0" w:line="240" w:lineRule="auto"/>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 </w:t>
            </w:r>
          </w:p>
        </w:tc>
        <w:tc>
          <w:tcPr>
            <w:tcW w:w="898" w:type="dxa"/>
            <w:tcBorders>
              <w:top w:val="nil"/>
              <w:left w:val="single" w:sz="4" w:space="0" w:color="auto"/>
              <w:bottom w:val="single" w:sz="4" w:space="0" w:color="auto"/>
              <w:right w:val="single" w:sz="4" w:space="0" w:color="auto"/>
            </w:tcBorders>
            <w:shd w:val="clear" w:color="000000" w:fill="FFFFFF"/>
            <w:noWrap/>
            <w:vAlign w:val="bottom"/>
            <w:hideMark/>
          </w:tcPr>
          <w:p w14:paraId="4BABCDDE"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899" w:type="dxa"/>
            <w:tcBorders>
              <w:top w:val="nil"/>
              <w:left w:val="nil"/>
              <w:bottom w:val="single" w:sz="4" w:space="0" w:color="auto"/>
              <w:right w:val="nil"/>
            </w:tcBorders>
            <w:shd w:val="clear" w:color="000000" w:fill="FFFFFF"/>
            <w:noWrap/>
            <w:vAlign w:val="bottom"/>
            <w:hideMark/>
          </w:tcPr>
          <w:p w14:paraId="19059E62"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899" w:type="dxa"/>
            <w:tcBorders>
              <w:top w:val="nil"/>
              <w:left w:val="single" w:sz="4" w:space="0" w:color="auto"/>
              <w:bottom w:val="single" w:sz="4" w:space="0" w:color="auto"/>
              <w:right w:val="single" w:sz="4" w:space="0" w:color="auto"/>
            </w:tcBorders>
            <w:shd w:val="clear" w:color="000000" w:fill="FFFFFF"/>
            <w:noWrap/>
            <w:vAlign w:val="bottom"/>
            <w:hideMark/>
          </w:tcPr>
          <w:p w14:paraId="0799DC30"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4A0D4F6"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1916ABB3"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15C5ACB3"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B7F0B1E"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3DA71AA"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E475295"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138176F"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FE80074" w14:textId="77777777" w:rsidR="00AD7B91" w:rsidRPr="00AD7B91" w:rsidRDefault="00AD7B91" w:rsidP="00AD7B91">
            <w:pPr>
              <w:spacing w:after="0" w:line="240" w:lineRule="auto"/>
              <w:jc w:val="center"/>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r>
      <w:tr w:rsidR="00AD7B91" w:rsidRPr="007E2527" w14:paraId="04C56114"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30A02859"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Religion and Belief</w:t>
            </w:r>
          </w:p>
        </w:tc>
        <w:tc>
          <w:tcPr>
            <w:tcW w:w="898" w:type="dxa"/>
            <w:tcBorders>
              <w:top w:val="nil"/>
              <w:left w:val="single" w:sz="4" w:space="0" w:color="auto"/>
              <w:bottom w:val="nil"/>
              <w:right w:val="single" w:sz="4" w:space="0" w:color="auto"/>
            </w:tcBorders>
            <w:shd w:val="clear" w:color="000000" w:fill="FFFFFF"/>
            <w:noWrap/>
            <w:vAlign w:val="bottom"/>
            <w:hideMark/>
          </w:tcPr>
          <w:p w14:paraId="0B38B2EE"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12.8%</w:t>
            </w:r>
          </w:p>
        </w:tc>
        <w:tc>
          <w:tcPr>
            <w:tcW w:w="899" w:type="dxa"/>
            <w:tcBorders>
              <w:top w:val="nil"/>
              <w:left w:val="nil"/>
              <w:bottom w:val="nil"/>
              <w:right w:val="nil"/>
            </w:tcBorders>
            <w:shd w:val="clear" w:color="000000" w:fill="FFFFFF"/>
            <w:noWrap/>
            <w:vAlign w:val="bottom"/>
            <w:hideMark/>
          </w:tcPr>
          <w:p w14:paraId="19350AB6"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13.3%</w:t>
            </w:r>
          </w:p>
        </w:tc>
        <w:tc>
          <w:tcPr>
            <w:tcW w:w="899" w:type="dxa"/>
            <w:tcBorders>
              <w:top w:val="nil"/>
              <w:left w:val="single" w:sz="4" w:space="0" w:color="auto"/>
              <w:bottom w:val="nil"/>
              <w:right w:val="single" w:sz="4" w:space="0" w:color="auto"/>
            </w:tcBorders>
            <w:shd w:val="clear" w:color="000000" w:fill="FFFFFF"/>
            <w:noWrap/>
            <w:vAlign w:val="bottom"/>
            <w:hideMark/>
          </w:tcPr>
          <w:p w14:paraId="22E8AF14"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15.1%</w:t>
            </w:r>
          </w:p>
        </w:tc>
        <w:tc>
          <w:tcPr>
            <w:tcW w:w="960" w:type="dxa"/>
            <w:tcBorders>
              <w:top w:val="nil"/>
              <w:left w:val="nil"/>
              <w:bottom w:val="nil"/>
              <w:right w:val="nil"/>
            </w:tcBorders>
            <w:shd w:val="clear" w:color="000000" w:fill="FFFFFF"/>
            <w:noWrap/>
            <w:vAlign w:val="bottom"/>
            <w:hideMark/>
          </w:tcPr>
          <w:p w14:paraId="53914644"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1147</w:t>
            </w:r>
          </w:p>
        </w:tc>
        <w:tc>
          <w:tcPr>
            <w:tcW w:w="960" w:type="dxa"/>
            <w:tcBorders>
              <w:top w:val="nil"/>
              <w:left w:val="nil"/>
              <w:bottom w:val="nil"/>
              <w:right w:val="nil"/>
            </w:tcBorders>
            <w:shd w:val="clear" w:color="000000" w:fill="FFFFFF"/>
            <w:noWrap/>
            <w:vAlign w:val="bottom"/>
            <w:hideMark/>
          </w:tcPr>
          <w:p w14:paraId="07417ACB"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17.9%</w:t>
            </w:r>
          </w:p>
        </w:tc>
        <w:tc>
          <w:tcPr>
            <w:tcW w:w="960" w:type="dxa"/>
            <w:tcBorders>
              <w:top w:val="nil"/>
              <w:left w:val="single" w:sz="4" w:space="0" w:color="auto"/>
              <w:bottom w:val="nil"/>
              <w:right w:val="nil"/>
            </w:tcBorders>
            <w:shd w:val="clear" w:color="000000" w:fill="FFFFFF"/>
            <w:noWrap/>
            <w:vAlign w:val="bottom"/>
            <w:hideMark/>
          </w:tcPr>
          <w:p w14:paraId="76107A4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1314</w:t>
            </w:r>
          </w:p>
        </w:tc>
        <w:tc>
          <w:tcPr>
            <w:tcW w:w="960" w:type="dxa"/>
            <w:tcBorders>
              <w:top w:val="nil"/>
              <w:left w:val="nil"/>
              <w:bottom w:val="nil"/>
              <w:right w:val="single" w:sz="4" w:space="0" w:color="auto"/>
            </w:tcBorders>
            <w:shd w:val="clear" w:color="000000" w:fill="FFFFFF"/>
            <w:noWrap/>
            <w:vAlign w:val="bottom"/>
            <w:hideMark/>
          </w:tcPr>
          <w:p w14:paraId="713039BA"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20.5%</w:t>
            </w:r>
          </w:p>
        </w:tc>
        <w:tc>
          <w:tcPr>
            <w:tcW w:w="960" w:type="dxa"/>
            <w:tcBorders>
              <w:top w:val="nil"/>
              <w:left w:val="nil"/>
              <w:bottom w:val="nil"/>
              <w:right w:val="nil"/>
            </w:tcBorders>
            <w:shd w:val="clear" w:color="000000" w:fill="FFFFFF"/>
            <w:noWrap/>
            <w:vAlign w:val="bottom"/>
            <w:hideMark/>
          </w:tcPr>
          <w:p w14:paraId="6223947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1516</w:t>
            </w:r>
          </w:p>
        </w:tc>
        <w:tc>
          <w:tcPr>
            <w:tcW w:w="960" w:type="dxa"/>
            <w:tcBorders>
              <w:top w:val="nil"/>
              <w:left w:val="nil"/>
              <w:bottom w:val="nil"/>
              <w:right w:val="single" w:sz="4" w:space="0" w:color="auto"/>
            </w:tcBorders>
            <w:shd w:val="clear" w:color="000000" w:fill="FFFFFF"/>
            <w:noWrap/>
            <w:vAlign w:val="bottom"/>
            <w:hideMark/>
          </w:tcPr>
          <w:p w14:paraId="0A03C233"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23.1%</w:t>
            </w:r>
          </w:p>
        </w:tc>
        <w:tc>
          <w:tcPr>
            <w:tcW w:w="960" w:type="dxa"/>
            <w:tcBorders>
              <w:top w:val="nil"/>
              <w:left w:val="nil"/>
              <w:bottom w:val="nil"/>
              <w:right w:val="nil"/>
            </w:tcBorders>
            <w:shd w:val="clear" w:color="000000" w:fill="FFFFFF"/>
            <w:noWrap/>
            <w:vAlign w:val="bottom"/>
            <w:hideMark/>
          </w:tcPr>
          <w:p w14:paraId="4D3DC2A4"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1510</w:t>
            </w:r>
          </w:p>
        </w:tc>
        <w:tc>
          <w:tcPr>
            <w:tcW w:w="960" w:type="dxa"/>
            <w:tcBorders>
              <w:top w:val="nil"/>
              <w:left w:val="nil"/>
              <w:bottom w:val="nil"/>
              <w:right w:val="single" w:sz="4" w:space="0" w:color="auto"/>
            </w:tcBorders>
            <w:shd w:val="clear" w:color="000000" w:fill="FFFFFF"/>
            <w:noWrap/>
            <w:vAlign w:val="bottom"/>
            <w:hideMark/>
          </w:tcPr>
          <w:p w14:paraId="5560FC8C"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24.2%</w:t>
            </w:r>
          </w:p>
        </w:tc>
      </w:tr>
      <w:tr w:rsidR="00AD7B91" w:rsidRPr="007E2527" w14:paraId="2964AC3C"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2329E40E" w14:textId="77777777" w:rsidR="00AD7B91" w:rsidRPr="00AD7B91" w:rsidRDefault="00AD7B91" w:rsidP="00AD7B9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Buddhist</w:t>
            </w:r>
          </w:p>
        </w:tc>
        <w:tc>
          <w:tcPr>
            <w:tcW w:w="898" w:type="dxa"/>
            <w:tcBorders>
              <w:top w:val="nil"/>
              <w:left w:val="single" w:sz="4" w:space="0" w:color="auto"/>
              <w:bottom w:val="nil"/>
              <w:right w:val="single" w:sz="4" w:space="0" w:color="auto"/>
            </w:tcBorders>
            <w:shd w:val="clear" w:color="000000" w:fill="FFFFFF"/>
            <w:noWrap/>
            <w:vAlign w:val="bottom"/>
            <w:hideMark/>
          </w:tcPr>
          <w:p w14:paraId="191EB1D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0.2%</w:t>
            </w:r>
          </w:p>
        </w:tc>
        <w:tc>
          <w:tcPr>
            <w:tcW w:w="899" w:type="dxa"/>
            <w:tcBorders>
              <w:top w:val="nil"/>
              <w:left w:val="nil"/>
              <w:bottom w:val="nil"/>
              <w:right w:val="nil"/>
            </w:tcBorders>
            <w:shd w:val="clear" w:color="000000" w:fill="FFFFFF"/>
            <w:noWrap/>
            <w:vAlign w:val="bottom"/>
            <w:hideMark/>
          </w:tcPr>
          <w:p w14:paraId="499A881C"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0.2%</w:t>
            </w:r>
          </w:p>
        </w:tc>
        <w:tc>
          <w:tcPr>
            <w:tcW w:w="899" w:type="dxa"/>
            <w:tcBorders>
              <w:top w:val="nil"/>
              <w:left w:val="single" w:sz="4" w:space="0" w:color="auto"/>
              <w:bottom w:val="nil"/>
              <w:right w:val="single" w:sz="4" w:space="0" w:color="auto"/>
            </w:tcBorders>
            <w:shd w:val="clear" w:color="000000" w:fill="FFFFFF"/>
            <w:noWrap/>
            <w:vAlign w:val="bottom"/>
            <w:hideMark/>
          </w:tcPr>
          <w:p w14:paraId="48647AAE"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0.2%</w:t>
            </w:r>
          </w:p>
        </w:tc>
        <w:tc>
          <w:tcPr>
            <w:tcW w:w="960" w:type="dxa"/>
            <w:tcBorders>
              <w:top w:val="nil"/>
              <w:left w:val="nil"/>
              <w:bottom w:val="nil"/>
              <w:right w:val="nil"/>
            </w:tcBorders>
            <w:shd w:val="clear" w:color="000000" w:fill="FFFFFF"/>
            <w:noWrap/>
            <w:vAlign w:val="bottom"/>
            <w:hideMark/>
          </w:tcPr>
          <w:p w14:paraId="51C33D40"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23</w:t>
            </w:r>
          </w:p>
        </w:tc>
        <w:tc>
          <w:tcPr>
            <w:tcW w:w="960" w:type="dxa"/>
            <w:tcBorders>
              <w:top w:val="nil"/>
              <w:left w:val="nil"/>
              <w:bottom w:val="nil"/>
              <w:right w:val="nil"/>
            </w:tcBorders>
            <w:shd w:val="clear" w:color="000000" w:fill="FFFFFF"/>
            <w:noWrap/>
            <w:vAlign w:val="bottom"/>
            <w:hideMark/>
          </w:tcPr>
          <w:p w14:paraId="4A11AA7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0.4%</w:t>
            </w:r>
          </w:p>
        </w:tc>
        <w:tc>
          <w:tcPr>
            <w:tcW w:w="960" w:type="dxa"/>
            <w:tcBorders>
              <w:top w:val="nil"/>
              <w:left w:val="single" w:sz="4" w:space="0" w:color="auto"/>
              <w:bottom w:val="nil"/>
              <w:right w:val="nil"/>
            </w:tcBorders>
            <w:shd w:val="clear" w:color="000000" w:fill="FFFFFF"/>
            <w:noWrap/>
            <w:vAlign w:val="bottom"/>
            <w:hideMark/>
          </w:tcPr>
          <w:p w14:paraId="22C6B9B5"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22</w:t>
            </w:r>
          </w:p>
        </w:tc>
        <w:tc>
          <w:tcPr>
            <w:tcW w:w="960" w:type="dxa"/>
            <w:tcBorders>
              <w:top w:val="nil"/>
              <w:left w:val="nil"/>
              <w:bottom w:val="nil"/>
              <w:right w:val="single" w:sz="4" w:space="0" w:color="auto"/>
            </w:tcBorders>
            <w:shd w:val="clear" w:color="000000" w:fill="FFFFFF"/>
            <w:noWrap/>
            <w:vAlign w:val="bottom"/>
            <w:hideMark/>
          </w:tcPr>
          <w:p w14:paraId="3CCF19FD"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0.3%</w:t>
            </w:r>
          </w:p>
        </w:tc>
        <w:tc>
          <w:tcPr>
            <w:tcW w:w="960" w:type="dxa"/>
            <w:tcBorders>
              <w:top w:val="nil"/>
              <w:left w:val="nil"/>
              <w:bottom w:val="nil"/>
              <w:right w:val="nil"/>
            </w:tcBorders>
            <w:shd w:val="clear" w:color="000000" w:fill="FFFFFF"/>
            <w:noWrap/>
            <w:vAlign w:val="bottom"/>
            <w:hideMark/>
          </w:tcPr>
          <w:p w14:paraId="7024D274"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34</w:t>
            </w:r>
          </w:p>
        </w:tc>
        <w:tc>
          <w:tcPr>
            <w:tcW w:w="960" w:type="dxa"/>
            <w:tcBorders>
              <w:top w:val="nil"/>
              <w:left w:val="nil"/>
              <w:bottom w:val="nil"/>
              <w:right w:val="single" w:sz="4" w:space="0" w:color="auto"/>
            </w:tcBorders>
            <w:shd w:val="clear" w:color="000000" w:fill="FFFFFF"/>
            <w:noWrap/>
            <w:vAlign w:val="bottom"/>
            <w:hideMark/>
          </w:tcPr>
          <w:p w14:paraId="4FAA9A49"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0.5%</w:t>
            </w:r>
          </w:p>
        </w:tc>
        <w:tc>
          <w:tcPr>
            <w:tcW w:w="960" w:type="dxa"/>
            <w:tcBorders>
              <w:top w:val="nil"/>
              <w:left w:val="nil"/>
              <w:bottom w:val="nil"/>
              <w:right w:val="nil"/>
            </w:tcBorders>
            <w:shd w:val="clear" w:color="000000" w:fill="FFFFFF"/>
            <w:noWrap/>
            <w:vAlign w:val="bottom"/>
            <w:hideMark/>
          </w:tcPr>
          <w:p w14:paraId="5EEDBCF5"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40</w:t>
            </w:r>
          </w:p>
        </w:tc>
        <w:tc>
          <w:tcPr>
            <w:tcW w:w="960" w:type="dxa"/>
            <w:tcBorders>
              <w:top w:val="nil"/>
              <w:left w:val="nil"/>
              <w:bottom w:val="nil"/>
              <w:right w:val="single" w:sz="4" w:space="0" w:color="auto"/>
            </w:tcBorders>
            <w:shd w:val="clear" w:color="000000" w:fill="FFFFFF"/>
            <w:noWrap/>
            <w:vAlign w:val="bottom"/>
            <w:hideMark/>
          </w:tcPr>
          <w:p w14:paraId="6176E60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0.6%</w:t>
            </w:r>
          </w:p>
        </w:tc>
      </w:tr>
      <w:tr w:rsidR="00AD7B91" w:rsidRPr="007E2527" w14:paraId="64345CCD"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16304B06" w14:textId="77777777" w:rsidR="00AD7B91" w:rsidRPr="00AD7B91" w:rsidRDefault="00AD7B91" w:rsidP="00AD7B9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Christian</w:t>
            </w:r>
          </w:p>
        </w:tc>
        <w:tc>
          <w:tcPr>
            <w:tcW w:w="898" w:type="dxa"/>
            <w:tcBorders>
              <w:top w:val="nil"/>
              <w:left w:val="single" w:sz="4" w:space="0" w:color="auto"/>
              <w:bottom w:val="nil"/>
              <w:right w:val="single" w:sz="4" w:space="0" w:color="auto"/>
            </w:tcBorders>
            <w:shd w:val="clear" w:color="000000" w:fill="FFFFFF"/>
            <w:noWrap/>
            <w:vAlign w:val="bottom"/>
            <w:hideMark/>
          </w:tcPr>
          <w:p w14:paraId="55BAD4C2"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11.5%</w:t>
            </w:r>
          </w:p>
        </w:tc>
        <w:tc>
          <w:tcPr>
            <w:tcW w:w="899" w:type="dxa"/>
            <w:tcBorders>
              <w:top w:val="nil"/>
              <w:left w:val="nil"/>
              <w:bottom w:val="nil"/>
              <w:right w:val="nil"/>
            </w:tcBorders>
            <w:shd w:val="clear" w:color="000000" w:fill="FFFFFF"/>
            <w:noWrap/>
            <w:vAlign w:val="bottom"/>
            <w:hideMark/>
          </w:tcPr>
          <w:p w14:paraId="7B80FD6D"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11.3%</w:t>
            </w:r>
          </w:p>
        </w:tc>
        <w:tc>
          <w:tcPr>
            <w:tcW w:w="899" w:type="dxa"/>
            <w:tcBorders>
              <w:top w:val="nil"/>
              <w:left w:val="single" w:sz="4" w:space="0" w:color="auto"/>
              <w:bottom w:val="nil"/>
              <w:right w:val="single" w:sz="4" w:space="0" w:color="auto"/>
            </w:tcBorders>
            <w:shd w:val="clear" w:color="000000" w:fill="FFFFFF"/>
            <w:noWrap/>
            <w:vAlign w:val="bottom"/>
            <w:hideMark/>
          </w:tcPr>
          <w:p w14:paraId="1E872E78"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12.3%</w:t>
            </w:r>
          </w:p>
        </w:tc>
        <w:tc>
          <w:tcPr>
            <w:tcW w:w="960" w:type="dxa"/>
            <w:tcBorders>
              <w:top w:val="nil"/>
              <w:left w:val="nil"/>
              <w:bottom w:val="nil"/>
              <w:right w:val="nil"/>
            </w:tcBorders>
            <w:shd w:val="clear" w:color="000000" w:fill="FFFFFF"/>
            <w:noWrap/>
            <w:vAlign w:val="bottom"/>
            <w:hideMark/>
          </w:tcPr>
          <w:p w14:paraId="430E6C6A"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859</w:t>
            </w:r>
          </w:p>
        </w:tc>
        <w:tc>
          <w:tcPr>
            <w:tcW w:w="960" w:type="dxa"/>
            <w:tcBorders>
              <w:top w:val="nil"/>
              <w:left w:val="nil"/>
              <w:bottom w:val="nil"/>
              <w:right w:val="nil"/>
            </w:tcBorders>
            <w:shd w:val="clear" w:color="000000" w:fill="FFFFFF"/>
            <w:noWrap/>
            <w:vAlign w:val="bottom"/>
            <w:hideMark/>
          </w:tcPr>
          <w:p w14:paraId="1B61E88A"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13.4%</w:t>
            </w:r>
          </w:p>
        </w:tc>
        <w:tc>
          <w:tcPr>
            <w:tcW w:w="960" w:type="dxa"/>
            <w:tcBorders>
              <w:top w:val="nil"/>
              <w:left w:val="single" w:sz="4" w:space="0" w:color="auto"/>
              <w:bottom w:val="nil"/>
              <w:right w:val="nil"/>
            </w:tcBorders>
            <w:shd w:val="clear" w:color="000000" w:fill="FFFFFF"/>
            <w:noWrap/>
            <w:vAlign w:val="bottom"/>
            <w:hideMark/>
          </w:tcPr>
          <w:p w14:paraId="1622BB4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948</w:t>
            </w:r>
          </w:p>
        </w:tc>
        <w:tc>
          <w:tcPr>
            <w:tcW w:w="960" w:type="dxa"/>
            <w:tcBorders>
              <w:top w:val="nil"/>
              <w:left w:val="nil"/>
              <w:bottom w:val="nil"/>
              <w:right w:val="single" w:sz="4" w:space="0" w:color="auto"/>
            </w:tcBorders>
            <w:shd w:val="clear" w:color="000000" w:fill="FFFFFF"/>
            <w:noWrap/>
            <w:vAlign w:val="bottom"/>
            <w:hideMark/>
          </w:tcPr>
          <w:p w14:paraId="4D77F8D3"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14.8%</w:t>
            </w:r>
          </w:p>
        </w:tc>
        <w:tc>
          <w:tcPr>
            <w:tcW w:w="960" w:type="dxa"/>
            <w:tcBorders>
              <w:top w:val="nil"/>
              <w:left w:val="nil"/>
              <w:bottom w:val="nil"/>
              <w:right w:val="nil"/>
            </w:tcBorders>
            <w:shd w:val="clear" w:color="000000" w:fill="FFFFFF"/>
            <w:noWrap/>
            <w:vAlign w:val="bottom"/>
            <w:hideMark/>
          </w:tcPr>
          <w:p w14:paraId="0E91828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1051</w:t>
            </w:r>
          </w:p>
        </w:tc>
        <w:tc>
          <w:tcPr>
            <w:tcW w:w="960" w:type="dxa"/>
            <w:tcBorders>
              <w:top w:val="nil"/>
              <w:left w:val="nil"/>
              <w:bottom w:val="nil"/>
              <w:right w:val="single" w:sz="4" w:space="0" w:color="auto"/>
            </w:tcBorders>
            <w:shd w:val="clear" w:color="000000" w:fill="FFFFFF"/>
            <w:noWrap/>
            <w:vAlign w:val="bottom"/>
            <w:hideMark/>
          </w:tcPr>
          <w:p w14:paraId="7F4A5B7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16.0%</w:t>
            </w:r>
          </w:p>
        </w:tc>
        <w:tc>
          <w:tcPr>
            <w:tcW w:w="960" w:type="dxa"/>
            <w:tcBorders>
              <w:top w:val="nil"/>
              <w:left w:val="nil"/>
              <w:bottom w:val="nil"/>
              <w:right w:val="nil"/>
            </w:tcBorders>
            <w:shd w:val="clear" w:color="000000" w:fill="FFFFFF"/>
            <w:noWrap/>
            <w:vAlign w:val="bottom"/>
            <w:hideMark/>
          </w:tcPr>
          <w:p w14:paraId="62A51623"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1035</w:t>
            </w:r>
          </w:p>
        </w:tc>
        <w:tc>
          <w:tcPr>
            <w:tcW w:w="960" w:type="dxa"/>
            <w:tcBorders>
              <w:top w:val="nil"/>
              <w:left w:val="nil"/>
              <w:bottom w:val="nil"/>
              <w:right w:val="single" w:sz="4" w:space="0" w:color="auto"/>
            </w:tcBorders>
            <w:shd w:val="clear" w:color="000000" w:fill="FFFFFF"/>
            <w:noWrap/>
            <w:vAlign w:val="bottom"/>
            <w:hideMark/>
          </w:tcPr>
          <w:p w14:paraId="724F386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16.6%</w:t>
            </w:r>
          </w:p>
        </w:tc>
      </w:tr>
      <w:tr w:rsidR="00AD7B91" w:rsidRPr="007E2527" w14:paraId="2FFDDA03"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47D90F18" w14:textId="77777777" w:rsidR="00AD7B91" w:rsidRPr="00AD7B91" w:rsidRDefault="00AD7B91" w:rsidP="00AD7B9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Hindu</w:t>
            </w:r>
          </w:p>
        </w:tc>
        <w:tc>
          <w:tcPr>
            <w:tcW w:w="898" w:type="dxa"/>
            <w:tcBorders>
              <w:top w:val="nil"/>
              <w:left w:val="single" w:sz="4" w:space="0" w:color="auto"/>
              <w:bottom w:val="nil"/>
              <w:right w:val="single" w:sz="4" w:space="0" w:color="auto"/>
            </w:tcBorders>
            <w:shd w:val="clear" w:color="000000" w:fill="FFFFFF"/>
            <w:noWrap/>
            <w:vAlign w:val="bottom"/>
            <w:hideMark/>
          </w:tcPr>
          <w:p w14:paraId="6D24F7C3"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0.3%</w:t>
            </w:r>
          </w:p>
        </w:tc>
        <w:tc>
          <w:tcPr>
            <w:tcW w:w="899" w:type="dxa"/>
            <w:tcBorders>
              <w:top w:val="nil"/>
              <w:left w:val="nil"/>
              <w:bottom w:val="nil"/>
              <w:right w:val="nil"/>
            </w:tcBorders>
            <w:shd w:val="clear" w:color="000000" w:fill="FFFFFF"/>
            <w:noWrap/>
            <w:vAlign w:val="bottom"/>
            <w:hideMark/>
          </w:tcPr>
          <w:p w14:paraId="3E41F132"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0.3%</w:t>
            </w:r>
          </w:p>
        </w:tc>
        <w:tc>
          <w:tcPr>
            <w:tcW w:w="899" w:type="dxa"/>
            <w:tcBorders>
              <w:top w:val="nil"/>
              <w:left w:val="single" w:sz="4" w:space="0" w:color="auto"/>
              <w:bottom w:val="nil"/>
              <w:right w:val="single" w:sz="4" w:space="0" w:color="auto"/>
            </w:tcBorders>
            <w:shd w:val="clear" w:color="000000" w:fill="FFFFFF"/>
            <w:noWrap/>
            <w:vAlign w:val="bottom"/>
            <w:hideMark/>
          </w:tcPr>
          <w:p w14:paraId="02CEE0A9"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0.4%</w:t>
            </w:r>
          </w:p>
        </w:tc>
        <w:tc>
          <w:tcPr>
            <w:tcW w:w="960" w:type="dxa"/>
            <w:tcBorders>
              <w:top w:val="nil"/>
              <w:left w:val="nil"/>
              <w:bottom w:val="nil"/>
              <w:right w:val="nil"/>
            </w:tcBorders>
            <w:shd w:val="clear" w:color="000000" w:fill="FFFFFF"/>
            <w:noWrap/>
            <w:vAlign w:val="bottom"/>
            <w:hideMark/>
          </w:tcPr>
          <w:p w14:paraId="558D7089"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37</w:t>
            </w:r>
          </w:p>
        </w:tc>
        <w:tc>
          <w:tcPr>
            <w:tcW w:w="960" w:type="dxa"/>
            <w:tcBorders>
              <w:top w:val="nil"/>
              <w:left w:val="nil"/>
              <w:bottom w:val="nil"/>
              <w:right w:val="nil"/>
            </w:tcBorders>
            <w:shd w:val="clear" w:color="000000" w:fill="FFFFFF"/>
            <w:noWrap/>
            <w:vAlign w:val="bottom"/>
            <w:hideMark/>
          </w:tcPr>
          <w:p w14:paraId="2E231A01"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0.6%</w:t>
            </w:r>
          </w:p>
        </w:tc>
        <w:tc>
          <w:tcPr>
            <w:tcW w:w="960" w:type="dxa"/>
            <w:tcBorders>
              <w:top w:val="nil"/>
              <w:left w:val="single" w:sz="4" w:space="0" w:color="auto"/>
              <w:bottom w:val="nil"/>
              <w:right w:val="nil"/>
            </w:tcBorders>
            <w:shd w:val="clear" w:color="000000" w:fill="FFFFFF"/>
            <w:noWrap/>
            <w:vAlign w:val="bottom"/>
            <w:hideMark/>
          </w:tcPr>
          <w:p w14:paraId="13A967DD"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50</w:t>
            </w:r>
          </w:p>
        </w:tc>
        <w:tc>
          <w:tcPr>
            <w:tcW w:w="960" w:type="dxa"/>
            <w:tcBorders>
              <w:top w:val="nil"/>
              <w:left w:val="nil"/>
              <w:bottom w:val="nil"/>
              <w:right w:val="single" w:sz="4" w:space="0" w:color="auto"/>
            </w:tcBorders>
            <w:shd w:val="clear" w:color="000000" w:fill="FFFFFF"/>
            <w:noWrap/>
            <w:vAlign w:val="bottom"/>
            <w:hideMark/>
          </w:tcPr>
          <w:p w14:paraId="65025868"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0.8%</w:t>
            </w:r>
          </w:p>
        </w:tc>
        <w:tc>
          <w:tcPr>
            <w:tcW w:w="960" w:type="dxa"/>
            <w:tcBorders>
              <w:top w:val="nil"/>
              <w:left w:val="nil"/>
              <w:bottom w:val="nil"/>
              <w:right w:val="nil"/>
            </w:tcBorders>
            <w:shd w:val="clear" w:color="000000" w:fill="FFFFFF"/>
            <w:noWrap/>
            <w:vAlign w:val="bottom"/>
            <w:hideMark/>
          </w:tcPr>
          <w:p w14:paraId="260686C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58</w:t>
            </w:r>
          </w:p>
        </w:tc>
        <w:tc>
          <w:tcPr>
            <w:tcW w:w="960" w:type="dxa"/>
            <w:tcBorders>
              <w:top w:val="nil"/>
              <w:left w:val="nil"/>
              <w:bottom w:val="nil"/>
              <w:right w:val="single" w:sz="4" w:space="0" w:color="auto"/>
            </w:tcBorders>
            <w:shd w:val="clear" w:color="000000" w:fill="FFFFFF"/>
            <w:noWrap/>
            <w:vAlign w:val="bottom"/>
            <w:hideMark/>
          </w:tcPr>
          <w:p w14:paraId="636DDAA2"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0.9%</w:t>
            </w:r>
          </w:p>
        </w:tc>
        <w:tc>
          <w:tcPr>
            <w:tcW w:w="960" w:type="dxa"/>
            <w:tcBorders>
              <w:top w:val="nil"/>
              <w:left w:val="nil"/>
              <w:bottom w:val="nil"/>
              <w:right w:val="nil"/>
            </w:tcBorders>
            <w:shd w:val="clear" w:color="000000" w:fill="FFFFFF"/>
            <w:noWrap/>
            <w:vAlign w:val="bottom"/>
            <w:hideMark/>
          </w:tcPr>
          <w:p w14:paraId="08695E3C"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72</w:t>
            </w:r>
          </w:p>
        </w:tc>
        <w:tc>
          <w:tcPr>
            <w:tcW w:w="960" w:type="dxa"/>
            <w:tcBorders>
              <w:top w:val="nil"/>
              <w:left w:val="nil"/>
              <w:bottom w:val="nil"/>
              <w:right w:val="single" w:sz="4" w:space="0" w:color="auto"/>
            </w:tcBorders>
            <w:shd w:val="clear" w:color="000000" w:fill="FFFFFF"/>
            <w:noWrap/>
            <w:vAlign w:val="bottom"/>
            <w:hideMark/>
          </w:tcPr>
          <w:p w14:paraId="4D50CE0E"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1.2%</w:t>
            </w:r>
          </w:p>
        </w:tc>
      </w:tr>
      <w:tr w:rsidR="00AD7B91" w:rsidRPr="007E2527" w14:paraId="5A89B332"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38A16049" w14:textId="77777777" w:rsidR="00AD7B91" w:rsidRPr="00AD7B91" w:rsidRDefault="00AD7B91" w:rsidP="00AD7B9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Jewish</w:t>
            </w:r>
          </w:p>
        </w:tc>
        <w:tc>
          <w:tcPr>
            <w:tcW w:w="898" w:type="dxa"/>
            <w:tcBorders>
              <w:top w:val="nil"/>
              <w:left w:val="single" w:sz="4" w:space="0" w:color="auto"/>
              <w:bottom w:val="nil"/>
              <w:right w:val="single" w:sz="4" w:space="0" w:color="auto"/>
            </w:tcBorders>
            <w:shd w:val="clear" w:color="000000" w:fill="FFFFFF"/>
            <w:noWrap/>
            <w:vAlign w:val="bottom"/>
            <w:hideMark/>
          </w:tcPr>
          <w:p w14:paraId="21F79707"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 </w:t>
            </w:r>
          </w:p>
        </w:tc>
        <w:tc>
          <w:tcPr>
            <w:tcW w:w="899" w:type="dxa"/>
            <w:tcBorders>
              <w:top w:val="nil"/>
              <w:left w:val="nil"/>
              <w:bottom w:val="nil"/>
              <w:right w:val="nil"/>
            </w:tcBorders>
            <w:shd w:val="clear" w:color="000000" w:fill="FFFFFF"/>
            <w:noWrap/>
            <w:vAlign w:val="bottom"/>
            <w:hideMark/>
          </w:tcPr>
          <w:p w14:paraId="3269BE76"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 </w:t>
            </w:r>
          </w:p>
        </w:tc>
        <w:tc>
          <w:tcPr>
            <w:tcW w:w="899" w:type="dxa"/>
            <w:tcBorders>
              <w:top w:val="nil"/>
              <w:left w:val="single" w:sz="4" w:space="0" w:color="auto"/>
              <w:bottom w:val="nil"/>
              <w:right w:val="single" w:sz="4" w:space="0" w:color="auto"/>
            </w:tcBorders>
            <w:shd w:val="clear" w:color="000000" w:fill="FFFFFF"/>
            <w:noWrap/>
            <w:vAlign w:val="bottom"/>
            <w:hideMark/>
          </w:tcPr>
          <w:p w14:paraId="1DBC8352"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4069B15"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6C785A9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6038CE50"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E4FC360"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550744C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2E6F099"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0A8D0A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275A9EC5"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r>
      <w:tr w:rsidR="00AD7B91" w:rsidRPr="007E2527" w14:paraId="4E972F67"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6FAC77E0" w14:textId="77777777" w:rsidR="00AD7B91" w:rsidRPr="00AD7B91" w:rsidRDefault="00AD7B91" w:rsidP="00AD7B9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Muslim</w:t>
            </w:r>
          </w:p>
        </w:tc>
        <w:tc>
          <w:tcPr>
            <w:tcW w:w="898" w:type="dxa"/>
            <w:tcBorders>
              <w:top w:val="nil"/>
              <w:left w:val="single" w:sz="4" w:space="0" w:color="auto"/>
              <w:bottom w:val="nil"/>
              <w:right w:val="single" w:sz="4" w:space="0" w:color="auto"/>
            </w:tcBorders>
            <w:shd w:val="clear" w:color="000000" w:fill="FFFFFF"/>
            <w:noWrap/>
            <w:vAlign w:val="bottom"/>
            <w:hideMark/>
          </w:tcPr>
          <w:p w14:paraId="467FD019"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0.4%</w:t>
            </w:r>
          </w:p>
        </w:tc>
        <w:tc>
          <w:tcPr>
            <w:tcW w:w="899" w:type="dxa"/>
            <w:tcBorders>
              <w:top w:val="nil"/>
              <w:left w:val="nil"/>
              <w:bottom w:val="nil"/>
              <w:right w:val="nil"/>
            </w:tcBorders>
            <w:shd w:val="clear" w:color="000000" w:fill="FFFFFF"/>
            <w:noWrap/>
            <w:vAlign w:val="bottom"/>
            <w:hideMark/>
          </w:tcPr>
          <w:p w14:paraId="305F3583"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0.5%</w:t>
            </w:r>
          </w:p>
        </w:tc>
        <w:tc>
          <w:tcPr>
            <w:tcW w:w="899" w:type="dxa"/>
            <w:tcBorders>
              <w:top w:val="nil"/>
              <w:left w:val="single" w:sz="4" w:space="0" w:color="auto"/>
              <w:bottom w:val="nil"/>
              <w:right w:val="single" w:sz="4" w:space="0" w:color="auto"/>
            </w:tcBorders>
            <w:shd w:val="clear" w:color="000000" w:fill="FFFFFF"/>
            <w:noWrap/>
            <w:vAlign w:val="bottom"/>
            <w:hideMark/>
          </w:tcPr>
          <w:p w14:paraId="4F94A1AE"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0.4%</w:t>
            </w:r>
          </w:p>
        </w:tc>
        <w:tc>
          <w:tcPr>
            <w:tcW w:w="960" w:type="dxa"/>
            <w:tcBorders>
              <w:top w:val="nil"/>
              <w:left w:val="nil"/>
              <w:bottom w:val="nil"/>
              <w:right w:val="nil"/>
            </w:tcBorders>
            <w:shd w:val="clear" w:color="000000" w:fill="FFFFFF"/>
            <w:noWrap/>
            <w:vAlign w:val="bottom"/>
            <w:hideMark/>
          </w:tcPr>
          <w:p w14:paraId="140B67CE"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27</w:t>
            </w:r>
          </w:p>
        </w:tc>
        <w:tc>
          <w:tcPr>
            <w:tcW w:w="960" w:type="dxa"/>
            <w:tcBorders>
              <w:top w:val="nil"/>
              <w:left w:val="nil"/>
              <w:bottom w:val="nil"/>
              <w:right w:val="nil"/>
            </w:tcBorders>
            <w:shd w:val="clear" w:color="000000" w:fill="FFFFFF"/>
            <w:noWrap/>
            <w:vAlign w:val="bottom"/>
            <w:hideMark/>
          </w:tcPr>
          <w:p w14:paraId="149A0A47"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0.4%</w:t>
            </w:r>
          </w:p>
        </w:tc>
        <w:tc>
          <w:tcPr>
            <w:tcW w:w="960" w:type="dxa"/>
            <w:tcBorders>
              <w:top w:val="nil"/>
              <w:left w:val="single" w:sz="4" w:space="0" w:color="auto"/>
              <w:bottom w:val="nil"/>
              <w:right w:val="nil"/>
            </w:tcBorders>
            <w:shd w:val="clear" w:color="000000" w:fill="FFFFFF"/>
            <w:noWrap/>
            <w:vAlign w:val="bottom"/>
            <w:hideMark/>
          </w:tcPr>
          <w:p w14:paraId="7489015C"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single" w:sz="4" w:space="0" w:color="auto"/>
            </w:tcBorders>
            <w:shd w:val="clear" w:color="000000" w:fill="FFFFFF"/>
            <w:noWrap/>
            <w:vAlign w:val="bottom"/>
            <w:hideMark/>
          </w:tcPr>
          <w:p w14:paraId="47060FC5"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0.4%</w:t>
            </w:r>
          </w:p>
        </w:tc>
        <w:tc>
          <w:tcPr>
            <w:tcW w:w="960" w:type="dxa"/>
            <w:tcBorders>
              <w:top w:val="nil"/>
              <w:left w:val="nil"/>
              <w:bottom w:val="nil"/>
              <w:right w:val="nil"/>
            </w:tcBorders>
            <w:shd w:val="clear" w:color="000000" w:fill="FFFFFF"/>
            <w:noWrap/>
            <w:vAlign w:val="bottom"/>
            <w:hideMark/>
          </w:tcPr>
          <w:p w14:paraId="4E97E164"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29</w:t>
            </w:r>
          </w:p>
        </w:tc>
        <w:tc>
          <w:tcPr>
            <w:tcW w:w="960" w:type="dxa"/>
            <w:tcBorders>
              <w:top w:val="nil"/>
              <w:left w:val="nil"/>
              <w:bottom w:val="nil"/>
              <w:right w:val="single" w:sz="4" w:space="0" w:color="auto"/>
            </w:tcBorders>
            <w:shd w:val="clear" w:color="000000" w:fill="FFFFFF"/>
            <w:noWrap/>
            <w:vAlign w:val="bottom"/>
            <w:hideMark/>
          </w:tcPr>
          <w:p w14:paraId="33AE9797"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0.4%</w:t>
            </w:r>
          </w:p>
        </w:tc>
        <w:tc>
          <w:tcPr>
            <w:tcW w:w="960" w:type="dxa"/>
            <w:tcBorders>
              <w:top w:val="nil"/>
              <w:left w:val="nil"/>
              <w:bottom w:val="nil"/>
              <w:right w:val="nil"/>
            </w:tcBorders>
            <w:shd w:val="clear" w:color="000000" w:fill="FFFFFF"/>
            <w:noWrap/>
            <w:vAlign w:val="bottom"/>
            <w:hideMark/>
          </w:tcPr>
          <w:p w14:paraId="4BFA42AA"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39</w:t>
            </w:r>
          </w:p>
        </w:tc>
        <w:tc>
          <w:tcPr>
            <w:tcW w:w="960" w:type="dxa"/>
            <w:tcBorders>
              <w:top w:val="nil"/>
              <w:left w:val="nil"/>
              <w:bottom w:val="nil"/>
              <w:right w:val="single" w:sz="4" w:space="0" w:color="auto"/>
            </w:tcBorders>
            <w:shd w:val="clear" w:color="000000" w:fill="FFFFFF"/>
            <w:noWrap/>
            <w:vAlign w:val="bottom"/>
            <w:hideMark/>
          </w:tcPr>
          <w:p w14:paraId="5ADC402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0.6%</w:t>
            </w:r>
          </w:p>
        </w:tc>
      </w:tr>
      <w:tr w:rsidR="00AD7B91" w:rsidRPr="007E2527" w14:paraId="12BB546F"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19026494" w14:textId="77777777" w:rsidR="00AD7B91" w:rsidRPr="00AD7B91" w:rsidRDefault="00AD7B91" w:rsidP="00AD7B9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Sikh</w:t>
            </w:r>
          </w:p>
        </w:tc>
        <w:tc>
          <w:tcPr>
            <w:tcW w:w="898" w:type="dxa"/>
            <w:tcBorders>
              <w:top w:val="nil"/>
              <w:left w:val="single" w:sz="4" w:space="0" w:color="auto"/>
              <w:bottom w:val="nil"/>
              <w:right w:val="single" w:sz="4" w:space="0" w:color="auto"/>
            </w:tcBorders>
            <w:shd w:val="clear" w:color="000000" w:fill="FFFFFF"/>
            <w:noWrap/>
            <w:vAlign w:val="bottom"/>
            <w:hideMark/>
          </w:tcPr>
          <w:p w14:paraId="0BD9334C"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 </w:t>
            </w:r>
          </w:p>
        </w:tc>
        <w:tc>
          <w:tcPr>
            <w:tcW w:w="899" w:type="dxa"/>
            <w:tcBorders>
              <w:top w:val="nil"/>
              <w:left w:val="nil"/>
              <w:bottom w:val="nil"/>
              <w:right w:val="nil"/>
            </w:tcBorders>
            <w:shd w:val="clear" w:color="000000" w:fill="FFFFFF"/>
            <w:noWrap/>
            <w:vAlign w:val="bottom"/>
            <w:hideMark/>
          </w:tcPr>
          <w:p w14:paraId="2691A08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 </w:t>
            </w:r>
          </w:p>
        </w:tc>
        <w:tc>
          <w:tcPr>
            <w:tcW w:w="899" w:type="dxa"/>
            <w:tcBorders>
              <w:top w:val="nil"/>
              <w:left w:val="single" w:sz="4" w:space="0" w:color="auto"/>
              <w:bottom w:val="nil"/>
              <w:right w:val="single" w:sz="4" w:space="0" w:color="auto"/>
            </w:tcBorders>
            <w:shd w:val="clear" w:color="000000" w:fill="FFFFFF"/>
            <w:noWrap/>
            <w:vAlign w:val="bottom"/>
            <w:hideMark/>
          </w:tcPr>
          <w:p w14:paraId="3BC95F66"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75D908A"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1B7ED8B9"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6C4CFBD5"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0661748"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7981D91"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1B3198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EE7C97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5D29414F"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w:t>
            </w:r>
          </w:p>
        </w:tc>
      </w:tr>
      <w:tr w:rsidR="00AD7B91" w:rsidRPr="007E2527" w14:paraId="30728E93"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37A2ECE8" w14:textId="77777777" w:rsidR="00AD7B91" w:rsidRPr="00AD7B91" w:rsidRDefault="00AD7B91" w:rsidP="00AD7B91">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Any other religion or belief</w:t>
            </w:r>
          </w:p>
        </w:tc>
        <w:tc>
          <w:tcPr>
            <w:tcW w:w="898" w:type="dxa"/>
            <w:tcBorders>
              <w:top w:val="nil"/>
              <w:left w:val="single" w:sz="4" w:space="0" w:color="auto"/>
              <w:bottom w:val="nil"/>
              <w:right w:val="single" w:sz="4" w:space="0" w:color="auto"/>
            </w:tcBorders>
            <w:shd w:val="clear" w:color="000000" w:fill="FFFFFF"/>
            <w:noWrap/>
            <w:vAlign w:val="bottom"/>
            <w:hideMark/>
          </w:tcPr>
          <w:p w14:paraId="00675E2C"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0.5%</w:t>
            </w:r>
          </w:p>
        </w:tc>
        <w:tc>
          <w:tcPr>
            <w:tcW w:w="899" w:type="dxa"/>
            <w:tcBorders>
              <w:top w:val="nil"/>
              <w:left w:val="nil"/>
              <w:bottom w:val="nil"/>
              <w:right w:val="nil"/>
            </w:tcBorders>
            <w:shd w:val="clear" w:color="000000" w:fill="FFFFFF"/>
            <w:noWrap/>
            <w:vAlign w:val="bottom"/>
            <w:hideMark/>
          </w:tcPr>
          <w:p w14:paraId="189461F4"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0.9%</w:t>
            </w:r>
          </w:p>
        </w:tc>
        <w:tc>
          <w:tcPr>
            <w:tcW w:w="899" w:type="dxa"/>
            <w:tcBorders>
              <w:top w:val="nil"/>
              <w:left w:val="single" w:sz="4" w:space="0" w:color="auto"/>
              <w:bottom w:val="nil"/>
              <w:right w:val="single" w:sz="4" w:space="0" w:color="auto"/>
            </w:tcBorders>
            <w:shd w:val="clear" w:color="000000" w:fill="FFFFFF"/>
            <w:noWrap/>
            <w:vAlign w:val="bottom"/>
            <w:hideMark/>
          </w:tcPr>
          <w:p w14:paraId="0F7E8850"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1.8%</w:t>
            </w:r>
          </w:p>
        </w:tc>
        <w:tc>
          <w:tcPr>
            <w:tcW w:w="960" w:type="dxa"/>
            <w:tcBorders>
              <w:top w:val="nil"/>
              <w:left w:val="nil"/>
              <w:bottom w:val="nil"/>
              <w:right w:val="nil"/>
            </w:tcBorders>
            <w:shd w:val="clear" w:color="000000" w:fill="FFFFFF"/>
            <w:noWrap/>
            <w:vAlign w:val="bottom"/>
            <w:hideMark/>
          </w:tcPr>
          <w:p w14:paraId="04402F87"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194</w:t>
            </w:r>
          </w:p>
        </w:tc>
        <w:tc>
          <w:tcPr>
            <w:tcW w:w="960" w:type="dxa"/>
            <w:tcBorders>
              <w:top w:val="nil"/>
              <w:left w:val="nil"/>
              <w:bottom w:val="nil"/>
              <w:right w:val="nil"/>
            </w:tcBorders>
            <w:shd w:val="clear" w:color="000000" w:fill="FFFFFF"/>
            <w:noWrap/>
            <w:vAlign w:val="bottom"/>
            <w:hideMark/>
          </w:tcPr>
          <w:p w14:paraId="2D6BF823"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3.0%</w:t>
            </w:r>
          </w:p>
        </w:tc>
        <w:tc>
          <w:tcPr>
            <w:tcW w:w="960" w:type="dxa"/>
            <w:tcBorders>
              <w:top w:val="nil"/>
              <w:left w:val="single" w:sz="4" w:space="0" w:color="auto"/>
              <w:bottom w:val="nil"/>
              <w:right w:val="nil"/>
            </w:tcBorders>
            <w:shd w:val="clear" w:color="000000" w:fill="FFFFFF"/>
            <w:noWrap/>
            <w:vAlign w:val="bottom"/>
            <w:hideMark/>
          </w:tcPr>
          <w:p w14:paraId="221B1530"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260</w:t>
            </w:r>
          </w:p>
        </w:tc>
        <w:tc>
          <w:tcPr>
            <w:tcW w:w="960" w:type="dxa"/>
            <w:tcBorders>
              <w:top w:val="nil"/>
              <w:left w:val="nil"/>
              <w:bottom w:val="nil"/>
              <w:right w:val="single" w:sz="4" w:space="0" w:color="auto"/>
            </w:tcBorders>
            <w:shd w:val="clear" w:color="000000" w:fill="FFFFFF"/>
            <w:noWrap/>
            <w:vAlign w:val="bottom"/>
            <w:hideMark/>
          </w:tcPr>
          <w:p w14:paraId="0408A084"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4.1%</w:t>
            </w:r>
          </w:p>
        </w:tc>
        <w:tc>
          <w:tcPr>
            <w:tcW w:w="960" w:type="dxa"/>
            <w:tcBorders>
              <w:top w:val="nil"/>
              <w:left w:val="nil"/>
              <w:bottom w:val="nil"/>
              <w:right w:val="nil"/>
            </w:tcBorders>
            <w:shd w:val="clear" w:color="000000" w:fill="FFFFFF"/>
            <w:noWrap/>
            <w:vAlign w:val="bottom"/>
            <w:hideMark/>
          </w:tcPr>
          <w:p w14:paraId="5A02A5C5"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337</w:t>
            </w:r>
          </w:p>
        </w:tc>
        <w:tc>
          <w:tcPr>
            <w:tcW w:w="960" w:type="dxa"/>
            <w:tcBorders>
              <w:top w:val="nil"/>
              <w:left w:val="nil"/>
              <w:bottom w:val="nil"/>
              <w:right w:val="single" w:sz="4" w:space="0" w:color="auto"/>
            </w:tcBorders>
            <w:shd w:val="clear" w:color="000000" w:fill="FFFFFF"/>
            <w:noWrap/>
            <w:vAlign w:val="bottom"/>
            <w:hideMark/>
          </w:tcPr>
          <w:p w14:paraId="329E4AC9"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5.1%</w:t>
            </w:r>
          </w:p>
        </w:tc>
        <w:tc>
          <w:tcPr>
            <w:tcW w:w="960" w:type="dxa"/>
            <w:tcBorders>
              <w:top w:val="nil"/>
              <w:left w:val="nil"/>
              <w:bottom w:val="nil"/>
              <w:right w:val="nil"/>
            </w:tcBorders>
            <w:shd w:val="clear" w:color="000000" w:fill="FFFFFF"/>
            <w:noWrap/>
            <w:vAlign w:val="bottom"/>
            <w:hideMark/>
          </w:tcPr>
          <w:p w14:paraId="7DA7E126"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315</w:t>
            </w:r>
          </w:p>
        </w:tc>
        <w:tc>
          <w:tcPr>
            <w:tcW w:w="960" w:type="dxa"/>
            <w:tcBorders>
              <w:top w:val="nil"/>
              <w:left w:val="nil"/>
              <w:bottom w:val="nil"/>
              <w:right w:val="single" w:sz="4" w:space="0" w:color="auto"/>
            </w:tcBorders>
            <w:shd w:val="clear" w:color="000000" w:fill="FFFFFF"/>
            <w:noWrap/>
            <w:vAlign w:val="bottom"/>
            <w:hideMark/>
          </w:tcPr>
          <w:p w14:paraId="2C7570BB" w14:textId="77777777" w:rsidR="00AD7B91" w:rsidRPr="00AD7B91" w:rsidRDefault="00AD7B91" w:rsidP="00AD7B91">
            <w:pPr>
              <w:spacing w:after="0" w:line="240" w:lineRule="auto"/>
              <w:jc w:val="right"/>
              <w:rPr>
                <w:rFonts w:asciiTheme="minorHAnsi" w:eastAsia="Times New Roman" w:hAnsiTheme="minorHAnsi" w:cs="Times New Roman"/>
                <w:color w:val="000000"/>
                <w:kern w:val="0"/>
                <w:szCs w:val="22"/>
                <w:lang w:eastAsia="en-GB"/>
                <w14:ligatures w14:val="none"/>
              </w:rPr>
            </w:pPr>
            <w:r w:rsidRPr="00AD7B91">
              <w:rPr>
                <w:rFonts w:asciiTheme="minorHAnsi" w:eastAsia="Times New Roman" w:hAnsiTheme="minorHAnsi" w:cs="Times New Roman"/>
                <w:color w:val="000000"/>
                <w:kern w:val="0"/>
                <w:szCs w:val="22"/>
                <w:lang w:eastAsia="en-GB"/>
                <w14:ligatures w14:val="none"/>
              </w:rPr>
              <w:t>5.0%</w:t>
            </w:r>
          </w:p>
        </w:tc>
      </w:tr>
      <w:tr w:rsidR="00AD7B91" w:rsidRPr="007E2527" w14:paraId="5F5C84E7"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35D472AC"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No religion</w:t>
            </w:r>
          </w:p>
        </w:tc>
        <w:tc>
          <w:tcPr>
            <w:tcW w:w="898" w:type="dxa"/>
            <w:tcBorders>
              <w:top w:val="nil"/>
              <w:left w:val="single" w:sz="4" w:space="0" w:color="auto"/>
              <w:bottom w:val="nil"/>
              <w:right w:val="single" w:sz="4" w:space="0" w:color="auto"/>
            </w:tcBorders>
            <w:shd w:val="clear" w:color="000000" w:fill="FFFFFF"/>
            <w:noWrap/>
            <w:vAlign w:val="bottom"/>
            <w:hideMark/>
          </w:tcPr>
          <w:p w14:paraId="323FFF16"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14.0%</w:t>
            </w:r>
          </w:p>
        </w:tc>
        <w:tc>
          <w:tcPr>
            <w:tcW w:w="899" w:type="dxa"/>
            <w:tcBorders>
              <w:top w:val="nil"/>
              <w:left w:val="nil"/>
              <w:bottom w:val="nil"/>
              <w:right w:val="nil"/>
            </w:tcBorders>
            <w:shd w:val="clear" w:color="000000" w:fill="FFFFFF"/>
            <w:noWrap/>
            <w:vAlign w:val="bottom"/>
            <w:hideMark/>
          </w:tcPr>
          <w:p w14:paraId="5C29B73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15.5%</w:t>
            </w:r>
          </w:p>
        </w:tc>
        <w:tc>
          <w:tcPr>
            <w:tcW w:w="899" w:type="dxa"/>
            <w:tcBorders>
              <w:top w:val="nil"/>
              <w:left w:val="single" w:sz="4" w:space="0" w:color="auto"/>
              <w:bottom w:val="nil"/>
              <w:right w:val="single" w:sz="4" w:space="0" w:color="auto"/>
            </w:tcBorders>
            <w:shd w:val="clear" w:color="000000" w:fill="FFFFFF"/>
            <w:noWrap/>
            <w:vAlign w:val="bottom"/>
            <w:hideMark/>
          </w:tcPr>
          <w:p w14:paraId="4766E371"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17.1%</w:t>
            </w:r>
          </w:p>
        </w:tc>
        <w:tc>
          <w:tcPr>
            <w:tcW w:w="960" w:type="dxa"/>
            <w:tcBorders>
              <w:top w:val="nil"/>
              <w:left w:val="nil"/>
              <w:bottom w:val="nil"/>
              <w:right w:val="nil"/>
            </w:tcBorders>
            <w:shd w:val="clear" w:color="000000" w:fill="FFFFFF"/>
            <w:noWrap/>
            <w:vAlign w:val="bottom"/>
            <w:hideMark/>
          </w:tcPr>
          <w:p w14:paraId="513048CE"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1246</w:t>
            </w:r>
          </w:p>
        </w:tc>
        <w:tc>
          <w:tcPr>
            <w:tcW w:w="960" w:type="dxa"/>
            <w:tcBorders>
              <w:top w:val="nil"/>
              <w:left w:val="nil"/>
              <w:bottom w:val="nil"/>
              <w:right w:val="nil"/>
            </w:tcBorders>
            <w:shd w:val="clear" w:color="000000" w:fill="FFFFFF"/>
            <w:noWrap/>
            <w:vAlign w:val="bottom"/>
            <w:hideMark/>
          </w:tcPr>
          <w:p w14:paraId="4465F01C"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19.4%</w:t>
            </w:r>
          </w:p>
        </w:tc>
        <w:tc>
          <w:tcPr>
            <w:tcW w:w="960" w:type="dxa"/>
            <w:tcBorders>
              <w:top w:val="nil"/>
              <w:left w:val="single" w:sz="4" w:space="0" w:color="auto"/>
              <w:bottom w:val="nil"/>
              <w:right w:val="nil"/>
            </w:tcBorders>
            <w:shd w:val="clear" w:color="000000" w:fill="FFFFFF"/>
            <w:noWrap/>
            <w:vAlign w:val="bottom"/>
            <w:hideMark/>
          </w:tcPr>
          <w:p w14:paraId="15B943E2"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1432</w:t>
            </w:r>
          </w:p>
        </w:tc>
        <w:tc>
          <w:tcPr>
            <w:tcW w:w="960" w:type="dxa"/>
            <w:tcBorders>
              <w:top w:val="nil"/>
              <w:left w:val="nil"/>
              <w:bottom w:val="nil"/>
              <w:right w:val="single" w:sz="4" w:space="0" w:color="auto"/>
            </w:tcBorders>
            <w:shd w:val="clear" w:color="000000" w:fill="FFFFFF"/>
            <w:noWrap/>
            <w:vAlign w:val="bottom"/>
            <w:hideMark/>
          </w:tcPr>
          <w:p w14:paraId="7F6DE32E"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22.4%</w:t>
            </w:r>
          </w:p>
        </w:tc>
        <w:tc>
          <w:tcPr>
            <w:tcW w:w="960" w:type="dxa"/>
            <w:tcBorders>
              <w:top w:val="nil"/>
              <w:left w:val="nil"/>
              <w:bottom w:val="nil"/>
              <w:right w:val="nil"/>
            </w:tcBorders>
            <w:shd w:val="clear" w:color="000000" w:fill="FFFFFF"/>
            <w:noWrap/>
            <w:vAlign w:val="bottom"/>
            <w:hideMark/>
          </w:tcPr>
          <w:p w14:paraId="35B150C0"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1624</w:t>
            </w:r>
          </w:p>
        </w:tc>
        <w:tc>
          <w:tcPr>
            <w:tcW w:w="960" w:type="dxa"/>
            <w:tcBorders>
              <w:top w:val="nil"/>
              <w:left w:val="nil"/>
              <w:bottom w:val="nil"/>
              <w:right w:val="single" w:sz="4" w:space="0" w:color="auto"/>
            </w:tcBorders>
            <w:shd w:val="clear" w:color="000000" w:fill="FFFFFF"/>
            <w:noWrap/>
            <w:vAlign w:val="bottom"/>
            <w:hideMark/>
          </w:tcPr>
          <w:p w14:paraId="6E73A51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24.7%</w:t>
            </w:r>
          </w:p>
        </w:tc>
        <w:tc>
          <w:tcPr>
            <w:tcW w:w="960" w:type="dxa"/>
            <w:tcBorders>
              <w:top w:val="nil"/>
              <w:left w:val="nil"/>
              <w:bottom w:val="nil"/>
              <w:right w:val="nil"/>
            </w:tcBorders>
            <w:shd w:val="clear" w:color="000000" w:fill="FFFFFF"/>
            <w:noWrap/>
            <w:vAlign w:val="bottom"/>
            <w:hideMark/>
          </w:tcPr>
          <w:p w14:paraId="659197A2"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1640</w:t>
            </w:r>
          </w:p>
        </w:tc>
        <w:tc>
          <w:tcPr>
            <w:tcW w:w="960" w:type="dxa"/>
            <w:tcBorders>
              <w:top w:val="nil"/>
              <w:left w:val="nil"/>
              <w:bottom w:val="nil"/>
              <w:right w:val="single" w:sz="4" w:space="0" w:color="auto"/>
            </w:tcBorders>
            <w:shd w:val="clear" w:color="000000" w:fill="FFFFFF"/>
            <w:noWrap/>
            <w:vAlign w:val="bottom"/>
            <w:hideMark/>
          </w:tcPr>
          <w:p w14:paraId="1D72FCE4"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26.3%</w:t>
            </w:r>
          </w:p>
        </w:tc>
      </w:tr>
      <w:tr w:rsidR="00AD7B91" w:rsidRPr="007E2527" w14:paraId="646C6F6E"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7B637618"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Prefer not to say</w:t>
            </w:r>
          </w:p>
        </w:tc>
        <w:tc>
          <w:tcPr>
            <w:tcW w:w="898" w:type="dxa"/>
            <w:tcBorders>
              <w:top w:val="nil"/>
              <w:left w:val="single" w:sz="4" w:space="0" w:color="auto"/>
              <w:bottom w:val="nil"/>
              <w:right w:val="single" w:sz="4" w:space="0" w:color="auto"/>
            </w:tcBorders>
            <w:shd w:val="clear" w:color="000000" w:fill="FFFFFF"/>
            <w:noWrap/>
            <w:vAlign w:val="bottom"/>
            <w:hideMark/>
          </w:tcPr>
          <w:p w14:paraId="31B6714D"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2.0%</w:t>
            </w:r>
          </w:p>
        </w:tc>
        <w:tc>
          <w:tcPr>
            <w:tcW w:w="899" w:type="dxa"/>
            <w:tcBorders>
              <w:top w:val="nil"/>
              <w:left w:val="nil"/>
              <w:bottom w:val="nil"/>
              <w:right w:val="nil"/>
            </w:tcBorders>
            <w:shd w:val="clear" w:color="000000" w:fill="FFFFFF"/>
            <w:noWrap/>
            <w:vAlign w:val="bottom"/>
            <w:hideMark/>
          </w:tcPr>
          <w:p w14:paraId="3F25771B"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2.4%</w:t>
            </w:r>
          </w:p>
        </w:tc>
        <w:tc>
          <w:tcPr>
            <w:tcW w:w="899" w:type="dxa"/>
            <w:tcBorders>
              <w:top w:val="nil"/>
              <w:left w:val="single" w:sz="4" w:space="0" w:color="auto"/>
              <w:bottom w:val="nil"/>
              <w:right w:val="single" w:sz="4" w:space="0" w:color="auto"/>
            </w:tcBorders>
            <w:shd w:val="clear" w:color="000000" w:fill="FFFFFF"/>
            <w:noWrap/>
            <w:vAlign w:val="bottom"/>
            <w:hideMark/>
          </w:tcPr>
          <w:p w14:paraId="1B572260"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3.3%</w:t>
            </w:r>
          </w:p>
        </w:tc>
        <w:tc>
          <w:tcPr>
            <w:tcW w:w="960" w:type="dxa"/>
            <w:tcBorders>
              <w:top w:val="nil"/>
              <w:left w:val="nil"/>
              <w:bottom w:val="nil"/>
              <w:right w:val="nil"/>
            </w:tcBorders>
            <w:shd w:val="clear" w:color="000000" w:fill="FFFFFF"/>
            <w:noWrap/>
            <w:vAlign w:val="bottom"/>
            <w:hideMark/>
          </w:tcPr>
          <w:p w14:paraId="78CE6F00"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306</w:t>
            </w:r>
          </w:p>
        </w:tc>
        <w:tc>
          <w:tcPr>
            <w:tcW w:w="960" w:type="dxa"/>
            <w:tcBorders>
              <w:top w:val="nil"/>
              <w:left w:val="nil"/>
              <w:bottom w:val="nil"/>
              <w:right w:val="nil"/>
            </w:tcBorders>
            <w:shd w:val="clear" w:color="000000" w:fill="FFFFFF"/>
            <w:noWrap/>
            <w:vAlign w:val="bottom"/>
            <w:hideMark/>
          </w:tcPr>
          <w:p w14:paraId="228540B2"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4.8%</w:t>
            </w:r>
          </w:p>
        </w:tc>
        <w:tc>
          <w:tcPr>
            <w:tcW w:w="960" w:type="dxa"/>
            <w:tcBorders>
              <w:top w:val="nil"/>
              <w:left w:val="single" w:sz="4" w:space="0" w:color="auto"/>
              <w:bottom w:val="nil"/>
              <w:right w:val="nil"/>
            </w:tcBorders>
            <w:shd w:val="clear" w:color="000000" w:fill="FFFFFF"/>
            <w:noWrap/>
            <w:vAlign w:val="bottom"/>
            <w:hideMark/>
          </w:tcPr>
          <w:p w14:paraId="6D0FC381"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329</w:t>
            </w:r>
          </w:p>
        </w:tc>
        <w:tc>
          <w:tcPr>
            <w:tcW w:w="960" w:type="dxa"/>
            <w:tcBorders>
              <w:top w:val="nil"/>
              <w:left w:val="nil"/>
              <w:bottom w:val="nil"/>
              <w:right w:val="single" w:sz="4" w:space="0" w:color="auto"/>
            </w:tcBorders>
            <w:shd w:val="clear" w:color="000000" w:fill="FFFFFF"/>
            <w:noWrap/>
            <w:vAlign w:val="bottom"/>
            <w:hideMark/>
          </w:tcPr>
          <w:p w14:paraId="10CC19B6"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5.1%</w:t>
            </w:r>
          </w:p>
        </w:tc>
        <w:tc>
          <w:tcPr>
            <w:tcW w:w="960" w:type="dxa"/>
            <w:tcBorders>
              <w:top w:val="nil"/>
              <w:left w:val="nil"/>
              <w:bottom w:val="nil"/>
              <w:right w:val="nil"/>
            </w:tcBorders>
            <w:shd w:val="clear" w:color="000000" w:fill="FFFFFF"/>
            <w:noWrap/>
            <w:vAlign w:val="bottom"/>
            <w:hideMark/>
          </w:tcPr>
          <w:p w14:paraId="010319B0"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453</w:t>
            </w:r>
          </w:p>
        </w:tc>
        <w:tc>
          <w:tcPr>
            <w:tcW w:w="960" w:type="dxa"/>
            <w:tcBorders>
              <w:top w:val="nil"/>
              <w:left w:val="nil"/>
              <w:bottom w:val="nil"/>
              <w:right w:val="single" w:sz="4" w:space="0" w:color="auto"/>
            </w:tcBorders>
            <w:shd w:val="clear" w:color="000000" w:fill="FFFFFF"/>
            <w:noWrap/>
            <w:vAlign w:val="bottom"/>
            <w:hideMark/>
          </w:tcPr>
          <w:p w14:paraId="6EFD1BBF"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6.9%</w:t>
            </w:r>
          </w:p>
        </w:tc>
        <w:tc>
          <w:tcPr>
            <w:tcW w:w="960" w:type="dxa"/>
            <w:tcBorders>
              <w:top w:val="nil"/>
              <w:left w:val="nil"/>
              <w:bottom w:val="nil"/>
              <w:right w:val="nil"/>
            </w:tcBorders>
            <w:shd w:val="clear" w:color="000000" w:fill="FFFFFF"/>
            <w:noWrap/>
            <w:vAlign w:val="bottom"/>
            <w:hideMark/>
          </w:tcPr>
          <w:p w14:paraId="7F1E720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3091</w:t>
            </w:r>
          </w:p>
        </w:tc>
        <w:tc>
          <w:tcPr>
            <w:tcW w:w="960" w:type="dxa"/>
            <w:tcBorders>
              <w:top w:val="nil"/>
              <w:left w:val="nil"/>
              <w:bottom w:val="nil"/>
              <w:right w:val="single" w:sz="4" w:space="0" w:color="auto"/>
            </w:tcBorders>
            <w:shd w:val="clear" w:color="000000" w:fill="FFFFFF"/>
            <w:noWrap/>
            <w:vAlign w:val="bottom"/>
            <w:hideMark/>
          </w:tcPr>
          <w:p w14:paraId="4E09AE31"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49.5%</w:t>
            </w:r>
          </w:p>
        </w:tc>
      </w:tr>
      <w:tr w:rsidR="00AD7B91" w:rsidRPr="007E2527" w14:paraId="52307524" w14:textId="77777777" w:rsidTr="00C90D22">
        <w:trPr>
          <w:trHeight w:val="300"/>
        </w:trPr>
        <w:tc>
          <w:tcPr>
            <w:tcW w:w="2948" w:type="dxa"/>
            <w:tcBorders>
              <w:top w:val="nil"/>
              <w:left w:val="single" w:sz="4" w:space="0" w:color="auto"/>
              <w:bottom w:val="nil"/>
              <w:right w:val="nil"/>
            </w:tcBorders>
            <w:shd w:val="clear" w:color="000000" w:fill="FFFFFF"/>
            <w:noWrap/>
            <w:vAlign w:val="bottom"/>
            <w:hideMark/>
          </w:tcPr>
          <w:p w14:paraId="2EFBC2CD"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No response provided</w:t>
            </w:r>
          </w:p>
        </w:tc>
        <w:tc>
          <w:tcPr>
            <w:tcW w:w="898" w:type="dxa"/>
            <w:tcBorders>
              <w:top w:val="nil"/>
              <w:left w:val="single" w:sz="4" w:space="0" w:color="auto"/>
              <w:bottom w:val="nil"/>
              <w:right w:val="single" w:sz="4" w:space="0" w:color="auto"/>
            </w:tcBorders>
            <w:shd w:val="clear" w:color="000000" w:fill="FFFFFF"/>
            <w:noWrap/>
            <w:vAlign w:val="bottom"/>
            <w:hideMark/>
          </w:tcPr>
          <w:p w14:paraId="0B6D0546"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71.2%</w:t>
            </w:r>
          </w:p>
        </w:tc>
        <w:tc>
          <w:tcPr>
            <w:tcW w:w="899" w:type="dxa"/>
            <w:tcBorders>
              <w:top w:val="nil"/>
              <w:left w:val="nil"/>
              <w:bottom w:val="nil"/>
              <w:right w:val="nil"/>
            </w:tcBorders>
            <w:shd w:val="clear" w:color="000000" w:fill="FFFFFF"/>
            <w:noWrap/>
            <w:vAlign w:val="bottom"/>
            <w:hideMark/>
          </w:tcPr>
          <w:p w14:paraId="706FF6E3"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68.8%</w:t>
            </w:r>
          </w:p>
        </w:tc>
        <w:tc>
          <w:tcPr>
            <w:tcW w:w="899" w:type="dxa"/>
            <w:tcBorders>
              <w:top w:val="nil"/>
              <w:left w:val="single" w:sz="4" w:space="0" w:color="auto"/>
              <w:bottom w:val="nil"/>
              <w:right w:val="single" w:sz="4" w:space="0" w:color="auto"/>
            </w:tcBorders>
            <w:shd w:val="clear" w:color="000000" w:fill="FFFFFF"/>
            <w:noWrap/>
            <w:vAlign w:val="bottom"/>
            <w:hideMark/>
          </w:tcPr>
          <w:p w14:paraId="125F65F8"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64.5%</w:t>
            </w:r>
          </w:p>
        </w:tc>
        <w:tc>
          <w:tcPr>
            <w:tcW w:w="960" w:type="dxa"/>
            <w:tcBorders>
              <w:top w:val="nil"/>
              <w:left w:val="nil"/>
              <w:bottom w:val="nil"/>
              <w:right w:val="nil"/>
            </w:tcBorders>
            <w:shd w:val="clear" w:color="000000" w:fill="FFFFFF"/>
            <w:noWrap/>
            <w:vAlign w:val="bottom"/>
            <w:hideMark/>
          </w:tcPr>
          <w:p w14:paraId="70D7862D"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3716</w:t>
            </w:r>
          </w:p>
        </w:tc>
        <w:tc>
          <w:tcPr>
            <w:tcW w:w="960" w:type="dxa"/>
            <w:tcBorders>
              <w:top w:val="nil"/>
              <w:left w:val="nil"/>
              <w:bottom w:val="nil"/>
              <w:right w:val="nil"/>
            </w:tcBorders>
            <w:shd w:val="clear" w:color="000000" w:fill="FFFFFF"/>
            <w:noWrap/>
            <w:vAlign w:val="bottom"/>
            <w:hideMark/>
          </w:tcPr>
          <w:p w14:paraId="17435733"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57.9%</w:t>
            </w:r>
          </w:p>
        </w:tc>
        <w:tc>
          <w:tcPr>
            <w:tcW w:w="960" w:type="dxa"/>
            <w:tcBorders>
              <w:top w:val="nil"/>
              <w:left w:val="single" w:sz="4" w:space="0" w:color="auto"/>
              <w:bottom w:val="nil"/>
              <w:right w:val="nil"/>
            </w:tcBorders>
            <w:shd w:val="clear" w:color="000000" w:fill="FFFFFF"/>
            <w:noWrap/>
            <w:vAlign w:val="bottom"/>
            <w:hideMark/>
          </w:tcPr>
          <w:p w14:paraId="0D74F3E8"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3320</w:t>
            </w:r>
          </w:p>
        </w:tc>
        <w:tc>
          <w:tcPr>
            <w:tcW w:w="960" w:type="dxa"/>
            <w:tcBorders>
              <w:top w:val="nil"/>
              <w:left w:val="nil"/>
              <w:bottom w:val="nil"/>
              <w:right w:val="single" w:sz="4" w:space="0" w:color="auto"/>
            </w:tcBorders>
            <w:shd w:val="clear" w:color="000000" w:fill="FFFFFF"/>
            <w:noWrap/>
            <w:vAlign w:val="bottom"/>
            <w:hideMark/>
          </w:tcPr>
          <w:p w14:paraId="5ABDBD7B"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51.9%</w:t>
            </w:r>
          </w:p>
        </w:tc>
        <w:tc>
          <w:tcPr>
            <w:tcW w:w="960" w:type="dxa"/>
            <w:tcBorders>
              <w:top w:val="nil"/>
              <w:left w:val="nil"/>
              <w:bottom w:val="nil"/>
              <w:right w:val="nil"/>
            </w:tcBorders>
            <w:shd w:val="clear" w:color="000000" w:fill="FFFFFF"/>
            <w:noWrap/>
            <w:vAlign w:val="bottom"/>
            <w:hideMark/>
          </w:tcPr>
          <w:p w14:paraId="3C1B0C5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2981</w:t>
            </w:r>
          </w:p>
        </w:tc>
        <w:tc>
          <w:tcPr>
            <w:tcW w:w="960" w:type="dxa"/>
            <w:tcBorders>
              <w:top w:val="nil"/>
              <w:left w:val="nil"/>
              <w:bottom w:val="nil"/>
              <w:right w:val="single" w:sz="4" w:space="0" w:color="auto"/>
            </w:tcBorders>
            <w:shd w:val="clear" w:color="000000" w:fill="FFFFFF"/>
            <w:noWrap/>
            <w:vAlign w:val="bottom"/>
            <w:hideMark/>
          </w:tcPr>
          <w:p w14:paraId="74B5850D"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45.3%</w:t>
            </w:r>
          </w:p>
        </w:tc>
        <w:tc>
          <w:tcPr>
            <w:tcW w:w="960" w:type="dxa"/>
            <w:tcBorders>
              <w:top w:val="nil"/>
              <w:left w:val="nil"/>
              <w:bottom w:val="nil"/>
              <w:right w:val="nil"/>
            </w:tcBorders>
            <w:shd w:val="clear" w:color="000000" w:fill="FFFFFF"/>
            <w:noWrap/>
            <w:vAlign w:val="bottom"/>
            <w:hideMark/>
          </w:tcPr>
          <w:p w14:paraId="72BE31F0"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58ECBE3"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 </w:t>
            </w:r>
          </w:p>
        </w:tc>
      </w:tr>
      <w:tr w:rsidR="00AD7B91" w:rsidRPr="007E2527" w14:paraId="3400ED25" w14:textId="77777777" w:rsidTr="00C90D22">
        <w:trPr>
          <w:trHeight w:val="315"/>
        </w:trPr>
        <w:tc>
          <w:tcPr>
            <w:tcW w:w="2948" w:type="dxa"/>
            <w:tcBorders>
              <w:top w:val="dotted" w:sz="4" w:space="0" w:color="auto"/>
              <w:left w:val="single" w:sz="4" w:space="0" w:color="auto"/>
              <w:bottom w:val="double" w:sz="6" w:space="0" w:color="auto"/>
              <w:right w:val="nil"/>
            </w:tcBorders>
            <w:shd w:val="clear" w:color="000000" w:fill="FFFFFF"/>
            <w:noWrap/>
            <w:vAlign w:val="bottom"/>
            <w:hideMark/>
          </w:tcPr>
          <w:p w14:paraId="280AD054" w14:textId="77777777" w:rsidR="00AD7B91" w:rsidRPr="00AD7B91" w:rsidRDefault="00AD7B91" w:rsidP="00AD7B91">
            <w:pPr>
              <w:spacing w:after="0" w:line="240" w:lineRule="auto"/>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All colleagues</w:t>
            </w:r>
          </w:p>
        </w:tc>
        <w:tc>
          <w:tcPr>
            <w:tcW w:w="898"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41E6EFB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100%</w:t>
            </w:r>
          </w:p>
        </w:tc>
        <w:tc>
          <w:tcPr>
            <w:tcW w:w="899" w:type="dxa"/>
            <w:tcBorders>
              <w:top w:val="dotted" w:sz="4" w:space="0" w:color="auto"/>
              <w:left w:val="nil"/>
              <w:bottom w:val="double" w:sz="6" w:space="0" w:color="auto"/>
              <w:right w:val="nil"/>
            </w:tcBorders>
            <w:shd w:val="clear" w:color="000000" w:fill="FFFFFF"/>
            <w:noWrap/>
            <w:vAlign w:val="bottom"/>
            <w:hideMark/>
          </w:tcPr>
          <w:p w14:paraId="53875171"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100%</w:t>
            </w:r>
          </w:p>
        </w:tc>
        <w:tc>
          <w:tcPr>
            <w:tcW w:w="899"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094C2F9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ACAC85D"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6415</w:t>
            </w:r>
          </w:p>
        </w:tc>
        <w:tc>
          <w:tcPr>
            <w:tcW w:w="960" w:type="dxa"/>
            <w:tcBorders>
              <w:top w:val="dotted" w:sz="4" w:space="0" w:color="auto"/>
              <w:left w:val="nil"/>
              <w:bottom w:val="double" w:sz="6" w:space="0" w:color="auto"/>
              <w:right w:val="nil"/>
            </w:tcBorders>
            <w:shd w:val="clear" w:color="000000" w:fill="FFFFFF"/>
            <w:noWrap/>
            <w:vAlign w:val="bottom"/>
            <w:hideMark/>
          </w:tcPr>
          <w:p w14:paraId="60757212"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4A61806"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6395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2F45ED8"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3E754F1"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6574</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CB27E89"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6AD3791"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6241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E39A1CB" w14:textId="77777777" w:rsidR="00AD7B91" w:rsidRPr="00AD7B91" w:rsidRDefault="00AD7B91" w:rsidP="00AD7B9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7B91">
              <w:rPr>
                <w:rFonts w:asciiTheme="minorHAnsi" w:eastAsia="Times New Roman" w:hAnsiTheme="minorHAnsi" w:cs="Times New Roman"/>
                <w:b/>
                <w:bCs/>
                <w:color w:val="000000"/>
                <w:kern w:val="0"/>
                <w:szCs w:val="22"/>
                <w:lang w:eastAsia="en-GB"/>
                <w14:ligatures w14:val="none"/>
              </w:rPr>
              <w:t>100%</w:t>
            </w:r>
          </w:p>
        </w:tc>
      </w:tr>
    </w:tbl>
    <w:p w14:paraId="5914220A" w14:textId="7B6E2FE9" w:rsidR="00A3269C" w:rsidRPr="007E2527" w:rsidRDefault="00A3269C" w:rsidP="00AE2746">
      <w:pPr>
        <w:rPr>
          <w:rFonts w:asciiTheme="minorHAnsi" w:hAnsiTheme="minorHAnsi"/>
          <w:szCs w:val="22"/>
        </w:rPr>
      </w:pPr>
    </w:p>
    <w:p w14:paraId="1532FB99" w14:textId="35043024" w:rsidR="003104A7" w:rsidRPr="007E2527" w:rsidRDefault="003104A7" w:rsidP="00AE2746">
      <w:pPr>
        <w:rPr>
          <w:rFonts w:asciiTheme="minorHAnsi" w:hAnsiTheme="minorHAnsi"/>
          <w:szCs w:val="22"/>
        </w:rPr>
      </w:pPr>
      <w:r w:rsidRPr="007E2527">
        <w:rPr>
          <w:rFonts w:asciiTheme="minorHAnsi" w:hAnsiTheme="minorHAnsi"/>
          <w:szCs w:val="22"/>
        </w:rPr>
        <w:t>Note. From 2023, HESA no longer includes 'Spiritual' as a separate group category. For comparison purposes, data previously categorised as 'Spiritual' has been merged into 'Any other religion or belief' in this table.</w:t>
      </w:r>
    </w:p>
    <w:p w14:paraId="308240DF" w14:textId="77777777" w:rsidR="00482B2A" w:rsidRDefault="00482B2A" w:rsidP="00AE2746">
      <w:pPr>
        <w:rPr>
          <w:rFonts w:asciiTheme="minorHAnsi" w:hAnsiTheme="minorHAnsi"/>
          <w:b/>
          <w:bCs/>
          <w:szCs w:val="22"/>
        </w:rPr>
      </w:pPr>
    </w:p>
    <w:p w14:paraId="1303130B" w14:textId="77777777" w:rsidR="007D7122" w:rsidRDefault="007D7122" w:rsidP="00AE2746">
      <w:pPr>
        <w:rPr>
          <w:rFonts w:asciiTheme="minorHAnsi" w:hAnsiTheme="minorHAnsi"/>
          <w:b/>
          <w:bCs/>
          <w:szCs w:val="22"/>
        </w:rPr>
      </w:pPr>
    </w:p>
    <w:p w14:paraId="73CD87A8" w14:textId="77777777" w:rsidR="007D7122" w:rsidRDefault="007D7122" w:rsidP="00AE2746">
      <w:pPr>
        <w:rPr>
          <w:rFonts w:asciiTheme="minorHAnsi" w:hAnsiTheme="minorHAnsi"/>
          <w:b/>
          <w:bCs/>
          <w:szCs w:val="22"/>
        </w:rPr>
      </w:pPr>
    </w:p>
    <w:p w14:paraId="019E4AB9" w14:textId="77777777" w:rsidR="007D7122" w:rsidRDefault="007D7122" w:rsidP="00AE2746">
      <w:pPr>
        <w:rPr>
          <w:rFonts w:asciiTheme="minorHAnsi" w:hAnsiTheme="minorHAnsi"/>
          <w:b/>
          <w:bCs/>
          <w:szCs w:val="22"/>
        </w:rPr>
      </w:pPr>
    </w:p>
    <w:p w14:paraId="53046783" w14:textId="77777777" w:rsidR="007D7122" w:rsidRPr="007E2527" w:rsidRDefault="007D7122" w:rsidP="00AE2746">
      <w:pPr>
        <w:rPr>
          <w:rFonts w:asciiTheme="minorHAnsi" w:hAnsiTheme="minorHAnsi"/>
          <w:b/>
          <w:bCs/>
          <w:szCs w:val="22"/>
        </w:rPr>
      </w:pPr>
    </w:p>
    <w:p w14:paraId="67386E30" w14:textId="69AF1282" w:rsidR="003104A7" w:rsidRPr="007E2527" w:rsidRDefault="00450F18" w:rsidP="00450F18">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religion and belief, and occupation, 2025 (N=6,241)</w:t>
      </w:r>
    </w:p>
    <w:tbl>
      <w:tblPr>
        <w:tblW w:w="7744" w:type="dxa"/>
        <w:tblLayout w:type="fixed"/>
        <w:tblLook w:val="04A0" w:firstRow="1" w:lastRow="0" w:firstColumn="1" w:lastColumn="0" w:noHBand="0" w:noVBand="1"/>
      </w:tblPr>
      <w:tblGrid>
        <w:gridCol w:w="1984"/>
        <w:gridCol w:w="960"/>
        <w:gridCol w:w="960"/>
        <w:gridCol w:w="960"/>
        <w:gridCol w:w="960"/>
        <w:gridCol w:w="960"/>
        <w:gridCol w:w="960"/>
      </w:tblGrid>
      <w:tr w:rsidR="00057EE7" w:rsidRPr="00057EE7" w14:paraId="0CB4D7F9" w14:textId="77777777" w:rsidTr="007D7122">
        <w:trPr>
          <w:trHeight w:val="300"/>
        </w:trPr>
        <w:tc>
          <w:tcPr>
            <w:tcW w:w="1984" w:type="dxa"/>
            <w:tcBorders>
              <w:top w:val="single" w:sz="4" w:space="0" w:color="auto"/>
              <w:left w:val="single" w:sz="4" w:space="0" w:color="auto"/>
              <w:bottom w:val="nil"/>
              <w:right w:val="nil"/>
            </w:tcBorders>
            <w:shd w:val="clear" w:color="000000" w:fill="FFFFFF"/>
            <w:noWrap/>
            <w:vAlign w:val="bottom"/>
            <w:hideMark/>
          </w:tcPr>
          <w:p w14:paraId="15002A59" w14:textId="77777777" w:rsidR="00057EE7" w:rsidRPr="00057EE7" w:rsidRDefault="00057EE7" w:rsidP="00057EE7">
            <w:pPr>
              <w:spacing w:after="0" w:line="240" w:lineRule="auto"/>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2654F41" w14:textId="77777777" w:rsidR="00057EE7" w:rsidRPr="00057EE7" w:rsidRDefault="00057EE7" w:rsidP="00057EE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439E4FEC" w14:textId="77777777" w:rsidR="00057EE7" w:rsidRPr="00057EE7" w:rsidRDefault="00057EE7" w:rsidP="00057EE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B6CEC60" w14:textId="77777777" w:rsidR="00057EE7" w:rsidRPr="00057EE7" w:rsidRDefault="00057EE7" w:rsidP="00057EE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PS</w:t>
            </w:r>
          </w:p>
        </w:tc>
      </w:tr>
      <w:tr w:rsidR="007D7122" w:rsidRPr="00057EE7" w14:paraId="27C051DD" w14:textId="77777777" w:rsidTr="007D7122">
        <w:trPr>
          <w:trHeight w:val="300"/>
        </w:trPr>
        <w:tc>
          <w:tcPr>
            <w:tcW w:w="1984" w:type="dxa"/>
            <w:tcBorders>
              <w:top w:val="nil"/>
              <w:left w:val="single" w:sz="4" w:space="0" w:color="auto"/>
              <w:bottom w:val="single" w:sz="4" w:space="0" w:color="auto"/>
              <w:right w:val="nil"/>
            </w:tcBorders>
            <w:shd w:val="clear" w:color="000000" w:fill="FFFFFF"/>
            <w:noWrap/>
            <w:vAlign w:val="bottom"/>
            <w:hideMark/>
          </w:tcPr>
          <w:p w14:paraId="10CE2EAC"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0E12D56"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9952690"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9F558DA"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45E644E"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43AFE9E"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646DE05"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w:t>
            </w:r>
          </w:p>
        </w:tc>
      </w:tr>
      <w:tr w:rsidR="007D7122" w:rsidRPr="00057EE7" w14:paraId="43E26545"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18116248"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6DF41335"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348</w:t>
            </w:r>
          </w:p>
        </w:tc>
        <w:tc>
          <w:tcPr>
            <w:tcW w:w="960" w:type="dxa"/>
            <w:tcBorders>
              <w:top w:val="nil"/>
              <w:left w:val="nil"/>
              <w:bottom w:val="nil"/>
              <w:right w:val="single" w:sz="4" w:space="0" w:color="auto"/>
            </w:tcBorders>
            <w:shd w:val="clear" w:color="000000" w:fill="FFFFFF"/>
            <w:noWrap/>
            <w:vAlign w:val="bottom"/>
            <w:hideMark/>
          </w:tcPr>
          <w:p w14:paraId="4791DB27"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18.7%</w:t>
            </w:r>
          </w:p>
        </w:tc>
        <w:tc>
          <w:tcPr>
            <w:tcW w:w="960" w:type="dxa"/>
            <w:tcBorders>
              <w:top w:val="nil"/>
              <w:left w:val="nil"/>
              <w:bottom w:val="nil"/>
              <w:right w:val="nil"/>
            </w:tcBorders>
            <w:shd w:val="clear" w:color="000000" w:fill="FFFFFF"/>
            <w:noWrap/>
            <w:vAlign w:val="bottom"/>
            <w:hideMark/>
          </w:tcPr>
          <w:p w14:paraId="41914D98"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306</w:t>
            </w:r>
          </w:p>
        </w:tc>
        <w:tc>
          <w:tcPr>
            <w:tcW w:w="960" w:type="dxa"/>
            <w:tcBorders>
              <w:top w:val="nil"/>
              <w:left w:val="nil"/>
              <w:bottom w:val="nil"/>
              <w:right w:val="single" w:sz="4" w:space="0" w:color="auto"/>
            </w:tcBorders>
            <w:shd w:val="clear" w:color="000000" w:fill="FFFFFF"/>
            <w:noWrap/>
            <w:vAlign w:val="bottom"/>
            <w:hideMark/>
          </w:tcPr>
          <w:p w14:paraId="7E5AA5AB"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30.6%</w:t>
            </w:r>
          </w:p>
        </w:tc>
        <w:tc>
          <w:tcPr>
            <w:tcW w:w="960" w:type="dxa"/>
            <w:tcBorders>
              <w:top w:val="nil"/>
              <w:left w:val="nil"/>
              <w:bottom w:val="nil"/>
              <w:right w:val="nil"/>
            </w:tcBorders>
            <w:shd w:val="clear" w:color="000000" w:fill="FFFFFF"/>
            <w:noWrap/>
            <w:vAlign w:val="bottom"/>
            <w:hideMark/>
          </w:tcPr>
          <w:p w14:paraId="76928F13"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856</w:t>
            </w:r>
          </w:p>
        </w:tc>
        <w:tc>
          <w:tcPr>
            <w:tcW w:w="960" w:type="dxa"/>
            <w:tcBorders>
              <w:top w:val="nil"/>
              <w:left w:val="nil"/>
              <w:bottom w:val="nil"/>
              <w:right w:val="single" w:sz="4" w:space="0" w:color="auto"/>
            </w:tcBorders>
            <w:shd w:val="clear" w:color="000000" w:fill="FFFFFF"/>
            <w:noWrap/>
            <w:vAlign w:val="bottom"/>
            <w:hideMark/>
          </w:tcPr>
          <w:p w14:paraId="6F87B2C7"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25.3%</w:t>
            </w:r>
          </w:p>
        </w:tc>
      </w:tr>
      <w:tr w:rsidR="007D7122" w:rsidRPr="00057EE7" w14:paraId="2C3E9FF8"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5F53CDF9"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2D11B55B"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387</w:t>
            </w:r>
          </w:p>
        </w:tc>
        <w:tc>
          <w:tcPr>
            <w:tcW w:w="960" w:type="dxa"/>
            <w:tcBorders>
              <w:top w:val="nil"/>
              <w:left w:val="nil"/>
              <w:bottom w:val="nil"/>
              <w:right w:val="single" w:sz="4" w:space="0" w:color="auto"/>
            </w:tcBorders>
            <w:shd w:val="clear" w:color="000000" w:fill="FFFFFF"/>
            <w:noWrap/>
            <w:vAlign w:val="bottom"/>
            <w:hideMark/>
          </w:tcPr>
          <w:p w14:paraId="1B672D1E"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20.8%</w:t>
            </w:r>
          </w:p>
        </w:tc>
        <w:tc>
          <w:tcPr>
            <w:tcW w:w="960" w:type="dxa"/>
            <w:tcBorders>
              <w:top w:val="nil"/>
              <w:left w:val="nil"/>
              <w:bottom w:val="nil"/>
              <w:right w:val="nil"/>
            </w:tcBorders>
            <w:shd w:val="clear" w:color="000000" w:fill="FFFFFF"/>
            <w:noWrap/>
            <w:vAlign w:val="bottom"/>
            <w:hideMark/>
          </w:tcPr>
          <w:p w14:paraId="603A8F32"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312</w:t>
            </w:r>
          </w:p>
        </w:tc>
        <w:tc>
          <w:tcPr>
            <w:tcW w:w="960" w:type="dxa"/>
            <w:tcBorders>
              <w:top w:val="nil"/>
              <w:left w:val="nil"/>
              <w:bottom w:val="nil"/>
              <w:right w:val="single" w:sz="4" w:space="0" w:color="auto"/>
            </w:tcBorders>
            <w:shd w:val="clear" w:color="000000" w:fill="FFFFFF"/>
            <w:noWrap/>
            <w:vAlign w:val="bottom"/>
            <w:hideMark/>
          </w:tcPr>
          <w:p w14:paraId="41944CF4"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31.2%</w:t>
            </w:r>
          </w:p>
        </w:tc>
        <w:tc>
          <w:tcPr>
            <w:tcW w:w="960" w:type="dxa"/>
            <w:tcBorders>
              <w:top w:val="nil"/>
              <w:left w:val="nil"/>
              <w:bottom w:val="nil"/>
              <w:right w:val="nil"/>
            </w:tcBorders>
            <w:shd w:val="clear" w:color="000000" w:fill="FFFFFF"/>
            <w:noWrap/>
            <w:vAlign w:val="bottom"/>
            <w:hideMark/>
          </w:tcPr>
          <w:p w14:paraId="7158F3AC"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941</w:t>
            </w:r>
          </w:p>
        </w:tc>
        <w:tc>
          <w:tcPr>
            <w:tcW w:w="960" w:type="dxa"/>
            <w:tcBorders>
              <w:top w:val="nil"/>
              <w:left w:val="nil"/>
              <w:bottom w:val="nil"/>
              <w:right w:val="single" w:sz="4" w:space="0" w:color="auto"/>
            </w:tcBorders>
            <w:shd w:val="clear" w:color="000000" w:fill="FFFFFF"/>
            <w:noWrap/>
            <w:vAlign w:val="bottom"/>
            <w:hideMark/>
          </w:tcPr>
          <w:p w14:paraId="7C88EED0"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27.8%</w:t>
            </w:r>
          </w:p>
        </w:tc>
      </w:tr>
      <w:tr w:rsidR="007D7122" w:rsidRPr="00057EE7" w14:paraId="2CD75FA6"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798BB10D"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7F143641"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1125</w:t>
            </w:r>
          </w:p>
        </w:tc>
        <w:tc>
          <w:tcPr>
            <w:tcW w:w="960" w:type="dxa"/>
            <w:tcBorders>
              <w:top w:val="nil"/>
              <w:left w:val="nil"/>
              <w:bottom w:val="nil"/>
              <w:right w:val="single" w:sz="4" w:space="0" w:color="auto"/>
            </w:tcBorders>
            <w:shd w:val="clear" w:color="000000" w:fill="FFFFFF"/>
            <w:noWrap/>
            <w:vAlign w:val="bottom"/>
            <w:hideMark/>
          </w:tcPr>
          <w:p w14:paraId="4572699A"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60.5%</w:t>
            </w:r>
          </w:p>
        </w:tc>
        <w:tc>
          <w:tcPr>
            <w:tcW w:w="960" w:type="dxa"/>
            <w:tcBorders>
              <w:top w:val="nil"/>
              <w:left w:val="nil"/>
              <w:bottom w:val="nil"/>
              <w:right w:val="nil"/>
            </w:tcBorders>
            <w:shd w:val="clear" w:color="000000" w:fill="FFFFFF"/>
            <w:noWrap/>
            <w:vAlign w:val="bottom"/>
            <w:hideMark/>
          </w:tcPr>
          <w:p w14:paraId="514A1AE0"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382</w:t>
            </w:r>
          </w:p>
        </w:tc>
        <w:tc>
          <w:tcPr>
            <w:tcW w:w="960" w:type="dxa"/>
            <w:tcBorders>
              <w:top w:val="nil"/>
              <w:left w:val="nil"/>
              <w:bottom w:val="nil"/>
              <w:right w:val="single" w:sz="4" w:space="0" w:color="auto"/>
            </w:tcBorders>
            <w:shd w:val="clear" w:color="000000" w:fill="FFFFFF"/>
            <w:noWrap/>
            <w:vAlign w:val="bottom"/>
            <w:hideMark/>
          </w:tcPr>
          <w:p w14:paraId="22F5ECBA"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38.2%</w:t>
            </w:r>
          </w:p>
        </w:tc>
        <w:tc>
          <w:tcPr>
            <w:tcW w:w="960" w:type="dxa"/>
            <w:tcBorders>
              <w:top w:val="nil"/>
              <w:left w:val="nil"/>
              <w:bottom w:val="nil"/>
              <w:right w:val="nil"/>
            </w:tcBorders>
            <w:shd w:val="clear" w:color="000000" w:fill="FFFFFF"/>
            <w:noWrap/>
            <w:vAlign w:val="bottom"/>
            <w:hideMark/>
          </w:tcPr>
          <w:p w14:paraId="4F875DE2"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1584</w:t>
            </w:r>
          </w:p>
        </w:tc>
        <w:tc>
          <w:tcPr>
            <w:tcW w:w="960" w:type="dxa"/>
            <w:tcBorders>
              <w:top w:val="nil"/>
              <w:left w:val="nil"/>
              <w:bottom w:val="nil"/>
              <w:right w:val="single" w:sz="4" w:space="0" w:color="auto"/>
            </w:tcBorders>
            <w:shd w:val="clear" w:color="000000" w:fill="FFFFFF"/>
            <w:noWrap/>
            <w:vAlign w:val="bottom"/>
            <w:hideMark/>
          </w:tcPr>
          <w:p w14:paraId="1729776D"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46.9%</w:t>
            </w:r>
          </w:p>
        </w:tc>
      </w:tr>
      <w:tr w:rsidR="007D7122" w:rsidRPr="00057EE7" w14:paraId="4001F1FA" w14:textId="77777777" w:rsidTr="007D7122">
        <w:trPr>
          <w:trHeight w:val="315"/>
        </w:trPr>
        <w:tc>
          <w:tcPr>
            <w:tcW w:w="1984" w:type="dxa"/>
            <w:tcBorders>
              <w:top w:val="dotted" w:sz="4" w:space="0" w:color="auto"/>
              <w:left w:val="single" w:sz="4" w:space="0" w:color="auto"/>
              <w:bottom w:val="double" w:sz="6" w:space="0" w:color="auto"/>
              <w:right w:val="nil"/>
            </w:tcBorders>
            <w:shd w:val="clear" w:color="000000" w:fill="FFFFFF"/>
            <w:noWrap/>
            <w:vAlign w:val="bottom"/>
            <w:hideMark/>
          </w:tcPr>
          <w:p w14:paraId="5D7D2EFB" w14:textId="77777777" w:rsidR="00057EE7" w:rsidRPr="00057EE7" w:rsidRDefault="00057EE7" w:rsidP="00057EE7">
            <w:pPr>
              <w:spacing w:after="0" w:line="240" w:lineRule="auto"/>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26803E8F"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1860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0ECB297"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38C1F00"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18E1C2B"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3DB56F0"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3381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0A333AA"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w:t>
            </w:r>
          </w:p>
        </w:tc>
      </w:tr>
    </w:tbl>
    <w:p w14:paraId="24AC8205" w14:textId="77777777" w:rsidR="00450F18" w:rsidRDefault="00450F18" w:rsidP="00450F18">
      <w:pPr>
        <w:rPr>
          <w:rFonts w:asciiTheme="minorHAnsi" w:hAnsiTheme="minorHAnsi"/>
          <w:b/>
          <w:bCs/>
          <w:szCs w:val="22"/>
        </w:rPr>
      </w:pPr>
    </w:p>
    <w:p w14:paraId="31CDCCBD" w14:textId="77777777" w:rsidR="00C90D22" w:rsidRPr="007E2527" w:rsidRDefault="00C90D22" w:rsidP="00450F18">
      <w:pPr>
        <w:rPr>
          <w:rFonts w:asciiTheme="minorHAnsi" w:hAnsiTheme="minorHAnsi"/>
          <w:b/>
          <w:bCs/>
          <w:szCs w:val="22"/>
        </w:rPr>
      </w:pPr>
    </w:p>
    <w:p w14:paraId="14E5F77F" w14:textId="0B1C487B" w:rsidR="00450F18" w:rsidRPr="007E2527" w:rsidRDefault="00450F18" w:rsidP="00450F18">
      <w:pPr>
        <w:pStyle w:val="ListParagraph"/>
        <w:numPr>
          <w:ilvl w:val="2"/>
          <w:numId w:val="11"/>
        </w:numPr>
        <w:rPr>
          <w:rFonts w:asciiTheme="minorHAnsi" w:hAnsiTheme="minorHAnsi"/>
          <w:b/>
          <w:bCs/>
          <w:szCs w:val="22"/>
        </w:rPr>
      </w:pPr>
      <w:r w:rsidRPr="007E2527">
        <w:rPr>
          <w:rFonts w:asciiTheme="minorHAnsi" w:hAnsiTheme="minorHAnsi"/>
          <w:b/>
          <w:bCs/>
          <w:szCs w:val="22"/>
        </w:rPr>
        <w:t>PS colleagues only by religion and belief, and job family, 2025 (n=3,381)</w:t>
      </w:r>
    </w:p>
    <w:tbl>
      <w:tblPr>
        <w:tblW w:w="9664" w:type="dxa"/>
        <w:tblLayout w:type="fixed"/>
        <w:tblLook w:val="04A0" w:firstRow="1" w:lastRow="0" w:firstColumn="1" w:lastColumn="0" w:noHBand="0" w:noVBand="1"/>
      </w:tblPr>
      <w:tblGrid>
        <w:gridCol w:w="1984"/>
        <w:gridCol w:w="960"/>
        <w:gridCol w:w="960"/>
        <w:gridCol w:w="960"/>
        <w:gridCol w:w="960"/>
        <w:gridCol w:w="960"/>
        <w:gridCol w:w="960"/>
        <w:gridCol w:w="960"/>
        <w:gridCol w:w="960"/>
      </w:tblGrid>
      <w:tr w:rsidR="00057EE7" w:rsidRPr="00057EE7" w14:paraId="02C5D4F3" w14:textId="77777777" w:rsidTr="007D7122">
        <w:trPr>
          <w:trHeight w:val="300"/>
        </w:trPr>
        <w:tc>
          <w:tcPr>
            <w:tcW w:w="1984" w:type="dxa"/>
            <w:tcBorders>
              <w:top w:val="single" w:sz="4" w:space="0" w:color="auto"/>
              <w:left w:val="single" w:sz="4" w:space="0" w:color="auto"/>
              <w:bottom w:val="nil"/>
              <w:right w:val="nil"/>
            </w:tcBorders>
            <w:shd w:val="clear" w:color="000000" w:fill="FFFFFF"/>
            <w:noWrap/>
            <w:vAlign w:val="bottom"/>
            <w:hideMark/>
          </w:tcPr>
          <w:p w14:paraId="73A36FB9" w14:textId="77777777" w:rsidR="00057EE7" w:rsidRPr="00057EE7" w:rsidRDefault="00057EE7" w:rsidP="00057EE7">
            <w:pPr>
              <w:spacing w:after="0" w:line="240" w:lineRule="auto"/>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001F9C0" w14:textId="77777777" w:rsidR="00057EE7" w:rsidRPr="00057EE7" w:rsidRDefault="00057EE7" w:rsidP="00057EE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Administrative</w:t>
            </w:r>
          </w:p>
        </w:tc>
        <w:tc>
          <w:tcPr>
            <w:tcW w:w="1920" w:type="dxa"/>
            <w:gridSpan w:val="2"/>
            <w:tcBorders>
              <w:top w:val="single" w:sz="4" w:space="0" w:color="auto"/>
              <w:left w:val="nil"/>
              <w:bottom w:val="nil"/>
              <w:right w:val="nil"/>
            </w:tcBorders>
            <w:shd w:val="clear" w:color="000000" w:fill="FFFFFF"/>
            <w:noWrap/>
            <w:vAlign w:val="bottom"/>
            <w:hideMark/>
          </w:tcPr>
          <w:p w14:paraId="46D72A2B" w14:textId="77777777" w:rsidR="00057EE7" w:rsidRPr="00057EE7" w:rsidRDefault="00057EE7" w:rsidP="00057EE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Maintenance</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7799148" w14:textId="77777777" w:rsidR="00057EE7" w:rsidRPr="00057EE7" w:rsidRDefault="00057EE7" w:rsidP="00057EE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Operational</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DC752F2" w14:textId="77777777" w:rsidR="00057EE7" w:rsidRPr="00057EE7" w:rsidRDefault="00057EE7" w:rsidP="00057EE7">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Specialist</w:t>
            </w:r>
          </w:p>
        </w:tc>
      </w:tr>
      <w:tr w:rsidR="00057EE7" w:rsidRPr="007E2527" w14:paraId="55D47B57" w14:textId="77777777" w:rsidTr="007D7122">
        <w:trPr>
          <w:trHeight w:val="300"/>
        </w:trPr>
        <w:tc>
          <w:tcPr>
            <w:tcW w:w="1984" w:type="dxa"/>
            <w:tcBorders>
              <w:top w:val="nil"/>
              <w:left w:val="single" w:sz="4" w:space="0" w:color="auto"/>
              <w:bottom w:val="single" w:sz="4" w:space="0" w:color="auto"/>
              <w:right w:val="nil"/>
            </w:tcBorders>
            <w:shd w:val="clear" w:color="000000" w:fill="FFFFFF"/>
            <w:noWrap/>
            <w:vAlign w:val="bottom"/>
            <w:hideMark/>
          </w:tcPr>
          <w:p w14:paraId="7A87293E"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2E462DDB"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559FE8D"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88758D0"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B670B7C"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B3091DA"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1583122"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F61D67E"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76E8441" w14:textId="77777777" w:rsidR="00057EE7" w:rsidRPr="00057EE7" w:rsidRDefault="00057EE7" w:rsidP="00057EE7">
            <w:pPr>
              <w:spacing w:after="0" w:line="240" w:lineRule="auto"/>
              <w:jc w:val="center"/>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w:t>
            </w:r>
          </w:p>
        </w:tc>
      </w:tr>
      <w:tr w:rsidR="00057EE7" w:rsidRPr="007E2527" w14:paraId="1DEFD919"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538CAE9E"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5713C075"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568</w:t>
            </w:r>
          </w:p>
        </w:tc>
        <w:tc>
          <w:tcPr>
            <w:tcW w:w="960" w:type="dxa"/>
            <w:tcBorders>
              <w:top w:val="nil"/>
              <w:left w:val="nil"/>
              <w:bottom w:val="nil"/>
              <w:right w:val="single" w:sz="4" w:space="0" w:color="auto"/>
            </w:tcBorders>
            <w:shd w:val="clear" w:color="000000" w:fill="FFFFFF"/>
            <w:noWrap/>
            <w:vAlign w:val="bottom"/>
            <w:hideMark/>
          </w:tcPr>
          <w:p w14:paraId="2BCB3946"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25.1%</w:t>
            </w:r>
          </w:p>
        </w:tc>
        <w:tc>
          <w:tcPr>
            <w:tcW w:w="960" w:type="dxa"/>
            <w:tcBorders>
              <w:top w:val="nil"/>
              <w:left w:val="nil"/>
              <w:bottom w:val="nil"/>
              <w:right w:val="nil"/>
            </w:tcBorders>
            <w:shd w:val="clear" w:color="000000" w:fill="FFFFFF"/>
            <w:noWrap/>
            <w:vAlign w:val="bottom"/>
            <w:hideMark/>
          </w:tcPr>
          <w:p w14:paraId="2E60F411"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nil"/>
            </w:tcBorders>
            <w:shd w:val="clear" w:color="000000" w:fill="FFFFFF"/>
            <w:noWrap/>
            <w:vAlign w:val="bottom"/>
            <w:hideMark/>
          </w:tcPr>
          <w:p w14:paraId="58800E82"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19.7%</w:t>
            </w:r>
          </w:p>
        </w:tc>
        <w:tc>
          <w:tcPr>
            <w:tcW w:w="960" w:type="dxa"/>
            <w:tcBorders>
              <w:top w:val="nil"/>
              <w:left w:val="single" w:sz="4" w:space="0" w:color="auto"/>
              <w:bottom w:val="nil"/>
              <w:right w:val="nil"/>
            </w:tcBorders>
            <w:shd w:val="clear" w:color="000000" w:fill="FFFFFF"/>
            <w:noWrap/>
            <w:vAlign w:val="bottom"/>
            <w:hideMark/>
          </w:tcPr>
          <w:p w14:paraId="43B9855E"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134</w:t>
            </w:r>
          </w:p>
        </w:tc>
        <w:tc>
          <w:tcPr>
            <w:tcW w:w="960" w:type="dxa"/>
            <w:tcBorders>
              <w:top w:val="nil"/>
              <w:left w:val="nil"/>
              <w:bottom w:val="nil"/>
              <w:right w:val="single" w:sz="4" w:space="0" w:color="auto"/>
            </w:tcBorders>
            <w:shd w:val="clear" w:color="000000" w:fill="FFFFFF"/>
            <w:noWrap/>
            <w:vAlign w:val="bottom"/>
            <w:hideMark/>
          </w:tcPr>
          <w:p w14:paraId="3F3E2F74"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27.1%</w:t>
            </w:r>
          </w:p>
        </w:tc>
        <w:tc>
          <w:tcPr>
            <w:tcW w:w="960" w:type="dxa"/>
            <w:tcBorders>
              <w:top w:val="nil"/>
              <w:left w:val="nil"/>
              <w:bottom w:val="nil"/>
              <w:right w:val="nil"/>
            </w:tcBorders>
            <w:shd w:val="clear" w:color="000000" w:fill="FFFFFF"/>
            <w:noWrap/>
            <w:vAlign w:val="bottom"/>
            <w:hideMark/>
          </w:tcPr>
          <w:p w14:paraId="4FAF59D8"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142</w:t>
            </w:r>
          </w:p>
        </w:tc>
        <w:tc>
          <w:tcPr>
            <w:tcW w:w="960" w:type="dxa"/>
            <w:tcBorders>
              <w:top w:val="nil"/>
              <w:left w:val="nil"/>
              <w:bottom w:val="nil"/>
              <w:right w:val="single" w:sz="4" w:space="0" w:color="auto"/>
            </w:tcBorders>
            <w:shd w:val="clear" w:color="000000" w:fill="FFFFFF"/>
            <w:noWrap/>
            <w:vAlign w:val="bottom"/>
            <w:hideMark/>
          </w:tcPr>
          <w:p w14:paraId="1516921B"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25.3%</w:t>
            </w:r>
          </w:p>
        </w:tc>
      </w:tr>
      <w:tr w:rsidR="00057EE7" w:rsidRPr="007E2527" w14:paraId="41B78CB0"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15684BE8"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5D34C31E"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683</w:t>
            </w:r>
          </w:p>
        </w:tc>
        <w:tc>
          <w:tcPr>
            <w:tcW w:w="960" w:type="dxa"/>
            <w:tcBorders>
              <w:top w:val="nil"/>
              <w:left w:val="nil"/>
              <w:bottom w:val="nil"/>
              <w:right w:val="single" w:sz="4" w:space="0" w:color="auto"/>
            </w:tcBorders>
            <w:shd w:val="clear" w:color="000000" w:fill="FFFFFF"/>
            <w:noWrap/>
            <w:vAlign w:val="bottom"/>
            <w:hideMark/>
          </w:tcPr>
          <w:p w14:paraId="4C2E4CCF"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30.2%</w:t>
            </w:r>
          </w:p>
        </w:tc>
        <w:tc>
          <w:tcPr>
            <w:tcW w:w="960" w:type="dxa"/>
            <w:tcBorders>
              <w:top w:val="nil"/>
              <w:left w:val="nil"/>
              <w:bottom w:val="nil"/>
              <w:right w:val="nil"/>
            </w:tcBorders>
            <w:shd w:val="clear" w:color="000000" w:fill="FFFFFF"/>
            <w:noWrap/>
            <w:vAlign w:val="bottom"/>
            <w:hideMark/>
          </w:tcPr>
          <w:p w14:paraId="27458528"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nil"/>
            </w:tcBorders>
            <w:shd w:val="clear" w:color="000000" w:fill="FFFFFF"/>
            <w:noWrap/>
            <w:vAlign w:val="bottom"/>
            <w:hideMark/>
          </w:tcPr>
          <w:p w14:paraId="31120ED9"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11.5%</w:t>
            </w:r>
          </w:p>
        </w:tc>
        <w:tc>
          <w:tcPr>
            <w:tcW w:w="960" w:type="dxa"/>
            <w:tcBorders>
              <w:top w:val="nil"/>
              <w:left w:val="single" w:sz="4" w:space="0" w:color="auto"/>
              <w:bottom w:val="nil"/>
              <w:right w:val="nil"/>
            </w:tcBorders>
            <w:shd w:val="clear" w:color="000000" w:fill="FFFFFF"/>
            <w:noWrap/>
            <w:vAlign w:val="bottom"/>
            <w:hideMark/>
          </w:tcPr>
          <w:p w14:paraId="1CD060F8"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108</w:t>
            </w:r>
          </w:p>
        </w:tc>
        <w:tc>
          <w:tcPr>
            <w:tcW w:w="960" w:type="dxa"/>
            <w:tcBorders>
              <w:top w:val="nil"/>
              <w:left w:val="nil"/>
              <w:bottom w:val="nil"/>
              <w:right w:val="single" w:sz="4" w:space="0" w:color="auto"/>
            </w:tcBorders>
            <w:shd w:val="clear" w:color="000000" w:fill="FFFFFF"/>
            <w:noWrap/>
            <w:vAlign w:val="bottom"/>
            <w:hideMark/>
          </w:tcPr>
          <w:p w14:paraId="0124BE2C"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21.8%</w:t>
            </w:r>
          </w:p>
        </w:tc>
        <w:tc>
          <w:tcPr>
            <w:tcW w:w="960" w:type="dxa"/>
            <w:tcBorders>
              <w:top w:val="nil"/>
              <w:left w:val="nil"/>
              <w:bottom w:val="nil"/>
              <w:right w:val="nil"/>
            </w:tcBorders>
            <w:shd w:val="clear" w:color="000000" w:fill="FFFFFF"/>
            <w:noWrap/>
            <w:vAlign w:val="bottom"/>
            <w:hideMark/>
          </w:tcPr>
          <w:p w14:paraId="79A05AAC"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143</w:t>
            </w:r>
          </w:p>
        </w:tc>
        <w:tc>
          <w:tcPr>
            <w:tcW w:w="960" w:type="dxa"/>
            <w:tcBorders>
              <w:top w:val="nil"/>
              <w:left w:val="nil"/>
              <w:bottom w:val="nil"/>
              <w:right w:val="single" w:sz="4" w:space="0" w:color="auto"/>
            </w:tcBorders>
            <w:shd w:val="clear" w:color="000000" w:fill="FFFFFF"/>
            <w:noWrap/>
            <w:vAlign w:val="bottom"/>
            <w:hideMark/>
          </w:tcPr>
          <w:p w14:paraId="17C37DA3"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25.4%</w:t>
            </w:r>
          </w:p>
        </w:tc>
      </w:tr>
      <w:tr w:rsidR="00057EE7" w:rsidRPr="007E2527" w14:paraId="70BBAFAD"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399D17CD" w14:textId="77777777" w:rsidR="00057EE7" w:rsidRPr="00057EE7" w:rsidRDefault="00057EE7" w:rsidP="00057EE7">
            <w:pPr>
              <w:spacing w:after="0" w:line="240" w:lineRule="auto"/>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AA6E179"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1012</w:t>
            </w:r>
          </w:p>
        </w:tc>
        <w:tc>
          <w:tcPr>
            <w:tcW w:w="960" w:type="dxa"/>
            <w:tcBorders>
              <w:top w:val="nil"/>
              <w:left w:val="nil"/>
              <w:bottom w:val="nil"/>
              <w:right w:val="single" w:sz="4" w:space="0" w:color="auto"/>
            </w:tcBorders>
            <w:shd w:val="clear" w:color="000000" w:fill="FFFFFF"/>
            <w:noWrap/>
            <w:vAlign w:val="bottom"/>
            <w:hideMark/>
          </w:tcPr>
          <w:p w14:paraId="4F24BC2B"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44.7%</w:t>
            </w:r>
          </w:p>
        </w:tc>
        <w:tc>
          <w:tcPr>
            <w:tcW w:w="960" w:type="dxa"/>
            <w:tcBorders>
              <w:top w:val="nil"/>
              <w:left w:val="nil"/>
              <w:bottom w:val="nil"/>
              <w:right w:val="nil"/>
            </w:tcBorders>
            <w:shd w:val="clear" w:color="000000" w:fill="FFFFFF"/>
            <w:noWrap/>
            <w:vAlign w:val="bottom"/>
            <w:hideMark/>
          </w:tcPr>
          <w:p w14:paraId="4F5395F6"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nil"/>
            </w:tcBorders>
            <w:shd w:val="clear" w:color="000000" w:fill="FFFFFF"/>
            <w:noWrap/>
            <w:vAlign w:val="bottom"/>
            <w:hideMark/>
          </w:tcPr>
          <w:p w14:paraId="54ACDE20"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68.9%</w:t>
            </w:r>
          </w:p>
        </w:tc>
        <w:tc>
          <w:tcPr>
            <w:tcW w:w="960" w:type="dxa"/>
            <w:tcBorders>
              <w:top w:val="nil"/>
              <w:left w:val="single" w:sz="4" w:space="0" w:color="auto"/>
              <w:bottom w:val="nil"/>
              <w:right w:val="nil"/>
            </w:tcBorders>
            <w:shd w:val="clear" w:color="000000" w:fill="FFFFFF"/>
            <w:noWrap/>
            <w:vAlign w:val="bottom"/>
            <w:hideMark/>
          </w:tcPr>
          <w:p w14:paraId="06D250B6"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253</w:t>
            </w:r>
          </w:p>
        </w:tc>
        <w:tc>
          <w:tcPr>
            <w:tcW w:w="960" w:type="dxa"/>
            <w:tcBorders>
              <w:top w:val="nil"/>
              <w:left w:val="nil"/>
              <w:bottom w:val="nil"/>
              <w:right w:val="single" w:sz="4" w:space="0" w:color="auto"/>
            </w:tcBorders>
            <w:shd w:val="clear" w:color="000000" w:fill="FFFFFF"/>
            <w:noWrap/>
            <w:vAlign w:val="bottom"/>
            <w:hideMark/>
          </w:tcPr>
          <w:p w14:paraId="4D6F1CD9"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51.1%</w:t>
            </w:r>
          </w:p>
        </w:tc>
        <w:tc>
          <w:tcPr>
            <w:tcW w:w="960" w:type="dxa"/>
            <w:tcBorders>
              <w:top w:val="nil"/>
              <w:left w:val="nil"/>
              <w:bottom w:val="nil"/>
              <w:right w:val="nil"/>
            </w:tcBorders>
            <w:shd w:val="clear" w:color="000000" w:fill="FFFFFF"/>
            <w:noWrap/>
            <w:vAlign w:val="bottom"/>
            <w:hideMark/>
          </w:tcPr>
          <w:p w14:paraId="3AB29CA8"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277</w:t>
            </w:r>
          </w:p>
        </w:tc>
        <w:tc>
          <w:tcPr>
            <w:tcW w:w="960" w:type="dxa"/>
            <w:tcBorders>
              <w:top w:val="nil"/>
              <w:left w:val="nil"/>
              <w:bottom w:val="nil"/>
              <w:right w:val="single" w:sz="4" w:space="0" w:color="auto"/>
            </w:tcBorders>
            <w:shd w:val="clear" w:color="000000" w:fill="FFFFFF"/>
            <w:noWrap/>
            <w:vAlign w:val="bottom"/>
            <w:hideMark/>
          </w:tcPr>
          <w:p w14:paraId="71309B1E" w14:textId="77777777" w:rsidR="00057EE7" w:rsidRPr="00057EE7" w:rsidRDefault="00057EE7" w:rsidP="00057EE7">
            <w:pPr>
              <w:spacing w:after="0" w:line="240" w:lineRule="auto"/>
              <w:jc w:val="right"/>
              <w:rPr>
                <w:rFonts w:asciiTheme="minorHAnsi" w:eastAsia="Times New Roman" w:hAnsiTheme="minorHAnsi" w:cs="Times New Roman"/>
                <w:color w:val="000000"/>
                <w:kern w:val="0"/>
                <w:szCs w:val="22"/>
                <w:lang w:eastAsia="en-GB"/>
                <w14:ligatures w14:val="none"/>
              </w:rPr>
            </w:pPr>
            <w:r w:rsidRPr="00057EE7">
              <w:rPr>
                <w:rFonts w:asciiTheme="minorHAnsi" w:eastAsia="Times New Roman" w:hAnsiTheme="minorHAnsi" w:cs="Times New Roman"/>
                <w:color w:val="000000"/>
                <w:kern w:val="0"/>
                <w:szCs w:val="22"/>
                <w:lang w:eastAsia="en-GB"/>
                <w14:ligatures w14:val="none"/>
              </w:rPr>
              <w:t>49.3%</w:t>
            </w:r>
          </w:p>
        </w:tc>
      </w:tr>
      <w:tr w:rsidR="00057EE7" w:rsidRPr="007E2527" w14:paraId="362F589D" w14:textId="77777777" w:rsidTr="007D7122">
        <w:trPr>
          <w:trHeight w:val="315"/>
        </w:trPr>
        <w:tc>
          <w:tcPr>
            <w:tcW w:w="1984" w:type="dxa"/>
            <w:tcBorders>
              <w:top w:val="dotted" w:sz="4" w:space="0" w:color="auto"/>
              <w:left w:val="single" w:sz="4" w:space="0" w:color="auto"/>
              <w:bottom w:val="double" w:sz="6" w:space="0" w:color="auto"/>
              <w:right w:val="nil"/>
            </w:tcBorders>
            <w:shd w:val="clear" w:color="000000" w:fill="FFFFFF"/>
            <w:noWrap/>
            <w:vAlign w:val="bottom"/>
            <w:hideMark/>
          </w:tcPr>
          <w:p w14:paraId="6B4F81B2" w14:textId="77777777" w:rsidR="00057EE7" w:rsidRPr="00057EE7" w:rsidRDefault="00057EE7" w:rsidP="00057EE7">
            <w:pPr>
              <w:spacing w:after="0" w:line="240" w:lineRule="auto"/>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642F819F"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2263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D8CA9A0"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8541213"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61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465085"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08BF48E"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495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431B758"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2535096"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562</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1474503" w14:textId="77777777" w:rsidR="00057EE7" w:rsidRPr="00057EE7" w:rsidRDefault="00057EE7" w:rsidP="00057EE7">
            <w:pPr>
              <w:spacing w:after="0" w:line="240" w:lineRule="auto"/>
              <w:jc w:val="right"/>
              <w:rPr>
                <w:rFonts w:asciiTheme="minorHAnsi" w:eastAsia="Times New Roman" w:hAnsiTheme="minorHAnsi" w:cs="Times New Roman"/>
                <w:b/>
                <w:bCs/>
                <w:color w:val="000000"/>
                <w:kern w:val="0"/>
                <w:szCs w:val="22"/>
                <w:lang w:eastAsia="en-GB"/>
                <w14:ligatures w14:val="none"/>
              </w:rPr>
            </w:pPr>
            <w:r w:rsidRPr="00057EE7">
              <w:rPr>
                <w:rFonts w:asciiTheme="minorHAnsi" w:eastAsia="Times New Roman" w:hAnsiTheme="minorHAnsi" w:cs="Times New Roman"/>
                <w:b/>
                <w:bCs/>
                <w:color w:val="000000"/>
                <w:kern w:val="0"/>
                <w:szCs w:val="22"/>
                <w:lang w:eastAsia="en-GB"/>
                <w14:ligatures w14:val="none"/>
              </w:rPr>
              <w:t>100%</w:t>
            </w:r>
          </w:p>
        </w:tc>
      </w:tr>
    </w:tbl>
    <w:p w14:paraId="4A77666E" w14:textId="77777777" w:rsidR="007D7122" w:rsidRDefault="007D7122" w:rsidP="00450F18">
      <w:pPr>
        <w:rPr>
          <w:rFonts w:asciiTheme="minorHAnsi" w:hAnsiTheme="minorHAnsi"/>
          <w:b/>
          <w:bCs/>
          <w:szCs w:val="22"/>
        </w:rPr>
      </w:pPr>
    </w:p>
    <w:p w14:paraId="66F5767B" w14:textId="77777777" w:rsidR="00542531" w:rsidRDefault="00542531" w:rsidP="00450F18">
      <w:pPr>
        <w:rPr>
          <w:rFonts w:asciiTheme="minorHAnsi" w:hAnsiTheme="minorHAnsi"/>
          <w:b/>
          <w:bCs/>
          <w:szCs w:val="22"/>
        </w:rPr>
      </w:pPr>
    </w:p>
    <w:p w14:paraId="363066E3" w14:textId="77777777" w:rsidR="00542531" w:rsidRDefault="00542531" w:rsidP="00450F18">
      <w:pPr>
        <w:rPr>
          <w:rFonts w:asciiTheme="minorHAnsi" w:hAnsiTheme="minorHAnsi"/>
          <w:b/>
          <w:bCs/>
          <w:szCs w:val="22"/>
        </w:rPr>
      </w:pPr>
    </w:p>
    <w:p w14:paraId="4E47E1B4" w14:textId="77777777" w:rsidR="00542531" w:rsidRDefault="00542531" w:rsidP="00450F18">
      <w:pPr>
        <w:rPr>
          <w:rFonts w:asciiTheme="minorHAnsi" w:hAnsiTheme="minorHAnsi"/>
          <w:b/>
          <w:bCs/>
          <w:szCs w:val="22"/>
        </w:rPr>
      </w:pPr>
    </w:p>
    <w:p w14:paraId="465B10E7" w14:textId="77777777" w:rsidR="00542531" w:rsidRDefault="00542531" w:rsidP="00450F18">
      <w:pPr>
        <w:rPr>
          <w:rFonts w:asciiTheme="minorHAnsi" w:hAnsiTheme="minorHAnsi"/>
          <w:b/>
          <w:bCs/>
          <w:szCs w:val="22"/>
        </w:rPr>
      </w:pPr>
    </w:p>
    <w:p w14:paraId="6DF77F71" w14:textId="77777777" w:rsidR="00542531" w:rsidRDefault="00542531" w:rsidP="00450F18">
      <w:pPr>
        <w:rPr>
          <w:rFonts w:asciiTheme="minorHAnsi" w:hAnsiTheme="minorHAnsi"/>
          <w:b/>
          <w:bCs/>
          <w:szCs w:val="22"/>
        </w:rPr>
      </w:pPr>
    </w:p>
    <w:p w14:paraId="03F2574A" w14:textId="77777777" w:rsidR="00542531" w:rsidRPr="007E2527" w:rsidRDefault="00542531" w:rsidP="00450F18">
      <w:pPr>
        <w:rPr>
          <w:rFonts w:asciiTheme="minorHAnsi" w:hAnsiTheme="minorHAnsi"/>
          <w:b/>
          <w:bCs/>
          <w:szCs w:val="22"/>
        </w:rPr>
      </w:pPr>
    </w:p>
    <w:p w14:paraId="74EC8F40" w14:textId="6ED383FA" w:rsidR="006858BA" w:rsidRPr="007E2527" w:rsidRDefault="006858BA" w:rsidP="006858B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Colleagues on academic contracts (R&amp;I, T&amp;R or T&amp;S) by religion and belief, and contract type, 2025 (n=2,865)</w:t>
      </w:r>
    </w:p>
    <w:tbl>
      <w:tblPr>
        <w:tblW w:w="7744" w:type="dxa"/>
        <w:tblLayout w:type="fixed"/>
        <w:tblLook w:val="04A0" w:firstRow="1" w:lastRow="0" w:firstColumn="1" w:lastColumn="0" w:noHBand="0" w:noVBand="1"/>
      </w:tblPr>
      <w:tblGrid>
        <w:gridCol w:w="1984"/>
        <w:gridCol w:w="960"/>
        <w:gridCol w:w="960"/>
        <w:gridCol w:w="960"/>
        <w:gridCol w:w="960"/>
        <w:gridCol w:w="960"/>
        <w:gridCol w:w="960"/>
      </w:tblGrid>
      <w:tr w:rsidR="004021CE" w:rsidRPr="004021CE" w14:paraId="582520E5" w14:textId="77777777" w:rsidTr="007D7122">
        <w:trPr>
          <w:trHeight w:val="300"/>
        </w:trPr>
        <w:tc>
          <w:tcPr>
            <w:tcW w:w="1984" w:type="dxa"/>
            <w:tcBorders>
              <w:top w:val="single" w:sz="4" w:space="0" w:color="auto"/>
              <w:left w:val="single" w:sz="4" w:space="0" w:color="auto"/>
              <w:bottom w:val="nil"/>
              <w:right w:val="nil"/>
            </w:tcBorders>
            <w:shd w:val="clear" w:color="000000" w:fill="FFFFFF"/>
            <w:noWrap/>
            <w:vAlign w:val="bottom"/>
            <w:hideMark/>
          </w:tcPr>
          <w:p w14:paraId="52EDC068"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5FB2F53" w14:textId="77777777" w:rsidR="004021CE" w:rsidRPr="004021CE" w:rsidRDefault="004021CE" w:rsidP="004021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R&amp;I</w:t>
            </w:r>
          </w:p>
        </w:tc>
        <w:tc>
          <w:tcPr>
            <w:tcW w:w="1920" w:type="dxa"/>
            <w:gridSpan w:val="2"/>
            <w:tcBorders>
              <w:top w:val="single" w:sz="4" w:space="0" w:color="auto"/>
              <w:left w:val="nil"/>
              <w:bottom w:val="nil"/>
              <w:right w:val="nil"/>
            </w:tcBorders>
            <w:shd w:val="clear" w:color="000000" w:fill="FFFFFF"/>
            <w:noWrap/>
            <w:vAlign w:val="bottom"/>
            <w:hideMark/>
          </w:tcPr>
          <w:p w14:paraId="105338F4" w14:textId="77777777" w:rsidR="004021CE" w:rsidRPr="004021CE" w:rsidRDefault="004021CE" w:rsidP="004021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T&amp;R</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3BCAC26" w14:textId="77777777" w:rsidR="004021CE" w:rsidRPr="004021CE" w:rsidRDefault="004021CE" w:rsidP="004021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T&amp;S</w:t>
            </w:r>
          </w:p>
        </w:tc>
      </w:tr>
      <w:tr w:rsidR="007D7122" w:rsidRPr="004021CE" w14:paraId="5810246E" w14:textId="77777777" w:rsidTr="007D7122">
        <w:trPr>
          <w:trHeight w:val="300"/>
        </w:trPr>
        <w:tc>
          <w:tcPr>
            <w:tcW w:w="1984" w:type="dxa"/>
            <w:tcBorders>
              <w:top w:val="nil"/>
              <w:left w:val="single" w:sz="4" w:space="0" w:color="auto"/>
              <w:bottom w:val="single" w:sz="4" w:space="0" w:color="auto"/>
              <w:right w:val="nil"/>
            </w:tcBorders>
            <w:shd w:val="clear" w:color="000000" w:fill="FFFFFF"/>
            <w:noWrap/>
            <w:vAlign w:val="bottom"/>
            <w:hideMark/>
          </w:tcPr>
          <w:p w14:paraId="236BCB08" w14:textId="77777777" w:rsidR="004021CE" w:rsidRPr="004021CE" w:rsidRDefault="004021CE" w:rsidP="004021CE">
            <w:pPr>
              <w:spacing w:after="0" w:line="240" w:lineRule="auto"/>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7958C393"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D53DE27"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57E72D4"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F08281A"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6F7354D"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4C4AC3C"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r>
      <w:tr w:rsidR="007D7122" w:rsidRPr="004021CE" w14:paraId="3B54A449"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7E52775C" w14:textId="77777777" w:rsidR="004021CE" w:rsidRPr="004021CE" w:rsidRDefault="004021CE" w:rsidP="004021CE">
            <w:pPr>
              <w:spacing w:after="0" w:line="240" w:lineRule="auto"/>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3CB9F7BD"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313</w:t>
            </w:r>
          </w:p>
        </w:tc>
        <w:tc>
          <w:tcPr>
            <w:tcW w:w="960" w:type="dxa"/>
            <w:tcBorders>
              <w:top w:val="nil"/>
              <w:left w:val="nil"/>
              <w:bottom w:val="nil"/>
              <w:right w:val="single" w:sz="4" w:space="0" w:color="auto"/>
            </w:tcBorders>
            <w:shd w:val="clear" w:color="000000" w:fill="FFFFFF"/>
            <w:noWrap/>
            <w:vAlign w:val="bottom"/>
            <w:hideMark/>
          </w:tcPr>
          <w:p w14:paraId="4561D61E"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31.1%</w:t>
            </w:r>
          </w:p>
        </w:tc>
        <w:tc>
          <w:tcPr>
            <w:tcW w:w="960" w:type="dxa"/>
            <w:tcBorders>
              <w:top w:val="nil"/>
              <w:left w:val="nil"/>
              <w:bottom w:val="nil"/>
              <w:right w:val="nil"/>
            </w:tcBorders>
            <w:shd w:val="clear" w:color="000000" w:fill="FFFFFF"/>
            <w:noWrap/>
            <w:vAlign w:val="bottom"/>
            <w:hideMark/>
          </w:tcPr>
          <w:p w14:paraId="5560092D"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292</w:t>
            </w:r>
          </w:p>
        </w:tc>
        <w:tc>
          <w:tcPr>
            <w:tcW w:w="960" w:type="dxa"/>
            <w:tcBorders>
              <w:top w:val="nil"/>
              <w:left w:val="nil"/>
              <w:bottom w:val="nil"/>
              <w:right w:val="nil"/>
            </w:tcBorders>
            <w:shd w:val="clear" w:color="000000" w:fill="FFFFFF"/>
            <w:noWrap/>
            <w:vAlign w:val="bottom"/>
            <w:hideMark/>
          </w:tcPr>
          <w:p w14:paraId="604CD9BD"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20.8%</w:t>
            </w:r>
          </w:p>
        </w:tc>
        <w:tc>
          <w:tcPr>
            <w:tcW w:w="960" w:type="dxa"/>
            <w:tcBorders>
              <w:top w:val="nil"/>
              <w:left w:val="single" w:sz="4" w:space="0" w:color="auto"/>
              <w:bottom w:val="nil"/>
              <w:right w:val="nil"/>
            </w:tcBorders>
            <w:shd w:val="clear" w:color="000000" w:fill="FFFFFF"/>
            <w:noWrap/>
            <w:vAlign w:val="bottom"/>
            <w:hideMark/>
          </w:tcPr>
          <w:p w14:paraId="7F4A120E"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96</w:t>
            </w:r>
          </w:p>
        </w:tc>
        <w:tc>
          <w:tcPr>
            <w:tcW w:w="960" w:type="dxa"/>
            <w:tcBorders>
              <w:top w:val="nil"/>
              <w:left w:val="nil"/>
              <w:bottom w:val="nil"/>
              <w:right w:val="single" w:sz="4" w:space="0" w:color="auto"/>
            </w:tcBorders>
            <w:shd w:val="clear" w:color="000000" w:fill="FFFFFF"/>
            <w:noWrap/>
            <w:vAlign w:val="bottom"/>
            <w:hideMark/>
          </w:tcPr>
          <w:p w14:paraId="57A3A09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21.3%</w:t>
            </w:r>
          </w:p>
        </w:tc>
      </w:tr>
      <w:tr w:rsidR="007D7122" w:rsidRPr="004021CE" w14:paraId="251E0470"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392F5FC8" w14:textId="77777777" w:rsidR="004021CE" w:rsidRPr="004021CE" w:rsidRDefault="004021CE" w:rsidP="004021CE">
            <w:pPr>
              <w:spacing w:after="0" w:line="240" w:lineRule="auto"/>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697A5EA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387</w:t>
            </w:r>
          </w:p>
        </w:tc>
        <w:tc>
          <w:tcPr>
            <w:tcW w:w="960" w:type="dxa"/>
            <w:tcBorders>
              <w:top w:val="nil"/>
              <w:left w:val="nil"/>
              <w:bottom w:val="nil"/>
              <w:right w:val="single" w:sz="4" w:space="0" w:color="auto"/>
            </w:tcBorders>
            <w:shd w:val="clear" w:color="000000" w:fill="FFFFFF"/>
            <w:noWrap/>
            <w:vAlign w:val="bottom"/>
            <w:hideMark/>
          </w:tcPr>
          <w:p w14:paraId="168D6B0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38.4%</w:t>
            </w:r>
          </w:p>
        </w:tc>
        <w:tc>
          <w:tcPr>
            <w:tcW w:w="960" w:type="dxa"/>
            <w:tcBorders>
              <w:top w:val="nil"/>
              <w:left w:val="nil"/>
              <w:bottom w:val="nil"/>
              <w:right w:val="nil"/>
            </w:tcBorders>
            <w:shd w:val="clear" w:color="000000" w:fill="FFFFFF"/>
            <w:noWrap/>
            <w:vAlign w:val="bottom"/>
            <w:hideMark/>
          </w:tcPr>
          <w:p w14:paraId="4A4FE740"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874</w:t>
            </w:r>
          </w:p>
        </w:tc>
        <w:tc>
          <w:tcPr>
            <w:tcW w:w="960" w:type="dxa"/>
            <w:tcBorders>
              <w:top w:val="nil"/>
              <w:left w:val="nil"/>
              <w:bottom w:val="nil"/>
              <w:right w:val="nil"/>
            </w:tcBorders>
            <w:shd w:val="clear" w:color="000000" w:fill="FFFFFF"/>
            <w:noWrap/>
            <w:vAlign w:val="bottom"/>
            <w:hideMark/>
          </w:tcPr>
          <w:p w14:paraId="766757D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62.1%</w:t>
            </w:r>
          </w:p>
        </w:tc>
        <w:tc>
          <w:tcPr>
            <w:tcW w:w="960" w:type="dxa"/>
            <w:tcBorders>
              <w:top w:val="nil"/>
              <w:left w:val="single" w:sz="4" w:space="0" w:color="auto"/>
              <w:bottom w:val="nil"/>
              <w:right w:val="nil"/>
            </w:tcBorders>
            <w:shd w:val="clear" w:color="000000" w:fill="FFFFFF"/>
            <w:noWrap/>
            <w:vAlign w:val="bottom"/>
            <w:hideMark/>
          </w:tcPr>
          <w:p w14:paraId="75A0D765"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247</w:t>
            </w:r>
          </w:p>
        </w:tc>
        <w:tc>
          <w:tcPr>
            <w:tcW w:w="960" w:type="dxa"/>
            <w:tcBorders>
              <w:top w:val="nil"/>
              <w:left w:val="nil"/>
              <w:bottom w:val="nil"/>
              <w:right w:val="single" w:sz="4" w:space="0" w:color="auto"/>
            </w:tcBorders>
            <w:shd w:val="clear" w:color="000000" w:fill="FFFFFF"/>
            <w:noWrap/>
            <w:vAlign w:val="bottom"/>
            <w:hideMark/>
          </w:tcPr>
          <w:p w14:paraId="3674423E"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54.8%</w:t>
            </w:r>
          </w:p>
        </w:tc>
      </w:tr>
      <w:tr w:rsidR="007D7122" w:rsidRPr="004021CE" w14:paraId="1360BEDE"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0B9D1435" w14:textId="77777777" w:rsidR="004021CE" w:rsidRPr="004021CE" w:rsidRDefault="004021CE" w:rsidP="004021CE">
            <w:pPr>
              <w:spacing w:after="0" w:line="240" w:lineRule="auto"/>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241CEEB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307</w:t>
            </w:r>
          </w:p>
        </w:tc>
        <w:tc>
          <w:tcPr>
            <w:tcW w:w="960" w:type="dxa"/>
            <w:tcBorders>
              <w:top w:val="nil"/>
              <w:left w:val="nil"/>
              <w:bottom w:val="nil"/>
              <w:right w:val="single" w:sz="4" w:space="0" w:color="auto"/>
            </w:tcBorders>
            <w:shd w:val="clear" w:color="000000" w:fill="FFFFFF"/>
            <w:noWrap/>
            <w:vAlign w:val="bottom"/>
            <w:hideMark/>
          </w:tcPr>
          <w:p w14:paraId="04FF154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30.5%</w:t>
            </w:r>
          </w:p>
        </w:tc>
        <w:tc>
          <w:tcPr>
            <w:tcW w:w="960" w:type="dxa"/>
            <w:tcBorders>
              <w:top w:val="nil"/>
              <w:left w:val="nil"/>
              <w:bottom w:val="nil"/>
              <w:right w:val="nil"/>
            </w:tcBorders>
            <w:shd w:val="clear" w:color="000000" w:fill="FFFFFF"/>
            <w:noWrap/>
            <w:vAlign w:val="bottom"/>
            <w:hideMark/>
          </w:tcPr>
          <w:p w14:paraId="48DF6DF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241</w:t>
            </w:r>
          </w:p>
        </w:tc>
        <w:tc>
          <w:tcPr>
            <w:tcW w:w="960" w:type="dxa"/>
            <w:tcBorders>
              <w:top w:val="nil"/>
              <w:left w:val="nil"/>
              <w:bottom w:val="nil"/>
              <w:right w:val="nil"/>
            </w:tcBorders>
            <w:shd w:val="clear" w:color="000000" w:fill="FFFFFF"/>
            <w:noWrap/>
            <w:vAlign w:val="bottom"/>
            <w:hideMark/>
          </w:tcPr>
          <w:p w14:paraId="3E89EF7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17.1%</w:t>
            </w:r>
          </w:p>
        </w:tc>
        <w:tc>
          <w:tcPr>
            <w:tcW w:w="960" w:type="dxa"/>
            <w:tcBorders>
              <w:top w:val="nil"/>
              <w:left w:val="single" w:sz="4" w:space="0" w:color="auto"/>
              <w:bottom w:val="nil"/>
              <w:right w:val="nil"/>
            </w:tcBorders>
            <w:shd w:val="clear" w:color="000000" w:fill="FFFFFF"/>
            <w:noWrap/>
            <w:vAlign w:val="bottom"/>
            <w:hideMark/>
          </w:tcPr>
          <w:p w14:paraId="4CB4D9E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108</w:t>
            </w:r>
          </w:p>
        </w:tc>
        <w:tc>
          <w:tcPr>
            <w:tcW w:w="960" w:type="dxa"/>
            <w:tcBorders>
              <w:top w:val="nil"/>
              <w:left w:val="nil"/>
              <w:bottom w:val="nil"/>
              <w:right w:val="single" w:sz="4" w:space="0" w:color="auto"/>
            </w:tcBorders>
            <w:shd w:val="clear" w:color="000000" w:fill="FFFFFF"/>
            <w:noWrap/>
            <w:vAlign w:val="bottom"/>
            <w:hideMark/>
          </w:tcPr>
          <w:p w14:paraId="5117A6A4"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23.9%</w:t>
            </w:r>
          </w:p>
        </w:tc>
      </w:tr>
      <w:tr w:rsidR="007D7122" w:rsidRPr="004021CE" w14:paraId="74FE80A8" w14:textId="77777777" w:rsidTr="007D7122">
        <w:trPr>
          <w:trHeight w:val="315"/>
        </w:trPr>
        <w:tc>
          <w:tcPr>
            <w:tcW w:w="1984" w:type="dxa"/>
            <w:tcBorders>
              <w:top w:val="dotted" w:sz="4" w:space="0" w:color="auto"/>
              <w:left w:val="single" w:sz="4" w:space="0" w:color="auto"/>
              <w:bottom w:val="double" w:sz="6" w:space="0" w:color="auto"/>
              <w:right w:val="nil"/>
            </w:tcBorders>
            <w:shd w:val="clear" w:color="000000" w:fill="FFFFFF"/>
            <w:noWrap/>
            <w:vAlign w:val="bottom"/>
            <w:hideMark/>
          </w:tcPr>
          <w:p w14:paraId="01870399"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33A1B9DB"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E63E604"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97C1C88"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1407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95F4CF1"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817BAF5"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451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16BF0B8"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r>
    </w:tbl>
    <w:p w14:paraId="638AE5DA" w14:textId="715E9EBB" w:rsidR="006858BA" w:rsidRPr="007E2527" w:rsidRDefault="006858BA" w:rsidP="006858BA">
      <w:pPr>
        <w:rPr>
          <w:rFonts w:asciiTheme="minorHAnsi" w:hAnsiTheme="minorHAnsi"/>
          <w:b/>
          <w:bCs/>
          <w:szCs w:val="22"/>
        </w:rPr>
      </w:pPr>
    </w:p>
    <w:p w14:paraId="54A3240A" w14:textId="2E42B0ED" w:rsidR="006858BA" w:rsidRDefault="006858BA" w:rsidP="006858BA">
      <w:pPr>
        <w:rPr>
          <w:rFonts w:asciiTheme="minorHAnsi" w:hAnsiTheme="minorHAnsi"/>
          <w:szCs w:val="22"/>
        </w:rPr>
      </w:pPr>
      <w:r w:rsidRPr="007E2527">
        <w:rPr>
          <w:rFonts w:asciiTheme="minorHAnsi" w:hAnsiTheme="minorHAnsi"/>
          <w:szCs w:val="22"/>
        </w:rPr>
        <w:t>Note. There are 9 PS colleagues on T&amp;R contracts included in these numbers.</w:t>
      </w:r>
    </w:p>
    <w:p w14:paraId="23F9ADF3" w14:textId="77777777" w:rsidR="007D7122" w:rsidRDefault="007D7122" w:rsidP="006858BA">
      <w:pPr>
        <w:rPr>
          <w:rFonts w:asciiTheme="minorHAnsi" w:hAnsiTheme="minorHAnsi"/>
          <w:szCs w:val="22"/>
        </w:rPr>
      </w:pPr>
    </w:p>
    <w:p w14:paraId="715B2A61" w14:textId="77777777" w:rsidR="007D7122" w:rsidRDefault="007D7122" w:rsidP="006858BA">
      <w:pPr>
        <w:rPr>
          <w:rFonts w:asciiTheme="minorHAnsi" w:hAnsiTheme="minorHAnsi"/>
          <w:szCs w:val="22"/>
        </w:rPr>
      </w:pPr>
    </w:p>
    <w:p w14:paraId="2EC582E7" w14:textId="77777777" w:rsidR="007D7122" w:rsidRDefault="007D7122" w:rsidP="006858BA">
      <w:pPr>
        <w:rPr>
          <w:rFonts w:asciiTheme="minorHAnsi" w:hAnsiTheme="minorHAnsi"/>
          <w:szCs w:val="22"/>
        </w:rPr>
      </w:pPr>
    </w:p>
    <w:p w14:paraId="0DAC61D6" w14:textId="77777777" w:rsidR="007D7122" w:rsidRDefault="007D7122" w:rsidP="006858BA">
      <w:pPr>
        <w:rPr>
          <w:rFonts w:asciiTheme="minorHAnsi" w:hAnsiTheme="minorHAnsi"/>
          <w:szCs w:val="22"/>
        </w:rPr>
      </w:pPr>
    </w:p>
    <w:p w14:paraId="7DA8DA3B" w14:textId="77777777" w:rsidR="007D7122" w:rsidRDefault="007D7122" w:rsidP="006858BA">
      <w:pPr>
        <w:rPr>
          <w:rFonts w:asciiTheme="minorHAnsi" w:hAnsiTheme="minorHAnsi"/>
          <w:szCs w:val="22"/>
        </w:rPr>
      </w:pPr>
    </w:p>
    <w:p w14:paraId="257E46D4" w14:textId="77777777" w:rsidR="007D7122" w:rsidRDefault="007D7122" w:rsidP="006858BA">
      <w:pPr>
        <w:rPr>
          <w:rFonts w:asciiTheme="minorHAnsi" w:hAnsiTheme="minorHAnsi"/>
          <w:szCs w:val="22"/>
        </w:rPr>
      </w:pPr>
    </w:p>
    <w:p w14:paraId="79575105" w14:textId="77777777" w:rsidR="007D7122" w:rsidRDefault="007D7122" w:rsidP="006858BA">
      <w:pPr>
        <w:rPr>
          <w:rFonts w:asciiTheme="minorHAnsi" w:hAnsiTheme="minorHAnsi"/>
          <w:szCs w:val="22"/>
        </w:rPr>
      </w:pPr>
    </w:p>
    <w:p w14:paraId="2127D5C3" w14:textId="77777777" w:rsidR="007D7122" w:rsidRDefault="007D7122" w:rsidP="006858BA">
      <w:pPr>
        <w:rPr>
          <w:rFonts w:asciiTheme="minorHAnsi" w:hAnsiTheme="minorHAnsi"/>
          <w:szCs w:val="22"/>
        </w:rPr>
      </w:pPr>
    </w:p>
    <w:p w14:paraId="0E2ACADE" w14:textId="77777777" w:rsidR="007D7122" w:rsidRDefault="007D7122" w:rsidP="006858BA">
      <w:pPr>
        <w:rPr>
          <w:rFonts w:asciiTheme="minorHAnsi" w:hAnsiTheme="minorHAnsi"/>
          <w:szCs w:val="22"/>
        </w:rPr>
      </w:pPr>
    </w:p>
    <w:p w14:paraId="3C0CDB40" w14:textId="77777777" w:rsidR="007D7122" w:rsidRDefault="007D7122" w:rsidP="006858BA">
      <w:pPr>
        <w:rPr>
          <w:rFonts w:asciiTheme="minorHAnsi" w:hAnsiTheme="minorHAnsi"/>
          <w:szCs w:val="22"/>
        </w:rPr>
      </w:pPr>
    </w:p>
    <w:p w14:paraId="51B58DA7" w14:textId="77777777" w:rsidR="007D7122" w:rsidRDefault="007D7122" w:rsidP="006858BA">
      <w:pPr>
        <w:rPr>
          <w:rFonts w:asciiTheme="minorHAnsi" w:hAnsiTheme="minorHAnsi"/>
          <w:szCs w:val="22"/>
        </w:rPr>
      </w:pPr>
    </w:p>
    <w:p w14:paraId="7D1A6720" w14:textId="77777777" w:rsidR="007D7122" w:rsidRPr="007E2527" w:rsidRDefault="007D7122" w:rsidP="006858BA">
      <w:pPr>
        <w:rPr>
          <w:rFonts w:asciiTheme="minorHAnsi" w:hAnsiTheme="minorHAnsi"/>
          <w:szCs w:val="22"/>
        </w:rPr>
      </w:pPr>
    </w:p>
    <w:p w14:paraId="55896659" w14:textId="45F9D71F" w:rsidR="006858BA" w:rsidRPr="007E2527" w:rsidRDefault="006858BA" w:rsidP="006858B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and religion and belief, and occupation, 2025 (N=6,241)</w:t>
      </w:r>
    </w:p>
    <w:tbl>
      <w:tblPr>
        <w:tblW w:w="8154" w:type="dxa"/>
        <w:tblLayout w:type="fixed"/>
        <w:tblLook w:val="04A0" w:firstRow="1" w:lastRow="0" w:firstColumn="1" w:lastColumn="0" w:noHBand="0" w:noVBand="1"/>
      </w:tblPr>
      <w:tblGrid>
        <w:gridCol w:w="2394"/>
        <w:gridCol w:w="960"/>
        <w:gridCol w:w="960"/>
        <w:gridCol w:w="960"/>
        <w:gridCol w:w="960"/>
        <w:gridCol w:w="960"/>
        <w:gridCol w:w="960"/>
      </w:tblGrid>
      <w:tr w:rsidR="004021CE" w:rsidRPr="004021CE" w14:paraId="1F863811" w14:textId="77777777" w:rsidTr="004021CE">
        <w:trPr>
          <w:trHeight w:val="300"/>
        </w:trPr>
        <w:tc>
          <w:tcPr>
            <w:tcW w:w="2394" w:type="dxa"/>
            <w:tcBorders>
              <w:top w:val="single" w:sz="4" w:space="0" w:color="auto"/>
              <w:left w:val="single" w:sz="4" w:space="0" w:color="auto"/>
              <w:bottom w:val="nil"/>
              <w:right w:val="nil"/>
            </w:tcBorders>
            <w:shd w:val="clear" w:color="000000" w:fill="FFFFFF"/>
            <w:noWrap/>
            <w:vAlign w:val="bottom"/>
            <w:hideMark/>
          </w:tcPr>
          <w:p w14:paraId="15FDC3B7"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34A0950" w14:textId="77777777" w:rsidR="004021CE" w:rsidRPr="004021CE" w:rsidRDefault="004021CE" w:rsidP="004021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nil"/>
            </w:tcBorders>
            <w:shd w:val="clear" w:color="000000" w:fill="FFFFFF"/>
            <w:noWrap/>
            <w:vAlign w:val="bottom"/>
            <w:hideMark/>
          </w:tcPr>
          <w:p w14:paraId="0A5426FF" w14:textId="77777777" w:rsidR="004021CE" w:rsidRPr="004021CE" w:rsidRDefault="004021CE" w:rsidP="004021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968AB73" w14:textId="77777777" w:rsidR="004021CE" w:rsidRPr="004021CE" w:rsidRDefault="004021CE" w:rsidP="004021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PS</w:t>
            </w:r>
          </w:p>
        </w:tc>
      </w:tr>
      <w:tr w:rsidR="004021CE" w:rsidRPr="004021CE" w14:paraId="13DCB967" w14:textId="77777777" w:rsidTr="004021CE">
        <w:trPr>
          <w:trHeight w:val="300"/>
        </w:trPr>
        <w:tc>
          <w:tcPr>
            <w:tcW w:w="2394" w:type="dxa"/>
            <w:tcBorders>
              <w:top w:val="nil"/>
              <w:left w:val="single" w:sz="4" w:space="0" w:color="auto"/>
              <w:bottom w:val="single" w:sz="4" w:space="0" w:color="auto"/>
              <w:right w:val="nil"/>
            </w:tcBorders>
            <w:shd w:val="clear" w:color="000000" w:fill="FFFFFF"/>
            <w:noWrap/>
            <w:vAlign w:val="bottom"/>
            <w:hideMark/>
          </w:tcPr>
          <w:p w14:paraId="7B219D1E" w14:textId="77777777" w:rsidR="004021CE" w:rsidRPr="004021CE" w:rsidRDefault="004021CE" w:rsidP="004021CE">
            <w:pPr>
              <w:spacing w:after="0" w:line="240" w:lineRule="auto"/>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39589E6"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AD81C17"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FBA6889"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6D4922DD"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29CB62FC"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AA12A32" w14:textId="77777777" w:rsidR="004021CE" w:rsidRPr="004021CE" w:rsidRDefault="004021CE" w:rsidP="004021CE">
            <w:pPr>
              <w:spacing w:after="0" w:line="240" w:lineRule="auto"/>
              <w:jc w:val="center"/>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r>
      <w:tr w:rsidR="004021CE" w:rsidRPr="004021CE" w14:paraId="2D3CEE31"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15C15400"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4021CE">
              <w:rPr>
                <w:rFonts w:asciiTheme="minorHAnsi" w:eastAsia="Times New Roman" w:hAnsiTheme="minorHAnsi" w:cs="Times New Roman"/>
                <w:b/>
                <w:bCs/>
                <w:color w:val="000000"/>
                <w:kern w:val="0"/>
                <w:szCs w:val="22"/>
                <w:lang w:eastAsia="en-GB"/>
                <w14:ligatures w14:val="none"/>
              </w:rPr>
              <w:t>HaSS</w:t>
            </w:r>
            <w:proofErr w:type="spellEnd"/>
          </w:p>
        </w:tc>
        <w:tc>
          <w:tcPr>
            <w:tcW w:w="960" w:type="dxa"/>
            <w:tcBorders>
              <w:top w:val="nil"/>
              <w:left w:val="single" w:sz="4" w:space="0" w:color="auto"/>
              <w:bottom w:val="nil"/>
              <w:right w:val="nil"/>
            </w:tcBorders>
            <w:shd w:val="clear" w:color="000000" w:fill="FFFFFF"/>
            <w:noWrap/>
            <w:vAlign w:val="bottom"/>
            <w:hideMark/>
          </w:tcPr>
          <w:p w14:paraId="34C04497"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809</w:t>
            </w:r>
          </w:p>
        </w:tc>
        <w:tc>
          <w:tcPr>
            <w:tcW w:w="960" w:type="dxa"/>
            <w:tcBorders>
              <w:top w:val="nil"/>
              <w:left w:val="nil"/>
              <w:bottom w:val="nil"/>
              <w:right w:val="single" w:sz="4" w:space="0" w:color="auto"/>
            </w:tcBorders>
            <w:shd w:val="clear" w:color="000000" w:fill="FFFFFF"/>
            <w:noWrap/>
            <w:vAlign w:val="bottom"/>
            <w:hideMark/>
          </w:tcPr>
          <w:p w14:paraId="4F141E5C"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nil"/>
              <w:bottom w:val="nil"/>
              <w:right w:val="nil"/>
            </w:tcBorders>
            <w:shd w:val="clear" w:color="000000" w:fill="FFFFFF"/>
            <w:noWrap/>
            <w:vAlign w:val="bottom"/>
            <w:hideMark/>
          </w:tcPr>
          <w:p w14:paraId="51DD9087"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89</w:t>
            </w:r>
          </w:p>
        </w:tc>
        <w:tc>
          <w:tcPr>
            <w:tcW w:w="960" w:type="dxa"/>
            <w:tcBorders>
              <w:top w:val="nil"/>
              <w:left w:val="nil"/>
              <w:bottom w:val="nil"/>
              <w:right w:val="nil"/>
            </w:tcBorders>
            <w:shd w:val="clear" w:color="000000" w:fill="FFFFFF"/>
            <w:noWrap/>
            <w:vAlign w:val="bottom"/>
            <w:hideMark/>
          </w:tcPr>
          <w:p w14:paraId="3BFE7478"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single" w:sz="4" w:space="0" w:color="auto"/>
              <w:bottom w:val="nil"/>
              <w:right w:val="nil"/>
            </w:tcBorders>
            <w:shd w:val="clear" w:color="000000" w:fill="FFFFFF"/>
            <w:noWrap/>
            <w:vAlign w:val="bottom"/>
            <w:hideMark/>
          </w:tcPr>
          <w:p w14:paraId="2BC6E8E0"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297</w:t>
            </w:r>
          </w:p>
        </w:tc>
        <w:tc>
          <w:tcPr>
            <w:tcW w:w="960" w:type="dxa"/>
            <w:tcBorders>
              <w:top w:val="nil"/>
              <w:left w:val="nil"/>
              <w:bottom w:val="nil"/>
              <w:right w:val="single" w:sz="4" w:space="0" w:color="auto"/>
            </w:tcBorders>
            <w:shd w:val="clear" w:color="000000" w:fill="FFFFFF"/>
            <w:noWrap/>
            <w:vAlign w:val="bottom"/>
            <w:hideMark/>
          </w:tcPr>
          <w:p w14:paraId="08E0A595"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r>
      <w:tr w:rsidR="004021CE" w:rsidRPr="004021CE" w14:paraId="44340F2E"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158A95F6"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00A7AEC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175</w:t>
            </w:r>
          </w:p>
        </w:tc>
        <w:tc>
          <w:tcPr>
            <w:tcW w:w="960" w:type="dxa"/>
            <w:tcBorders>
              <w:top w:val="nil"/>
              <w:left w:val="nil"/>
              <w:bottom w:val="nil"/>
              <w:right w:val="single" w:sz="4" w:space="0" w:color="auto"/>
            </w:tcBorders>
            <w:shd w:val="clear" w:color="000000" w:fill="FFFFFF"/>
            <w:noWrap/>
            <w:vAlign w:val="bottom"/>
            <w:hideMark/>
          </w:tcPr>
          <w:p w14:paraId="3BE8A27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21.6%</w:t>
            </w:r>
          </w:p>
        </w:tc>
        <w:tc>
          <w:tcPr>
            <w:tcW w:w="960" w:type="dxa"/>
            <w:tcBorders>
              <w:top w:val="nil"/>
              <w:left w:val="nil"/>
              <w:bottom w:val="nil"/>
              <w:right w:val="nil"/>
            </w:tcBorders>
            <w:shd w:val="clear" w:color="000000" w:fill="FFFFFF"/>
            <w:noWrap/>
            <w:vAlign w:val="bottom"/>
            <w:hideMark/>
          </w:tcPr>
          <w:p w14:paraId="66ACB1F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26</w:t>
            </w:r>
          </w:p>
        </w:tc>
        <w:tc>
          <w:tcPr>
            <w:tcW w:w="960" w:type="dxa"/>
            <w:tcBorders>
              <w:top w:val="nil"/>
              <w:left w:val="nil"/>
              <w:bottom w:val="nil"/>
              <w:right w:val="nil"/>
            </w:tcBorders>
            <w:shd w:val="clear" w:color="000000" w:fill="FFFFFF"/>
            <w:noWrap/>
            <w:vAlign w:val="bottom"/>
            <w:hideMark/>
          </w:tcPr>
          <w:p w14:paraId="0A33A7F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29.2%</w:t>
            </w:r>
          </w:p>
        </w:tc>
        <w:tc>
          <w:tcPr>
            <w:tcW w:w="960" w:type="dxa"/>
            <w:tcBorders>
              <w:top w:val="nil"/>
              <w:left w:val="single" w:sz="4" w:space="0" w:color="auto"/>
              <w:bottom w:val="nil"/>
              <w:right w:val="nil"/>
            </w:tcBorders>
            <w:shd w:val="clear" w:color="000000" w:fill="FFFFFF"/>
            <w:noWrap/>
            <w:vAlign w:val="bottom"/>
            <w:hideMark/>
          </w:tcPr>
          <w:p w14:paraId="7ABFB61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104</w:t>
            </w:r>
          </w:p>
        </w:tc>
        <w:tc>
          <w:tcPr>
            <w:tcW w:w="960" w:type="dxa"/>
            <w:tcBorders>
              <w:top w:val="nil"/>
              <w:left w:val="nil"/>
              <w:bottom w:val="nil"/>
              <w:right w:val="single" w:sz="4" w:space="0" w:color="auto"/>
            </w:tcBorders>
            <w:shd w:val="clear" w:color="000000" w:fill="FFFFFF"/>
            <w:noWrap/>
            <w:vAlign w:val="bottom"/>
            <w:hideMark/>
          </w:tcPr>
          <w:p w14:paraId="27BACC15"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35.0%</w:t>
            </w:r>
          </w:p>
        </w:tc>
      </w:tr>
      <w:tr w:rsidR="004021CE" w:rsidRPr="004021CE" w14:paraId="1FBEE7D5"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1C37317A"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0C71E00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506</w:t>
            </w:r>
          </w:p>
        </w:tc>
        <w:tc>
          <w:tcPr>
            <w:tcW w:w="960" w:type="dxa"/>
            <w:tcBorders>
              <w:top w:val="nil"/>
              <w:left w:val="nil"/>
              <w:bottom w:val="nil"/>
              <w:right w:val="single" w:sz="4" w:space="0" w:color="auto"/>
            </w:tcBorders>
            <w:shd w:val="clear" w:color="000000" w:fill="FFFFFF"/>
            <w:noWrap/>
            <w:vAlign w:val="bottom"/>
            <w:hideMark/>
          </w:tcPr>
          <w:p w14:paraId="07AC23B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62.5%</w:t>
            </w:r>
          </w:p>
        </w:tc>
        <w:tc>
          <w:tcPr>
            <w:tcW w:w="960" w:type="dxa"/>
            <w:tcBorders>
              <w:top w:val="nil"/>
              <w:left w:val="nil"/>
              <w:bottom w:val="nil"/>
              <w:right w:val="nil"/>
            </w:tcBorders>
            <w:shd w:val="clear" w:color="000000" w:fill="FFFFFF"/>
            <w:noWrap/>
            <w:vAlign w:val="bottom"/>
            <w:hideMark/>
          </w:tcPr>
          <w:p w14:paraId="71E20B2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nil"/>
            </w:tcBorders>
            <w:shd w:val="clear" w:color="000000" w:fill="FFFFFF"/>
            <w:noWrap/>
            <w:vAlign w:val="bottom"/>
            <w:hideMark/>
          </w:tcPr>
          <w:p w14:paraId="07D2A67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47.2%</w:t>
            </w:r>
          </w:p>
        </w:tc>
        <w:tc>
          <w:tcPr>
            <w:tcW w:w="960" w:type="dxa"/>
            <w:tcBorders>
              <w:top w:val="nil"/>
              <w:left w:val="single" w:sz="4" w:space="0" w:color="auto"/>
              <w:bottom w:val="nil"/>
              <w:right w:val="nil"/>
            </w:tcBorders>
            <w:shd w:val="clear" w:color="000000" w:fill="FFFFFF"/>
            <w:noWrap/>
            <w:vAlign w:val="bottom"/>
            <w:hideMark/>
          </w:tcPr>
          <w:p w14:paraId="37481DC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122</w:t>
            </w:r>
          </w:p>
        </w:tc>
        <w:tc>
          <w:tcPr>
            <w:tcW w:w="960" w:type="dxa"/>
            <w:tcBorders>
              <w:top w:val="nil"/>
              <w:left w:val="nil"/>
              <w:bottom w:val="nil"/>
              <w:right w:val="single" w:sz="4" w:space="0" w:color="auto"/>
            </w:tcBorders>
            <w:shd w:val="clear" w:color="000000" w:fill="FFFFFF"/>
            <w:noWrap/>
            <w:vAlign w:val="bottom"/>
            <w:hideMark/>
          </w:tcPr>
          <w:p w14:paraId="64AB6E9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41.1%</w:t>
            </w:r>
          </w:p>
        </w:tc>
      </w:tr>
      <w:tr w:rsidR="004021CE" w:rsidRPr="004021CE" w14:paraId="5E0B43FD"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79D0A0B4"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3B220C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128</w:t>
            </w:r>
          </w:p>
        </w:tc>
        <w:tc>
          <w:tcPr>
            <w:tcW w:w="960" w:type="dxa"/>
            <w:tcBorders>
              <w:top w:val="nil"/>
              <w:left w:val="nil"/>
              <w:bottom w:val="nil"/>
              <w:right w:val="single" w:sz="4" w:space="0" w:color="auto"/>
            </w:tcBorders>
            <w:shd w:val="clear" w:color="000000" w:fill="FFFFFF"/>
            <w:noWrap/>
            <w:vAlign w:val="bottom"/>
            <w:hideMark/>
          </w:tcPr>
          <w:p w14:paraId="73A0A18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15.8%</w:t>
            </w:r>
          </w:p>
        </w:tc>
        <w:tc>
          <w:tcPr>
            <w:tcW w:w="960" w:type="dxa"/>
            <w:tcBorders>
              <w:top w:val="nil"/>
              <w:left w:val="nil"/>
              <w:bottom w:val="nil"/>
              <w:right w:val="nil"/>
            </w:tcBorders>
            <w:shd w:val="clear" w:color="000000" w:fill="FFFFFF"/>
            <w:noWrap/>
            <w:vAlign w:val="bottom"/>
            <w:hideMark/>
          </w:tcPr>
          <w:p w14:paraId="7462729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7FD2F91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23.6%</w:t>
            </w:r>
          </w:p>
        </w:tc>
        <w:tc>
          <w:tcPr>
            <w:tcW w:w="960" w:type="dxa"/>
            <w:tcBorders>
              <w:top w:val="nil"/>
              <w:left w:val="single" w:sz="4" w:space="0" w:color="auto"/>
              <w:bottom w:val="nil"/>
              <w:right w:val="nil"/>
            </w:tcBorders>
            <w:shd w:val="clear" w:color="000000" w:fill="FFFFFF"/>
            <w:noWrap/>
            <w:vAlign w:val="bottom"/>
            <w:hideMark/>
          </w:tcPr>
          <w:p w14:paraId="5BAA2F3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71</w:t>
            </w:r>
          </w:p>
        </w:tc>
        <w:tc>
          <w:tcPr>
            <w:tcW w:w="960" w:type="dxa"/>
            <w:tcBorders>
              <w:top w:val="nil"/>
              <w:left w:val="nil"/>
              <w:bottom w:val="nil"/>
              <w:right w:val="single" w:sz="4" w:space="0" w:color="auto"/>
            </w:tcBorders>
            <w:shd w:val="clear" w:color="000000" w:fill="FFFFFF"/>
            <w:noWrap/>
            <w:vAlign w:val="bottom"/>
            <w:hideMark/>
          </w:tcPr>
          <w:p w14:paraId="2AE2E8D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23.9%</w:t>
            </w:r>
          </w:p>
        </w:tc>
      </w:tr>
      <w:tr w:rsidR="004021CE" w:rsidRPr="004021CE" w14:paraId="57E182DB" w14:textId="77777777" w:rsidTr="004021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713C307A"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FMS</w:t>
            </w:r>
          </w:p>
        </w:tc>
        <w:tc>
          <w:tcPr>
            <w:tcW w:w="960" w:type="dxa"/>
            <w:tcBorders>
              <w:top w:val="dotted" w:sz="4" w:space="0" w:color="auto"/>
              <w:left w:val="single" w:sz="4" w:space="0" w:color="auto"/>
              <w:bottom w:val="nil"/>
              <w:right w:val="nil"/>
            </w:tcBorders>
            <w:shd w:val="clear" w:color="000000" w:fill="FFFFFF"/>
            <w:noWrap/>
            <w:vAlign w:val="bottom"/>
            <w:hideMark/>
          </w:tcPr>
          <w:p w14:paraId="2D1CA3EB"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572</w:t>
            </w:r>
          </w:p>
        </w:tc>
        <w:tc>
          <w:tcPr>
            <w:tcW w:w="960" w:type="dxa"/>
            <w:tcBorders>
              <w:top w:val="dotted" w:sz="4" w:space="0" w:color="auto"/>
              <w:left w:val="nil"/>
              <w:bottom w:val="nil"/>
              <w:right w:val="single" w:sz="4" w:space="0" w:color="auto"/>
            </w:tcBorders>
            <w:shd w:val="clear" w:color="000000" w:fill="FFFFFF"/>
            <w:noWrap/>
            <w:vAlign w:val="bottom"/>
            <w:hideMark/>
          </w:tcPr>
          <w:p w14:paraId="3EC941EB"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49F29C27"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620</w:t>
            </w:r>
          </w:p>
        </w:tc>
        <w:tc>
          <w:tcPr>
            <w:tcW w:w="960" w:type="dxa"/>
            <w:tcBorders>
              <w:top w:val="dotted" w:sz="4" w:space="0" w:color="auto"/>
              <w:left w:val="nil"/>
              <w:bottom w:val="nil"/>
              <w:right w:val="nil"/>
            </w:tcBorders>
            <w:shd w:val="clear" w:color="000000" w:fill="FFFFFF"/>
            <w:noWrap/>
            <w:vAlign w:val="bottom"/>
            <w:hideMark/>
          </w:tcPr>
          <w:p w14:paraId="7B5D5E74"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47FD839F"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683</w:t>
            </w:r>
          </w:p>
        </w:tc>
        <w:tc>
          <w:tcPr>
            <w:tcW w:w="960" w:type="dxa"/>
            <w:tcBorders>
              <w:top w:val="dotted" w:sz="4" w:space="0" w:color="auto"/>
              <w:left w:val="nil"/>
              <w:bottom w:val="nil"/>
              <w:right w:val="single" w:sz="4" w:space="0" w:color="auto"/>
            </w:tcBorders>
            <w:shd w:val="clear" w:color="000000" w:fill="FFFFFF"/>
            <w:noWrap/>
            <w:vAlign w:val="bottom"/>
            <w:hideMark/>
          </w:tcPr>
          <w:p w14:paraId="63AF51C9"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r>
      <w:tr w:rsidR="004021CE" w:rsidRPr="004021CE" w14:paraId="38C98F00"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0165E88C"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3D97064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123</w:t>
            </w:r>
          </w:p>
        </w:tc>
        <w:tc>
          <w:tcPr>
            <w:tcW w:w="960" w:type="dxa"/>
            <w:tcBorders>
              <w:top w:val="nil"/>
              <w:left w:val="nil"/>
              <w:bottom w:val="nil"/>
              <w:right w:val="single" w:sz="4" w:space="0" w:color="auto"/>
            </w:tcBorders>
            <w:shd w:val="clear" w:color="000000" w:fill="FFFFFF"/>
            <w:noWrap/>
            <w:vAlign w:val="bottom"/>
            <w:hideMark/>
          </w:tcPr>
          <w:p w14:paraId="65D9575E"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21.5%</w:t>
            </w:r>
          </w:p>
        </w:tc>
        <w:tc>
          <w:tcPr>
            <w:tcW w:w="960" w:type="dxa"/>
            <w:tcBorders>
              <w:top w:val="nil"/>
              <w:left w:val="nil"/>
              <w:bottom w:val="nil"/>
              <w:right w:val="nil"/>
            </w:tcBorders>
            <w:shd w:val="clear" w:color="000000" w:fill="FFFFFF"/>
            <w:noWrap/>
            <w:vAlign w:val="bottom"/>
            <w:hideMark/>
          </w:tcPr>
          <w:p w14:paraId="5DF99A9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192</w:t>
            </w:r>
          </w:p>
        </w:tc>
        <w:tc>
          <w:tcPr>
            <w:tcW w:w="960" w:type="dxa"/>
            <w:tcBorders>
              <w:top w:val="nil"/>
              <w:left w:val="nil"/>
              <w:bottom w:val="nil"/>
              <w:right w:val="nil"/>
            </w:tcBorders>
            <w:shd w:val="clear" w:color="000000" w:fill="FFFFFF"/>
            <w:noWrap/>
            <w:vAlign w:val="bottom"/>
            <w:hideMark/>
          </w:tcPr>
          <w:p w14:paraId="4BABC2A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31.0%</w:t>
            </w:r>
          </w:p>
        </w:tc>
        <w:tc>
          <w:tcPr>
            <w:tcW w:w="960" w:type="dxa"/>
            <w:tcBorders>
              <w:top w:val="nil"/>
              <w:left w:val="single" w:sz="4" w:space="0" w:color="auto"/>
              <w:bottom w:val="nil"/>
              <w:right w:val="nil"/>
            </w:tcBorders>
            <w:shd w:val="clear" w:color="000000" w:fill="FFFFFF"/>
            <w:noWrap/>
            <w:vAlign w:val="bottom"/>
            <w:hideMark/>
          </w:tcPr>
          <w:p w14:paraId="17587FC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202</w:t>
            </w:r>
          </w:p>
        </w:tc>
        <w:tc>
          <w:tcPr>
            <w:tcW w:w="960" w:type="dxa"/>
            <w:tcBorders>
              <w:top w:val="nil"/>
              <w:left w:val="nil"/>
              <w:bottom w:val="nil"/>
              <w:right w:val="single" w:sz="4" w:space="0" w:color="auto"/>
            </w:tcBorders>
            <w:shd w:val="clear" w:color="000000" w:fill="FFFFFF"/>
            <w:noWrap/>
            <w:vAlign w:val="bottom"/>
            <w:hideMark/>
          </w:tcPr>
          <w:p w14:paraId="392AC4B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29.6%</w:t>
            </w:r>
          </w:p>
        </w:tc>
      </w:tr>
      <w:tr w:rsidR="004021CE" w:rsidRPr="004021CE" w14:paraId="5C9FA232"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277FC9C5"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6C6C4B14"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322</w:t>
            </w:r>
          </w:p>
        </w:tc>
        <w:tc>
          <w:tcPr>
            <w:tcW w:w="960" w:type="dxa"/>
            <w:tcBorders>
              <w:top w:val="nil"/>
              <w:left w:val="nil"/>
              <w:bottom w:val="nil"/>
              <w:right w:val="single" w:sz="4" w:space="0" w:color="auto"/>
            </w:tcBorders>
            <w:shd w:val="clear" w:color="000000" w:fill="FFFFFF"/>
            <w:noWrap/>
            <w:vAlign w:val="bottom"/>
            <w:hideMark/>
          </w:tcPr>
          <w:p w14:paraId="1189272B"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56.3%</w:t>
            </w:r>
          </w:p>
        </w:tc>
        <w:tc>
          <w:tcPr>
            <w:tcW w:w="960" w:type="dxa"/>
            <w:tcBorders>
              <w:top w:val="nil"/>
              <w:left w:val="nil"/>
              <w:bottom w:val="nil"/>
              <w:right w:val="nil"/>
            </w:tcBorders>
            <w:shd w:val="clear" w:color="000000" w:fill="FFFFFF"/>
            <w:noWrap/>
            <w:vAlign w:val="bottom"/>
            <w:hideMark/>
          </w:tcPr>
          <w:p w14:paraId="55B05B7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235</w:t>
            </w:r>
          </w:p>
        </w:tc>
        <w:tc>
          <w:tcPr>
            <w:tcW w:w="960" w:type="dxa"/>
            <w:tcBorders>
              <w:top w:val="nil"/>
              <w:left w:val="nil"/>
              <w:bottom w:val="nil"/>
              <w:right w:val="nil"/>
            </w:tcBorders>
            <w:shd w:val="clear" w:color="000000" w:fill="FFFFFF"/>
            <w:noWrap/>
            <w:vAlign w:val="bottom"/>
            <w:hideMark/>
          </w:tcPr>
          <w:p w14:paraId="69B28D1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37.9%</w:t>
            </w:r>
          </w:p>
        </w:tc>
        <w:tc>
          <w:tcPr>
            <w:tcW w:w="960" w:type="dxa"/>
            <w:tcBorders>
              <w:top w:val="nil"/>
              <w:left w:val="single" w:sz="4" w:space="0" w:color="auto"/>
              <w:bottom w:val="nil"/>
              <w:right w:val="nil"/>
            </w:tcBorders>
            <w:shd w:val="clear" w:color="000000" w:fill="FFFFFF"/>
            <w:noWrap/>
            <w:vAlign w:val="bottom"/>
            <w:hideMark/>
          </w:tcPr>
          <w:p w14:paraId="01DBC4E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283</w:t>
            </w:r>
          </w:p>
        </w:tc>
        <w:tc>
          <w:tcPr>
            <w:tcW w:w="960" w:type="dxa"/>
            <w:tcBorders>
              <w:top w:val="nil"/>
              <w:left w:val="nil"/>
              <w:bottom w:val="nil"/>
              <w:right w:val="single" w:sz="4" w:space="0" w:color="auto"/>
            </w:tcBorders>
            <w:shd w:val="clear" w:color="000000" w:fill="FFFFFF"/>
            <w:noWrap/>
            <w:vAlign w:val="bottom"/>
            <w:hideMark/>
          </w:tcPr>
          <w:p w14:paraId="671CF2E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41.4%</w:t>
            </w:r>
          </w:p>
        </w:tc>
      </w:tr>
      <w:tr w:rsidR="004021CE" w:rsidRPr="004021CE" w14:paraId="05B62055"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731E48EE"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BE0BA7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127</w:t>
            </w:r>
          </w:p>
        </w:tc>
        <w:tc>
          <w:tcPr>
            <w:tcW w:w="960" w:type="dxa"/>
            <w:tcBorders>
              <w:top w:val="nil"/>
              <w:left w:val="nil"/>
              <w:bottom w:val="nil"/>
              <w:right w:val="single" w:sz="4" w:space="0" w:color="auto"/>
            </w:tcBorders>
            <w:shd w:val="clear" w:color="000000" w:fill="FFFFFF"/>
            <w:noWrap/>
            <w:vAlign w:val="bottom"/>
            <w:hideMark/>
          </w:tcPr>
          <w:p w14:paraId="275E1F34"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22.2%</w:t>
            </w:r>
          </w:p>
        </w:tc>
        <w:tc>
          <w:tcPr>
            <w:tcW w:w="960" w:type="dxa"/>
            <w:tcBorders>
              <w:top w:val="nil"/>
              <w:left w:val="nil"/>
              <w:bottom w:val="nil"/>
              <w:right w:val="nil"/>
            </w:tcBorders>
            <w:shd w:val="clear" w:color="000000" w:fill="FFFFFF"/>
            <w:noWrap/>
            <w:vAlign w:val="bottom"/>
            <w:hideMark/>
          </w:tcPr>
          <w:p w14:paraId="60DFDBBD"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193</w:t>
            </w:r>
          </w:p>
        </w:tc>
        <w:tc>
          <w:tcPr>
            <w:tcW w:w="960" w:type="dxa"/>
            <w:tcBorders>
              <w:top w:val="nil"/>
              <w:left w:val="nil"/>
              <w:bottom w:val="nil"/>
              <w:right w:val="nil"/>
            </w:tcBorders>
            <w:shd w:val="clear" w:color="000000" w:fill="FFFFFF"/>
            <w:noWrap/>
            <w:vAlign w:val="bottom"/>
            <w:hideMark/>
          </w:tcPr>
          <w:p w14:paraId="06FDD74D"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31.1%</w:t>
            </w:r>
          </w:p>
        </w:tc>
        <w:tc>
          <w:tcPr>
            <w:tcW w:w="960" w:type="dxa"/>
            <w:tcBorders>
              <w:top w:val="nil"/>
              <w:left w:val="single" w:sz="4" w:space="0" w:color="auto"/>
              <w:bottom w:val="nil"/>
              <w:right w:val="nil"/>
            </w:tcBorders>
            <w:shd w:val="clear" w:color="000000" w:fill="FFFFFF"/>
            <w:noWrap/>
            <w:vAlign w:val="bottom"/>
            <w:hideMark/>
          </w:tcPr>
          <w:p w14:paraId="53395F3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198</w:t>
            </w:r>
          </w:p>
        </w:tc>
        <w:tc>
          <w:tcPr>
            <w:tcW w:w="960" w:type="dxa"/>
            <w:tcBorders>
              <w:top w:val="nil"/>
              <w:left w:val="nil"/>
              <w:bottom w:val="nil"/>
              <w:right w:val="single" w:sz="4" w:space="0" w:color="auto"/>
            </w:tcBorders>
            <w:shd w:val="clear" w:color="000000" w:fill="FFFFFF"/>
            <w:noWrap/>
            <w:vAlign w:val="bottom"/>
            <w:hideMark/>
          </w:tcPr>
          <w:p w14:paraId="5B05B9C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29.0%</w:t>
            </w:r>
          </w:p>
        </w:tc>
      </w:tr>
      <w:tr w:rsidR="004021CE" w:rsidRPr="004021CE" w14:paraId="6F73058E" w14:textId="77777777" w:rsidTr="004021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37030019"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4021CE">
              <w:rPr>
                <w:rFonts w:asciiTheme="minorHAnsi" w:eastAsia="Times New Roman" w:hAnsiTheme="minorHAnsi" w:cs="Times New Roman"/>
                <w:b/>
                <w:bCs/>
                <w:color w:val="000000"/>
                <w:kern w:val="0"/>
                <w:szCs w:val="22"/>
                <w:lang w:eastAsia="en-GB"/>
                <w14:ligatures w14:val="none"/>
              </w:rPr>
              <w:t>SAgE</w:t>
            </w:r>
            <w:proofErr w:type="spellEnd"/>
          </w:p>
        </w:tc>
        <w:tc>
          <w:tcPr>
            <w:tcW w:w="960" w:type="dxa"/>
            <w:tcBorders>
              <w:top w:val="dotted" w:sz="4" w:space="0" w:color="auto"/>
              <w:left w:val="single" w:sz="4" w:space="0" w:color="auto"/>
              <w:bottom w:val="nil"/>
              <w:right w:val="nil"/>
            </w:tcBorders>
            <w:shd w:val="clear" w:color="000000" w:fill="FFFFFF"/>
            <w:noWrap/>
            <w:vAlign w:val="bottom"/>
            <w:hideMark/>
          </w:tcPr>
          <w:p w14:paraId="092780CC"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477</w:t>
            </w:r>
          </w:p>
        </w:tc>
        <w:tc>
          <w:tcPr>
            <w:tcW w:w="960" w:type="dxa"/>
            <w:tcBorders>
              <w:top w:val="dotted" w:sz="4" w:space="0" w:color="auto"/>
              <w:left w:val="nil"/>
              <w:bottom w:val="nil"/>
              <w:right w:val="single" w:sz="4" w:space="0" w:color="auto"/>
            </w:tcBorders>
            <w:shd w:val="clear" w:color="000000" w:fill="FFFFFF"/>
            <w:noWrap/>
            <w:vAlign w:val="bottom"/>
            <w:hideMark/>
          </w:tcPr>
          <w:p w14:paraId="4B84D10C"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4154A961"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289</w:t>
            </w:r>
          </w:p>
        </w:tc>
        <w:tc>
          <w:tcPr>
            <w:tcW w:w="960" w:type="dxa"/>
            <w:tcBorders>
              <w:top w:val="dotted" w:sz="4" w:space="0" w:color="auto"/>
              <w:left w:val="nil"/>
              <w:bottom w:val="nil"/>
              <w:right w:val="nil"/>
            </w:tcBorders>
            <w:shd w:val="clear" w:color="000000" w:fill="FFFFFF"/>
            <w:noWrap/>
            <w:vAlign w:val="bottom"/>
            <w:hideMark/>
          </w:tcPr>
          <w:p w14:paraId="67F2B6EB"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6560368D"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368</w:t>
            </w:r>
          </w:p>
        </w:tc>
        <w:tc>
          <w:tcPr>
            <w:tcW w:w="960" w:type="dxa"/>
            <w:tcBorders>
              <w:top w:val="dotted" w:sz="4" w:space="0" w:color="auto"/>
              <w:left w:val="nil"/>
              <w:bottom w:val="nil"/>
              <w:right w:val="single" w:sz="4" w:space="0" w:color="auto"/>
            </w:tcBorders>
            <w:shd w:val="clear" w:color="000000" w:fill="FFFFFF"/>
            <w:noWrap/>
            <w:vAlign w:val="bottom"/>
            <w:hideMark/>
          </w:tcPr>
          <w:p w14:paraId="3719AF9E"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r>
      <w:tr w:rsidR="004021CE" w:rsidRPr="004021CE" w14:paraId="57C87CE5"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2AA90B87"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322C061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89</w:t>
            </w:r>
          </w:p>
        </w:tc>
        <w:tc>
          <w:tcPr>
            <w:tcW w:w="960" w:type="dxa"/>
            <w:tcBorders>
              <w:top w:val="nil"/>
              <w:left w:val="nil"/>
              <w:bottom w:val="nil"/>
              <w:right w:val="single" w:sz="4" w:space="0" w:color="auto"/>
            </w:tcBorders>
            <w:shd w:val="clear" w:color="000000" w:fill="FFFFFF"/>
            <w:noWrap/>
            <w:vAlign w:val="bottom"/>
            <w:hideMark/>
          </w:tcPr>
          <w:p w14:paraId="5DF2AE9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18.7%</w:t>
            </w:r>
          </w:p>
        </w:tc>
        <w:tc>
          <w:tcPr>
            <w:tcW w:w="960" w:type="dxa"/>
            <w:tcBorders>
              <w:top w:val="nil"/>
              <w:left w:val="nil"/>
              <w:bottom w:val="nil"/>
              <w:right w:val="nil"/>
            </w:tcBorders>
            <w:shd w:val="clear" w:color="000000" w:fill="FFFFFF"/>
            <w:noWrap/>
            <w:vAlign w:val="bottom"/>
            <w:hideMark/>
          </w:tcPr>
          <w:p w14:paraId="421FE770"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93</w:t>
            </w:r>
          </w:p>
        </w:tc>
        <w:tc>
          <w:tcPr>
            <w:tcW w:w="960" w:type="dxa"/>
            <w:tcBorders>
              <w:top w:val="nil"/>
              <w:left w:val="nil"/>
              <w:bottom w:val="nil"/>
              <w:right w:val="nil"/>
            </w:tcBorders>
            <w:shd w:val="clear" w:color="000000" w:fill="FFFFFF"/>
            <w:noWrap/>
            <w:vAlign w:val="bottom"/>
            <w:hideMark/>
          </w:tcPr>
          <w:p w14:paraId="5CFE89B4"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32.2%</w:t>
            </w:r>
          </w:p>
        </w:tc>
        <w:tc>
          <w:tcPr>
            <w:tcW w:w="960" w:type="dxa"/>
            <w:tcBorders>
              <w:top w:val="nil"/>
              <w:left w:val="single" w:sz="4" w:space="0" w:color="auto"/>
              <w:bottom w:val="nil"/>
              <w:right w:val="nil"/>
            </w:tcBorders>
            <w:shd w:val="clear" w:color="000000" w:fill="FFFFFF"/>
            <w:noWrap/>
            <w:vAlign w:val="bottom"/>
            <w:hideMark/>
          </w:tcPr>
          <w:p w14:paraId="2BF5AC50"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single" w:sz="4" w:space="0" w:color="auto"/>
            </w:tcBorders>
            <w:shd w:val="clear" w:color="000000" w:fill="FFFFFF"/>
            <w:noWrap/>
            <w:vAlign w:val="bottom"/>
            <w:hideMark/>
          </w:tcPr>
          <w:p w14:paraId="0AE03E7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27.4%</w:t>
            </w:r>
          </w:p>
        </w:tc>
      </w:tr>
      <w:tr w:rsidR="004021CE" w:rsidRPr="004021CE" w14:paraId="07766C34"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416C4318"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7156CAC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295</w:t>
            </w:r>
          </w:p>
        </w:tc>
        <w:tc>
          <w:tcPr>
            <w:tcW w:w="960" w:type="dxa"/>
            <w:tcBorders>
              <w:top w:val="nil"/>
              <w:left w:val="nil"/>
              <w:bottom w:val="nil"/>
              <w:right w:val="single" w:sz="4" w:space="0" w:color="auto"/>
            </w:tcBorders>
            <w:shd w:val="clear" w:color="000000" w:fill="FFFFFF"/>
            <w:noWrap/>
            <w:vAlign w:val="bottom"/>
            <w:hideMark/>
          </w:tcPr>
          <w:p w14:paraId="29AD428E"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61.8%</w:t>
            </w:r>
          </w:p>
        </w:tc>
        <w:tc>
          <w:tcPr>
            <w:tcW w:w="960" w:type="dxa"/>
            <w:tcBorders>
              <w:top w:val="nil"/>
              <w:left w:val="nil"/>
              <w:bottom w:val="nil"/>
              <w:right w:val="nil"/>
            </w:tcBorders>
            <w:shd w:val="clear" w:color="000000" w:fill="FFFFFF"/>
            <w:noWrap/>
            <w:vAlign w:val="bottom"/>
            <w:hideMark/>
          </w:tcPr>
          <w:p w14:paraId="76DEFF8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105</w:t>
            </w:r>
          </w:p>
        </w:tc>
        <w:tc>
          <w:tcPr>
            <w:tcW w:w="960" w:type="dxa"/>
            <w:tcBorders>
              <w:top w:val="nil"/>
              <w:left w:val="nil"/>
              <w:bottom w:val="nil"/>
              <w:right w:val="nil"/>
            </w:tcBorders>
            <w:shd w:val="clear" w:color="000000" w:fill="FFFFFF"/>
            <w:noWrap/>
            <w:vAlign w:val="bottom"/>
            <w:hideMark/>
          </w:tcPr>
          <w:p w14:paraId="63FEA660"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36.3%</w:t>
            </w:r>
          </w:p>
        </w:tc>
        <w:tc>
          <w:tcPr>
            <w:tcW w:w="960" w:type="dxa"/>
            <w:tcBorders>
              <w:top w:val="nil"/>
              <w:left w:val="single" w:sz="4" w:space="0" w:color="auto"/>
              <w:bottom w:val="nil"/>
              <w:right w:val="nil"/>
            </w:tcBorders>
            <w:shd w:val="clear" w:color="000000" w:fill="FFFFFF"/>
            <w:noWrap/>
            <w:vAlign w:val="bottom"/>
            <w:hideMark/>
          </w:tcPr>
          <w:p w14:paraId="3B41AF4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196</w:t>
            </w:r>
          </w:p>
        </w:tc>
        <w:tc>
          <w:tcPr>
            <w:tcW w:w="960" w:type="dxa"/>
            <w:tcBorders>
              <w:top w:val="nil"/>
              <w:left w:val="nil"/>
              <w:bottom w:val="nil"/>
              <w:right w:val="single" w:sz="4" w:space="0" w:color="auto"/>
            </w:tcBorders>
            <w:shd w:val="clear" w:color="000000" w:fill="FFFFFF"/>
            <w:noWrap/>
            <w:vAlign w:val="bottom"/>
            <w:hideMark/>
          </w:tcPr>
          <w:p w14:paraId="61EE210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53.3%</w:t>
            </w:r>
          </w:p>
        </w:tc>
      </w:tr>
      <w:tr w:rsidR="004021CE" w:rsidRPr="004021CE" w14:paraId="48BA8FE4"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6521CC1F"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CA0BB2B"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93</w:t>
            </w:r>
          </w:p>
        </w:tc>
        <w:tc>
          <w:tcPr>
            <w:tcW w:w="960" w:type="dxa"/>
            <w:tcBorders>
              <w:top w:val="nil"/>
              <w:left w:val="nil"/>
              <w:bottom w:val="nil"/>
              <w:right w:val="single" w:sz="4" w:space="0" w:color="auto"/>
            </w:tcBorders>
            <w:shd w:val="clear" w:color="000000" w:fill="FFFFFF"/>
            <w:noWrap/>
            <w:vAlign w:val="bottom"/>
            <w:hideMark/>
          </w:tcPr>
          <w:p w14:paraId="1D394EC5"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19.5%</w:t>
            </w:r>
          </w:p>
        </w:tc>
        <w:tc>
          <w:tcPr>
            <w:tcW w:w="960" w:type="dxa"/>
            <w:tcBorders>
              <w:top w:val="nil"/>
              <w:left w:val="nil"/>
              <w:bottom w:val="nil"/>
              <w:right w:val="nil"/>
            </w:tcBorders>
            <w:shd w:val="clear" w:color="000000" w:fill="FFFFFF"/>
            <w:noWrap/>
            <w:vAlign w:val="bottom"/>
            <w:hideMark/>
          </w:tcPr>
          <w:p w14:paraId="3A8F8F7E"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91</w:t>
            </w:r>
          </w:p>
        </w:tc>
        <w:tc>
          <w:tcPr>
            <w:tcW w:w="960" w:type="dxa"/>
            <w:tcBorders>
              <w:top w:val="nil"/>
              <w:left w:val="nil"/>
              <w:bottom w:val="nil"/>
              <w:right w:val="nil"/>
            </w:tcBorders>
            <w:shd w:val="clear" w:color="000000" w:fill="FFFFFF"/>
            <w:noWrap/>
            <w:vAlign w:val="bottom"/>
            <w:hideMark/>
          </w:tcPr>
          <w:p w14:paraId="3080A9E5"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31.5%</w:t>
            </w:r>
          </w:p>
        </w:tc>
        <w:tc>
          <w:tcPr>
            <w:tcW w:w="960" w:type="dxa"/>
            <w:tcBorders>
              <w:top w:val="nil"/>
              <w:left w:val="single" w:sz="4" w:space="0" w:color="auto"/>
              <w:bottom w:val="nil"/>
              <w:right w:val="nil"/>
            </w:tcBorders>
            <w:shd w:val="clear" w:color="000000" w:fill="FFFFFF"/>
            <w:noWrap/>
            <w:vAlign w:val="bottom"/>
            <w:hideMark/>
          </w:tcPr>
          <w:p w14:paraId="530276DB"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71</w:t>
            </w:r>
          </w:p>
        </w:tc>
        <w:tc>
          <w:tcPr>
            <w:tcW w:w="960" w:type="dxa"/>
            <w:tcBorders>
              <w:top w:val="nil"/>
              <w:left w:val="nil"/>
              <w:bottom w:val="nil"/>
              <w:right w:val="single" w:sz="4" w:space="0" w:color="auto"/>
            </w:tcBorders>
            <w:shd w:val="clear" w:color="000000" w:fill="FFFFFF"/>
            <w:noWrap/>
            <w:vAlign w:val="bottom"/>
            <w:hideMark/>
          </w:tcPr>
          <w:p w14:paraId="2096800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19.3%</w:t>
            </w:r>
          </w:p>
        </w:tc>
      </w:tr>
      <w:tr w:rsidR="004021CE" w:rsidRPr="004021CE" w14:paraId="315122FF" w14:textId="77777777" w:rsidTr="004021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382F07A1"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Academic Hub</w:t>
            </w:r>
          </w:p>
        </w:tc>
        <w:tc>
          <w:tcPr>
            <w:tcW w:w="960" w:type="dxa"/>
            <w:tcBorders>
              <w:top w:val="dotted" w:sz="4" w:space="0" w:color="auto"/>
              <w:left w:val="single" w:sz="4" w:space="0" w:color="auto"/>
              <w:bottom w:val="nil"/>
              <w:right w:val="nil"/>
            </w:tcBorders>
            <w:shd w:val="clear" w:color="000000" w:fill="FFFFFF"/>
            <w:noWrap/>
            <w:vAlign w:val="bottom"/>
            <w:hideMark/>
          </w:tcPr>
          <w:p w14:paraId="7F44713E"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single" w:sz="4" w:space="0" w:color="auto"/>
            </w:tcBorders>
            <w:shd w:val="clear" w:color="000000" w:fill="FFFFFF"/>
            <w:noWrap/>
            <w:vAlign w:val="bottom"/>
            <w:hideMark/>
          </w:tcPr>
          <w:p w14:paraId="7FB95BD8"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nil"/>
              <w:bottom w:val="nil"/>
              <w:right w:val="nil"/>
            </w:tcBorders>
            <w:shd w:val="clear" w:color="000000" w:fill="FFFFFF"/>
            <w:noWrap/>
            <w:vAlign w:val="bottom"/>
            <w:hideMark/>
          </w:tcPr>
          <w:p w14:paraId="05056548"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nil"/>
            </w:tcBorders>
            <w:shd w:val="clear" w:color="000000" w:fill="FFFFFF"/>
            <w:noWrap/>
            <w:vAlign w:val="bottom"/>
            <w:hideMark/>
          </w:tcPr>
          <w:p w14:paraId="3B0B3FB7"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single" w:sz="4" w:space="0" w:color="auto"/>
              <w:bottom w:val="nil"/>
              <w:right w:val="nil"/>
            </w:tcBorders>
            <w:shd w:val="clear" w:color="000000" w:fill="FFFFFF"/>
            <w:noWrap/>
            <w:vAlign w:val="bottom"/>
            <w:hideMark/>
          </w:tcPr>
          <w:p w14:paraId="3998310A"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871</w:t>
            </w:r>
          </w:p>
        </w:tc>
        <w:tc>
          <w:tcPr>
            <w:tcW w:w="960" w:type="dxa"/>
            <w:tcBorders>
              <w:top w:val="dotted" w:sz="4" w:space="0" w:color="auto"/>
              <w:left w:val="nil"/>
              <w:bottom w:val="nil"/>
              <w:right w:val="single" w:sz="4" w:space="0" w:color="auto"/>
            </w:tcBorders>
            <w:shd w:val="clear" w:color="000000" w:fill="FFFFFF"/>
            <w:noWrap/>
            <w:vAlign w:val="bottom"/>
            <w:hideMark/>
          </w:tcPr>
          <w:p w14:paraId="1E9E1325"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r>
      <w:tr w:rsidR="004021CE" w:rsidRPr="004021CE" w14:paraId="579DE31A"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10B85F17"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0C24AFA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7673594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235012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067A723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227C662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270</w:t>
            </w:r>
          </w:p>
        </w:tc>
        <w:tc>
          <w:tcPr>
            <w:tcW w:w="960" w:type="dxa"/>
            <w:tcBorders>
              <w:top w:val="nil"/>
              <w:left w:val="nil"/>
              <w:bottom w:val="nil"/>
              <w:right w:val="single" w:sz="4" w:space="0" w:color="auto"/>
            </w:tcBorders>
            <w:shd w:val="clear" w:color="000000" w:fill="FFFFFF"/>
            <w:noWrap/>
            <w:vAlign w:val="bottom"/>
            <w:hideMark/>
          </w:tcPr>
          <w:p w14:paraId="196876A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31.0%</w:t>
            </w:r>
          </w:p>
        </w:tc>
      </w:tr>
      <w:tr w:rsidR="004021CE" w:rsidRPr="004021CE" w14:paraId="62A15471"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5F1E39E1"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259F59F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D4BEBF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14A75CC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39E610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1DFC5E1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392</w:t>
            </w:r>
          </w:p>
        </w:tc>
        <w:tc>
          <w:tcPr>
            <w:tcW w:w="960" w:type="dxa"/>
            <w:tcBorders>
              <w:top w:val="nil"/>
              <w:left w:val="nil"/>
              <w:bottom w:val="nil"/>
              <w:right w:val="single" w:sz="4" w:space="0" w:color="auto"/>
            </w:tcBorders>
            <w:shd w:val="clear" w:color="000000" w:fill="FFFFFF"/>
            <w:noWrap/>
            <w:vAlign w:val="bottom"/>
            <w:hideMark/>
          </w:tcPr>
          <w:p w14:paraId="75B2ACE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45.0%</w:t>
            </w:r>
          </w:p>
        </w:tc>
      </w:tr>
      <w:tr w:rsidR="004021CE" w:rsidRPr="004021CE" w14:paraId="1F3BBF8D"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62316A8F"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CD1E54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3B560C9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F2DEC5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4FD0F6F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1E9F131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209</w:t>
            </w:r>
          </w:p>
        </w:tc>
        <w:tc>
          <w:tcPr>
            <w:tcW w:w="960" w:type="dxa"/>
            <w:tcBorders>
              <w:top w:val="nil"/>
              <w:left w:val="nil"/>
              <w:bottom w:val="nil"/>
              <w:right w:val="single" w:sz="4" w:space="0" w:color="auto"/>
            </w:tcBorders>
            <w:shd w:val="clear" w:color="000000" w:fill="FFFFFF"/>
            <w:noWrap/>
            <w:vAlign w:val="bottom"/>
            <w:hideMark/>
          </w:tcPr>
          <w:p w14:paraId="57ACE78C"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24.0%</w:t>
            </w:r>
          </w:p>
        </w:tc>
      </w:tr>
      <w:tr w:rsidR="004021CE" w:rsidRPr="004021CE" w14:paraId="212AE09C" w14:textId="77777777" w:rsidTr="004021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523047F5" w14:textId="6B03E304"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xml:space="preserve">Finance &amp; Operations </w:t>
            </w:r>
          </w:p>
        </w:tc>
        <w:tc>
          <w:tcPr>
            <w:tcW w:w="960" w:type="dxa"/>
            <w:tcBorders>
              <w:top w:val="dotted" w:sz="4" w:space="0" w:color="auto"/>
              <w:left w:val="single" w:sz="4" w:space="0" w:color="auto"/>
              <w:bottom w:val="nil"/>
              <w:right w:val="nil"/>
            </w:tcBorders>
            <w:shd w:val="clear" w:color="000000" w:fill="FFFFFF"/>
            <w:noWrap/>
            <w:vAlign w:val="bottom"/>
            <w:hideMark/>
          </w:tcPr>
          <w:p w14:paraId="214563A3"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7E0C31B0"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34DB2619"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56515BFB"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0A42904B"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1051</w:t>
            </w:r>
          </w:p>
        </w:tc>
        <w:tc>
          <w:tcPr>
            <w:tcW w:w="960" w:type="dxa"/>
            <w:tcBorders>
              <w:top w:val="dotted" w:sz="4" w:space="0" w:color="auto"/>
              <w:left w:val="nil"/>
              <w:bottom w:val="nil"/>
              <w:right w:val="single" w:sz="4" w:space="0" w:color="auto"/>
            </w:tcBorders>
            <w:shd w:val="clear" w:color="000000" w:fill="FFFFFF"/>
            <w:noWrap/>
            <w:vAlign w:val="bottom"/>
            <w:hideMark/>
          </w:tcPr>
          <w:p w14:paraId="36A63423"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r>
      <w:tr w:rsidR="004021CE" w:rsidRPr="004021CE" w14:paraId="10E6635B"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04F77580"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2463652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142C3EB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06FD3F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D24905D"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EC31880"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234</w:t>
            </w:r>
          </w:p>
        </w:tc>
        <w:tc>
          <w:tcPr>
            <w:tcW w:w="960" w:type="dxa"/>
            <w:tcBorders>
              <w:top w:val="nil"/>
              <w:left w:val="nil"/>
              <w:bottom w:val="nil"/>
              <w:right w:val="single" w:sz="4" w:space="0" w:color="auto"/>
            </w:tcBorders>
            <w:shd w:val="clear" w:color="000000" w:fill="FFFFFF"/>
            <w:noWrap/>
            <w:vAlign w:val="bottom"/>
            <w:hideMark/>
          </w:tcPr>
          <w:p w14:paraId="7D8FCE3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22.3%</w:t>
            </w:r>
          </w:p>
        </w:tc>
      </w:tr>
      <w:tr w:rsidR="004021CE" w:rsidRPr="004021CE" w14:paraId="0132DDD9"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717E5207"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161DCAA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FF5640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40B532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183087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AE8A7A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543</w:t>
            </w:r>
          </w:p>
        </w:tc>
        <w:tc>
          <w:tcPr>
            <w:tcW w:w="960" w:type="dxa"/>
            <w:tcBorders>
              <w:top w:val="nil"/>
              <w:left w:val="nil"/>
              <w:bottom w:val="nil"/>
              <w:right w:val="single" w:sz="4" w:space="0" w:color="auto"/>
            </w:tcBorders>
            <w:shd w:val="clear" w:color="000000" w:fill="FFFFFF"/>
            <w:noWrap/>
            <w:vAlign w:val="bottom"/>
            <w:hideMark/>
          </w:tcPr>
          <w:p w14:paraId="3A73A2A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51.7%</w:t>
            </w:r>
          </w:p>
        </w:tc>
      </w:tr>
      <w:tr w:rsidR="004021CE" w:rsidRPr="004021CE" w14:paraId="3430CA6C"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17757BC4"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119CEF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624D67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E45874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C63E61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1F7F6F4E"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274</w:t>
            </w:r>
          </w:p>
        </w:tc>
        <w:tc>
          <w:tcPr>
            <w:tcW w:w="960" w:type="dxa"/>
            <w:tcBorders>
              <w:top w:val="nil"/>
              <w:left w:val="nil"/>
              <w:bottom w:val="nil"/>
              <w:right w:val="single" w:sz="4" w:space="0" w:color="auto"/>
            </w:tcBorders>
            <w:shd w:val="clear" w:color="000000" w:fill="FFFFFF"/>
            <w:noWrap/>
            <w:vAlign w:val="bottom"/>
            <w:hideMark/>
          </w:tcPr>
          <w:p w14:paraId="76DDC08D"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26.1%</w:t>
            </w:r>
          </w:p>
        </w:tc>
      </w:tr>
      <w:tr w:rsidR="004021CE" w:rsidRPr="004021CE" w14:paraId="6367159D" w14:textId="77777777" w:rsidTr="004021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4ED26BF9" w14:textId="77777777" w:rsidR="004021CE" w:rsidRPr="004021CE" w:rsidRDefault="004021CE" w:rsidP="004021CE">
            <w:pPr>
              <w:spacing w:after="0" w:line="240" w:lineRule="auto"/>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People Services</w:t>
            </w:r>
          </w:p>
        </w:tc>
        <w:tc>
          <w:tcPr>
            <w:tcW w:w="960" w:type="dxa"/>
            <w:tcBorders>
              <w:top w:val="dotted" w:sz="4" w:space="0" w:color="auto"/>
              <w:left w:val="single" w:sz="4" w:space="0" w:color="auto"/>
              <w:bottom w:val="nil"/>
              <w:right w:val="nil"/>
            </w:tcBorders>
            <w:shd w:val="clear" w:color="000000" w:fill="FFFFFF"/>
            <w:noWrap/>
            <w:vAlign w:val="bottom"/>
            <w:hideMark/>
          </w:tcPr>
          <w:p w14:paraId="79850805"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7F919C7A"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102CED7C"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269F5696"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49C9763C"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111</w:t>
            </w:r>
          </w:p>
        </w:tc>
        <w:tc>
          <w:tcPr>
            <w:tcW w:w="960" w:type="dxa"/>
            <w:tcBorders>
              <w:top w:val="dotted" w:sz="4" w:space="0" w:color="auto"/>
              <w:left w:val="nil"/>
              <w:bottom w:val="nil"/>
              <w:right w:val="single" w:sz="4" w:space="0" w:color="auto"/>
            </w:tcBorders>
            <w:shd w:val="clear" w:color="000000" w:fill="FFFFFF"/>
            <w:noWrap/>
            <w:vAlign w:val="bottom"/>
            <w:hideMark/>
          </w:tcPr>
          <w:p w14:paraId="50C9A90C" w14:textId="77777777" w:rsidR="004021CE" w:rsidRPr="004021CE" w:rsidRDefault="004021CE" w:rsidP="004021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021CE">
              <w:rPr>
                <w:rFonts w:asciiTheme="minorHAnsi" w:eastAsia="Times New Roman" w:hAnsiTheme="minorHAnsi" w:cs="Times New Roman"/>
                <w:b/>
                <w:bCs/>
                <w:color w:val="000000"/>
                <w:kern w:val="0"/>
                <w:szCs w:val="22"/>
                <w:lang w:eastAsia="en-GB"/>
                <w14:ligatures w14:val="none"/>
              </w:rPr>
              <w:t>100%</w:t>
            </w:r>
          </w:p>
        </w:tc>
      </w:tr>
      <w:tr w:rsidR="004021CE" w:rsidRPr="004021CE" w14:paraId="2F779D66"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04B5033A"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2F497DB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3168D7C8"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1E2AE8A1"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F2B1B3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63BFE5B2"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single" w:sz="4" w:space="0" w:color="auto"/>
            </w:tcBorders>
            <w:shd w:val="clear" w:color="000000" w:fill="FFFFFF"/>
            <w:noWrap/>
            <w:vAlign w:val="bottom"/>
            <w:hideMark/>
          </w:tcPr>
          <w:p w14:paraId="53DBB9E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27.0%</w:t>
            </w:r>
          </w:p>
        </w:tc>
      </w:tr>
      <w:tr w:rsidR="004021CE" w:rsidRPr="004021CE" w14:paraId="4D2015E0" w14:textId="77777777" w:rsidTr="004021CE">
        <w:trPr>
          <w:trHeight w:val="300"/>
        </w:trPr>
        <w:tc>
          <w:tcPr>
            <w:tcW w:w="2394" w:type="dxa"/>
            <w:tcBorders>
              <w:top w:val="nil"/>
              <w:left w:val="single" w:sz="4" w:space="0" w:color="auto"/>
              <w:bottom w:val="nil"/>
              <w:right w:val="nil"/>
            </w:tcBorders>
            <w:shd w:val="clear" w:color="000000" w:fill="FFFFFF"/>
            <w:noWrap/>
            <w:vAlign w:val="bottom"/>
            <w:hideMark/>
          </w:tcPr>
          <w:p w14:paraId="1ADE1AAA"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55B19F9B"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1A44F1D3"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1FDF06F"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5FDC8C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40CA787"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48</w:t>
            </w:r>
          </w:p>
        </w:tc>
        <w:tc>
          <w:tcPr>
            <w:tcW w:w="960" w:type="dxa"/>
            <w:tcBorders>
              <w:top w:val="nil"/>
              <w:left w:val="nil"/>
              <w:bottom w:val="nil"/>
              <w:right w:val="single" w:sz="4" w:space="0" w:color="auto"/>
            </w:tcBorders>
            <w:shd w:val="clear" w:color="000000" w:fill="FFFFFF"/>
            <w:noWrap/>
            <w:vAlign w:val="bottom"/>
            <w:hideMark/>
          </w:tcPr>
          <w:p w14:paraId="0483BE1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43.2%</w:t>
            </w:r>
          </w:p>
        </w:tc>
      </w:tr>
      <w:tr w:rsidR="004021CE" w:rsidRPr="004021CE" w14:paraId="39FC0AB1" w14:textId="77777777" w:rsidTr="004021CE">
        <w:trPr>
          <w:trHeight w:val="315"/>
        </w:trPr>
        <w:tc>
          <w:tcPr>
            <w:tcW w:w="2394" w:type="dxa"/>
            <w:tcBorders>
              <w:top w:val="nil"/>
              <w:left w:val="single" w:sz="4" w:space="0" w:color="auto"/>
              <w:bottom w:val="double" w:sz="6" w:space="0" w:color="auto"/>
              <w:right w:val="nil"/>
            </w:tcBorders>
            <w:shd w:val="clear" w:color="000000" w:fill="FFFFFF"/>
            <w:noWrap/>
            <w:vAlign w:val="bottom"/>
            <w:hideMark/>
          </w:tcPr>
          <w:p w14:paraId="62F421F1" w14:textId="77777777" w:rsidR="004021CE" w:rsidRPr="004021CE" w:rsidRDefault="004021CE" w:rsidP="004021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4AC70626"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single" w:sz="4" w:space="0" w:color="auto"/>
            </w:tcBorders>
            <w:shd w:val="clear" w:color="000000" w:fill="FFFFFF"/>
            <w:noWrap/>
            <w:vAlign w:val="bottom"/>
            <w:hideMark/>
          </w:tcPr>
          <w:p w14:paraId="5043B35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50444B7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6710619B"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double" w:sz="6" w:space="0" w:color="auto"/>
              <w:right w:val="nil"/>
            </w:tcBorders>
            <w:shd w:val="clear" w:color="000000" w:fill="FFFFFF"/>
            <w:noWrap/>
            <w:vAlign w:val="bottom"/>
            <w:hideMark/>
          </w:tcPr>
          <w:p w14:paraId="7A7D72CA"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33</w:t>
            </w:r>
          </w:p>
        </w:tc>
        <w:tc>
          <w:tcPr>
            <w:tcW w:w="960" w:type="dxa"/>
            <w:tcBorders>
              <w:top w:val="nil"/>
              <w:left w:val="nil"/>
              <w:bottom w:val="double" w:sz="6" w:space="0" w:color="auto"/>
              <w:right w:val="single" w:sz="4" w:space="0" w:color="auto"/>
            </w:tcBorders>
            <w:shd w:val="clear" w:color="000000" w:fill="FFFFFF"/>
            <w:noWrap/>
            <w:vAlign w:val="bottom"/>
            <w:hideMark/>
          </w:tcPr>
          <w:p w14:paraId="39A99669" w14:textId="77777777" w:rsidR="004021CE" w:rsidRPr="004021CE" w:rsidRDefault="004021CE" w:rsidP="004021CE">
            <w:pPr>
              <w:spacing w:after="0" w:line="240" w:lineRule="auto"/>
              <w:jc w:val="right"/>
              <w:rPr>
                <w:rFonts w:asciiTheme="minorHAnsi" w:eastAsia="Times New Roman" w:hAnsiTheme="minorHAnsi" w:cs="Times New Roman"/>
                <w:color w:val="000000"/>
                <w:kern w:val="0"/>
                <w:szCs w:val="22"/>
                <w:lang w:eastAsia="en-GB"/>
                <w14:ligatures w14:val="none"/>
              </w:rPr>
            </w:pPr>
            <w:r w:rsidRPr="004021CE">
              <w:rPr>
                <w:rFonts w:asciiTheme="minorHAnsi" w:eastAsia="Times New Roman" w:hAnsiTheme="minorHAnsi" w:cs="Times New Roman"/>
                <w:color w:val="000000"/>
                <w:kern w:val="0"/>
                <w:szCs w:val="22"/>
                <w:lang w:eastAsia="en-GB"/>
                <w14:ligatures w14:val="none"/>
              </w:rPr>
              <w:t>29.7%</w:t>
            </w:r>
          </w:p>
        </w:tc>
      </w:tr>
    </w:tbl>
    <w:p w14:paraId="0CD6E83B" w14:textId="77777777" w:rsidR="004021CE" w:rsidRPr="007E2527" w:rsidRDefault="004021CE" w:rsidP="004021CE">
      <w:pPr>
        <w:rPr>
          <w:rFonts w:asciiTheme="minorHAnsi" w:hAnsiTheme="minorHAnsi"/>
          <w:b/>
          <w:bCs/>
          <w:szCs w:val="22"/>
        </w:rPr>
      </w:pPr>
    </w:p>
    <w:p w14:paraId="5117BA04" w14:textId="55CB3765" w:rsidR="00ED4F67" w:rsidRPr="007E2527" w:rsidRDefault="00ED4F67" w:rsidP="00ED4F67">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religion and belief, and mode of employment, 2025 (Full-time n=4,856; Part-time n=1,385)</w:t>
      </w:r>
    </w:p>
    <w:tbl>
      <w:tblPr>
        <w:tblW w:w="5824" w:type="dxa"/>
        <w:tblLayout w:type="fixed"/>
        <w:tblLook w:val="04A0" w:firstRow="1" w:lastRow="0" w:firstColumn="1" w:lastColumn="0" w:noHBand="0" w:noVBand="1"/>
      </w:tblPr>
      <w:tblGrid>
        <w:gridCol w:w="1984"/>
        <w:gridCol w:w="960"/>
        <w:gridCol w:w="960"/>
        <w:gridCol w:w="960"/>
        <w:gridCol w:w="960"/>
      </w:tblGrid>
      <w:tr w:rsidR="00933184" w:rsidRPr="00933184" w14:paraId="6F938E58" w14:textId="77777777" w:rsidTr="007D7122">
        <w:trPr>
          <w:trHeight w:val="300"/>
        </w:trPr>
        <w:tc>
          <w:tcPr>
            <w:tcW w:w="1984" w:type="dxa"/>
            <w:tcBorders>
              <w:top w:val="single" w:sz="4" w:space="0" w:color="auto"/>
              <w:left w:val="single" w:sz="4" w:space="0" w:color="auto"/>
              <w:bottom w:val="nil"/>
              <w:right w:val="nil"/>
            </w:tcBorders>
            <w:shd w:val="clear" w:color="000000" w:fill="FFFFFF"/>
            <w:noWrap/>
            <w:vAlign w:val="bottom"/>
            <w:hideMark/>
          </w:tcPr>
          <w:p w14:paraId="191741C4" w14:textId="77777777" w:rsidR="00933184" w:rsidRPr="00933184" w:rsidRDefault="00933184" w:rsidP="00933184">
            <w:pPr>
              <w:spacing w:after="0" w:line="240" w:lineRule="auto"/>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C42C5B6" w14:textId="77777777" w:rsidR="00933184" w:rsidRPr="00933184" w:rsidRDefault="00933184" w:rsidP="0093318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Full-time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8A791DD" w14:textId="77777777" w:rsidR="00933184" w:rsidRPr="00933184" w:rsidRDefault="00933184" w:rsidP="0093318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Part-time</w:t>
            </w:r>
          </w:p>
        </w:tc>
      </w:tr>
      <w:tr w:rsidR="00933184" w:rsidRPr="00933184" w14:paraId="35A5A828" w14:textId="77777777" w:rsidTr="007D7122">
        <w:trPr>
          <w:trHeight w:val="300"/>
        </w:trPr>
        <w:tc>
          <w:tcPr>
            <w:tcW w:w="1984" w:type="dxa"/>
            <w:tcBorders>
              <w:top w:val="nil"/>
              <w:left w:val="single" w:sz="4" w:space="0" w:color="auto"/>
              <w:bottom w:val="single" w:sz="4" w:space="0" w:color="auto"/>
              <w:right w:val="nil"/>
            </w:tcBorders>
            <w:shd w:val="clear" w:color="000000" w:fill="FFFFFF"/>
            <w:noWrap/>
            <w:vAlign w:val="bottom"/>
            <w:hideMark/>
          </w:tcPr>
          <w:p w14:paraId="0AC8B59E"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0EC1463"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BD6F754"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0DB116E"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F388079"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r>
      <w:tr w:rsidR="00933184" w:rsidRPr="00933184" w14:paraId="1536E768"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2F30C64C"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7D341B30"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1138</w:t>
            </w:r>
          </w:p>
        </w:tc>
        <w:tc>
          <w:tcPr>
            <w:tcW w:w="960" w:type="dxa"/>
            <w:tcBorders>
              <w:top w:val="nil"/>
              <w:left w:val="nil"/>
              <w:bottom w:val="nil"/>
              <w:right w:val="single" w:sz="4" w:space="0" w:color="auto"/>
            </w:tcBorders>
            <w:shd w:val="clear" w:color="000000" w:fill="FFFFFF"/>
            <w:noWrap/>
            <w:vAlign w:val="bottom"/>
            <w:hideMark/>
          </w:tcPr>
          <w:p w14:paraId="5303E883"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23.4%</w:t>
            </w:r>
          </w:p>
        </w:tc>
        <w:tc>
          <w:tcPr>
            <w:tcW w:w="960" w:type="dxa"/>
            <w:tcBorders>
              <w:top w:val="nil"/>
              <w:left w:val="nil"/>
              <w:bottom w:val="nil"/>
              <w:right w:val="nil"/>
            </w:tcBorders>
            <w:shd w:val="clear" w:color="000000" w:fill="FFFFFF"/>
            <w:noWrap/>
            <w:vAlign w:val="bottom"/>
            <w:hideMark/>
          </w:tcPr>
          <w:p w14:paraId="57FBCEF7"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372</w:t>
            </w:r>
          </w:p>
        </w:tc>
        <w:tc>
          <w:tcPr>
            <w:tcW w:w="960" w:type="dxa"/>
            <w:tcBorders>
              <w:top w:val="nil"/>
              <w:left w:val="nil"/>
              <w:bottom w:val="nil"/>
              <w:right w:val="single" w:sz="4" w:space="0" w:color="auto"/>
            </w:tcBorders>
            <w:shd w:val="clear" w:color="000000" w:fill="FFFFFF"/>
            <w:noWrap/>
            <w:vAlign w:val="bottom"/>
            <w:hideMark/>
          </w:tcPr>
          <w:p w14:paraId="723FD0B7"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26.9%</w:t>
            </w:r>
          </w:p>
        </w:tc>
      </w:tr>
      <w:tr w:rsidR="00933184" w:rsidRPr="00933184" w14:paraId="6A6A5C85"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76583C0C"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32048C33"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1328</w:t>
            </w:r>
          </w:p>
        </w:tc>
        <w:tc>
          <w:tcPr>
            <w:tcW w:w="960" w:type="dxa"/>
            <w:tcBorders>
              <w:top w:val="nil"/>
              <w:left w:val="nil"/>
              <w:bottom w:val="nil"/>
              <w:right w:val="single" w:sz="4" w:space="0" w:color="auto"/>
            </w:tcBorders>
            <w:shd w:val="clear" w:color="000000" w:fill="FFFFFF"/>
            <w:noWrap/>
            <w:vAlign w:val="bottom"/>
            <w:hideMark/>
          </w:tcPr>
          <w:p w14:paraId="73835378"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27.3%</w:t>
            </w:r>
          </w:p>
        </w:tc>
        <w:tc>
          <w:tcPr>
            <w:tcW w:w="960" w:type="dxa"/>
            <w:tcBorders>
              <w:top w:val="nil"/>
              <w:left w:val="nil"/>
              <w:bottom w:val="nil"/>
              <w:right w:val="nil"/>
            </w:tcBorders>
            <w:shd w:val="clear" w:color="000000" w:fill="FFFFFF"/>
            <w:noWrap/>
            <w:vAlign w:val="bottom"/>
            <w:hideMark/>
          </w:tcPr>
          <w:p w14:paraId="102625B9"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312</w:t>
            </w:r>
          </w:p>
        </w:tc>
        <w:tc>
          <w:tcPr>
            <w:tcW w:w="960" w:type="dxa"/>
            <w:tcBorders>
              <w:top w:val="nil"/>
              <w:left w:val="nil"/>
              <w:bottom w:val="nil"/>
              <w:right w:val="single" w:sz="4" w:space="0" w:color="auto"/>
            </w:tcBorders>
            <w:shd w:val="clear" w:color="000000" w:fill="FFFFFF"/>
            <w:noWrap/>
            <w:vAlign w:val="bottom"/>
            <w:hideMark/>
          </w:tcPr>
          <w:p w14:paraId="2281D8E4"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22.5%</w:t>
            </w:r>
          </w:p>
        </w:tc>
      </w:tr>
      <w:tr w:rsidR="00933184" w:rsidRPr="00933184" w14:paraId="5C9522AE"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0D6C5547"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0103B0B"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2390</w:t>
            </w:r>
          </w:p>
        </w:tc>
        <w:tc>
          <w:tcPr>
            <w:tcW w:w="960" w:type="dxa"/>
            <w:tcBorders>
              <w:top w:val="nil"/>
              <w:left w:val="nil"/>
              <w:bottom w:val="nil"/>
              <w:right w:val="single" w:sz="4" w:space="0" w:color="auto"/>
            </w:tcBorders>
            <w:shd w:val="clear" w:color="000000" w:fill="FFFFFF"/>
            <w:noWrap/>
            <w:vAlign w:val="bottom"/>
            <w:hideMark/>
          </w:tcPr>
          <w:p w14:paraId="59B5DBF4"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49.2%</w:t>
            </w:r>
          </w:p>
        </w:tc>
        <w:tc>
          <w:tcPr>
            <w:tcW w:w="960" w:type="dxa"/>
            <w:tcBorders>
              <w:top w:val="nil"/>
              <w:left w:val="nil"/>
              <w:bottom w:val="nil"/>
              <w:right w:val="nil"/>
            </w:tcBorders>
            <w:shd w:val="clear" w:color="000000" w:fill="FFFFFF"/>
            <w:noWrap/>
            <w:vAlign w:val="bottom"/>
            <w:hideMark/>
          </w:tcPr>
          <w:p w14:paraId="30C3FA01"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701</w:t>
            </w:r>
          </w:p>
        </w:tc>
        <w:tc>
          <w:tcPr>
            <w:tcW w:w="960" w:type="dxa"/>
            <w:tcBorders>
              <w:top w:val="nil"/>
              <w:left w:val="nil"/>
              <w:bottom w:val="nil"/>
              <w:right w:val="single" w:sz="4" w:space="0" w:color="auto"/>
            </w:tcBorders>
            <w:shd w:val="clear" w:color="000000" w:fill="FFFFFF"/>
            <w:noWrap/>
            <w:vAlign w:val="bottom"/>
            <w:hideMark/>
          </w:tcPr>
          <w:p w14:paraId="695AD473"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50.6%</w:t>
            </w:r>
          </w:p>
        </w:tc>
      </w:tr>
      <w:tr w:rsidR="00933184" w:rsidRPr="00933184" w14:paraId="2D5E2542" w14:textId="77777777" w:rsidTr="007D7122">
        <w:trPr>
          <w:trHeight w:val="315"/>
        </w:trPr>
        <w:tc>
          <w:tcPr>
            <w:tcW w:w="1984" w:type="dxa"/>
            <w:tcBorders>
              <w:top w:val="dotted" w:sz="4" w:space="0" w:color="auto"/>
              <w:left w:val="single" w:sz="4" w:space="0" w:color="auto"/>
              <w:bottom w:val="double" w:sz="6" w:space="0" w:color="auto"/>
              <w:right w:val="nil"/>
            </w:tcBorders>
            <w:shd w:val="clear" w:color="000000" w:fill="FFFFFF"/>
            <w:noWrap/>
            <w:vAlign w:val="bottom"/>
            <w:hideMark/>
          </w:tcPr>
          <w:p w14:paraId="6060646C" w14:textId="77777777" w:rsidR="00933184" w:rsidRPr="00933184" w:rsidRDefault="00933184" w:rsidP="00933184">
            <w:pPr>
              <w:spacing w:after="0" w:line="240" w:lineRule="auto"/>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6CF95CB2"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4856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5661439"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822966A"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1F133D4"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100%</w:t>
            </w:r>
          </w:p>
        </w:tc>
      </w:tr>
    </w:tbl>
    <w:p w14:paraId="18D38F72" w14:textId="77777777" w:rsidR="00ED4F67" w:rsidRDefault="00ED4F67" w:rsidP="00ED4F67">
      <w:pPr>
        <w:rPr>
          <w:rFonts w:asciiTheme="minorHAnsi" w:hAnsiTheme="minorHAnsi"/>
          <w:b/>
          <w:bCs/>
          <w:szCs w:val="22"/>
        </w:rPr>
      </w:pPr>
    </w:p>
    <w:p w14:paraId="35906D6E" w14:textId="77777777" w:rsidR="007D7122" w:rsidRPr="007E2527" w:rsidRDefault="007D7122" w:rsidP="00ED4F67">
      <w:pPr>
        <w:rPr>
          <w:rFonts w:asciiTheme="minorHAnsi" w:hAnsiTheme="minorHAnsi"/>
          <w:b/>
          <w:bCs/>
          <w:szCs w:val="22"/>
        </w:rPr>
      </w:pPr>
    </w:p>
    <w:p w14:paraId="4210F7F9" w14:textId="132385B4" w:rsidR="00ED4F67" w:rsidRPr="007E2527" w:rsidRDefault="00ED4F67" w:rsidP="00ED4F67">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religion and belief, and grade, 2025 (n=2,860)</w:t>
      </w:r>
    </w:p>
    <w:tbl>
      <w:tblPr>
        <w:tblW w:w="11584" w:type="dxa"/>
        <w:tblLayout w:type="fixed"/>
        <w:tblLook w:val="04A0" w:firstRow="1" w:lastRow="0" w:firstColumn="1" w:lastColumn="0" w:noHBand="0" w:noVBand="1"/>
      </w:tblPr>
      <w:tblGrid>
        <w:gridCol w:w="1984"/>
        <w:gridCol w:w="960"/>
        <w:gridCol w:w="960"/>
        <w:gridCol w:w="960"/>
        <w:gridCol w:w="960"/>
        <w:gridCol w:w="960"/>
        <w:gridCol w:w="960"/>
        <w:gridCol w:w="960"/>
        <w:gridCol w:w="960"/>
        <w:gridCol w:w="960"/>
        <w:gridCol w:w="960"/>
      </w:tblGrid>
      <w:tr w:rsidR="00933184" w:rsidRPr="00933184" w14:paraId="690506EE" w14:textId="77777777" w:rsidTr="007D7122">
        <w:trPr>
          <w:trHeight w:val="300"/>
        </w:trPr>
        <w:tc>
          <w:tcPr>
            <w:tcW w:w="1984" w:type="dxa"/>
            <w:tcBorders>
              <w:top w:val="single" w:sz="4" w:space="0" w:color="auto"/>
              <w:left w:val="single" w:sz="4" w:space="0" w:color="auto"/>
              <w:bottom w:val="nil"/>
              <w:right w:val="nil"/>
            </w:tcBorders>
            <w:shd w:val="clear" w:color="000000" w:fill="FFFFFF"/>
            <w:noWrap/>
            <w:vAlign w:val="bottom"/>
            <w:hideMark/>
          </w:tcPr>
          <w:p w14:paraId="0F345CE2" w14:textId="77777777" w:rsidR="00933184" w:rsidRPr="00933184" w:rsidRDefault="00933184" w:rsidP="00933184">
            <w:pPr>
              <w:spacing w:after="0" w:line="240" w:lineRule="auto"/>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6DC000C" w14:textId="77777777" w:rsidR="00933184" w:rsidRPr="00933184" w:rsidRDefault="00933184" w:rsidP="0093318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Grade E</w:t>
            </w:r>
          </w:p>
        </w:tc>
        <w:tc>
          <w:tcPr>
            <w:tcW w:w="1920" w:type="dxa"/>
            <w:gridSpan w:val="2"/>
            <w:tcBorders>
              <w:top w:val="single" w:sz="4" w:space="0" w:color="auto"/>
              <w:left w:val="nil"/>
              <w:bottom w:val="nil"/>
              <w:right w:val="nil"/>
            </w:tcBorders>
            <w:shd w:val="clear" w:color="000000" w:fill="FFFFFF"/>
            <w:noWrap/>
            <w:vAlign w:val="bottom"/>
            <w:hideMark/>
          </w:tcPr>
          <w:p w14:paraId="20FAC42C" w14:textId="77777777" w:rsidR="00933184" w:rsidRPr="00933184" w:rsidRDefault="00933184" w:rsidP="0093318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F449078" w14:textId="77777777" w:rsidR="00933184" w:rsidRPr="00933184" w:rsidRDefault="00933184" w:rsidP="0093318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1467262F" w14:textId="77777777" w:rsidR="00933184" w:rsidRPr="00933184" w:rsidRDefault="00933184" w:rsidP="0093318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430A3B4" w14:textId="77777777" w:rsidR="00933184" w:rsidRPr="00933184" w:rsidRDefault="00933184" w:rsidP="0093318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Grade I</w:t>
            </w:r>
          </w:p>
        </w:tc>
      </w:tr>
      <w:tr w:rsidR="00933184" w:rsidRPr="007E2527" w14:paraId="335FDEAD" w14:textId="77777777" w:rsidTr="007D7122">
        <w:trPr>
          <w:trHeight w:val="300"/>
        </w:trPr>
        <w:tc>
          <w:tcPr>
            <w:tcW w:w="1984" w:type="dxa"/>
            <w:tcBorders>
              <w:top w:val="nil"/>
              <w:left w:val="single" w:sz="4" w:space="0" w:color="auto"/>
              <w:bottom w:val="single" w:sz="4" w:space="0" w:color="auto"/>
              <w:right w:val="nil"/>
            </w:tcBorders>
            <w:shd w:val="clear" w:color="000000" w:fill="FFFFFF"/>
            <w:noWrap/>
            <w:vAlign w:val="bottom"/>
            <w:hideMark/>
          </w:tcPr>
          <w:p w14:paraId="00E7D0CD"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841F102"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4C7BDD4"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DCA6D18"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9C80DF5"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ACC3A7C"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7EC6FA7"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48433E2"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EC73340"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B060966"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1A35E27" w14:textId="77777777" w:rsidR="00933184" w:rsidRPr="00933184" w:rsidRDefault="00933184" w:rsidP="00933184">
            <w:pPr>
              <w:spacing w:after="0" w:line="240" w:lineRule="auto"/>
              <w:jc w:val="center"/>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r>
      <w:tr w:rsidR="00933184" w:rsidRPr="007E2527" w14:paraId="70F524D8"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7FEE6AE3"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788770B6"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EFBE5D5"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20AD15FD"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306</w:t>
            </w:r>
          </w:p>
        </w:tc>
        <w:tc>
          <w:tcPr>
            <w:tcW w:w="960" w:type="dxa"/>
            <w:tcBorders>
              <w:top w:val="nil"/>
              <w:left w:val="nil"/>
              <w:bottom w:val="nil"/>
              <w:right w:val="single" w:sz="4" w:space="0" w:color="auto"/>
            </w:tcBorders>
            <w:shd w:val="clear" w:color="000000" w:fill="FFFFFF"/>
            <w:noWrap/>
            <w:vAlign w:val="bottom"/>
            <w:hideMark/>
          </w:tcPr>
          <w:p w14:paraId="2B315D42"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32.3%</w:t>
            </w:r>
          </w:p>
        </w:tc>
        <w:tc>
          <w:tcPr>
            <w:tcW w:w="960" w:type="dxa"/>
            <w:tcBorders>
              <w:top w:val="nil"/>
              <w:left w:val="nil"/>
              <w:bottom w:val="nil"/>
              <w:right w:val="nil"/>
            </w:tcBorders>
            <w:shd w:val="clear" w:color="000000" w:fill="FFFFFF"/>
            <w:noWrap/>
            <w:vAlign w:val="bottom"/>
            <w:hideMark/>
          </w:tcPr>
          <w:p w14:paraId="1FD3785B"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160</w:t>
            </w:r>
          </w:p>
        </w:tc>
        <w:tc>
          <w:tcPr>
            <w:tcW w:w="960" w:type="dxa"/>
            <w:tcBorders>
              <w:top w:val="nil"/>
              <w:left w:val="nil"/>
              <w:bottom w:val="nil"/>
              <w:right w:val="single" w:sz="4" w:space="0" w:color="auto"/>
            </w:tcBorders>
            <w:shd w:val="clear" w:color="000000" w:fill="FFFFFF"/>
            <w:noWrap/>
            <w:vAlign w:val="bottom"/>
            <w:hideMark/>
          </w:tcPr>
          <w:p w14:paraId="0EBD0A90"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25.2%</w:t>
            </w:r>
          </w:p>
        </w:tc>
        <w:tc>
          <w:tcPr>
            <w:tcW w:w="960" w:type="dxa"/>
            <w:tcBorders>
              <w:top w:val="nil"/>
              <w:left w:val="nil"/>
              <w:bottom w:val="nil"/>
              <w:right w:val="nil"/>
            </w:tcBorders>
            <w:shd w:val="clear" w:color="000000" w:fill="FFFFFF"/>
            <w:noWrap/>
            <w:vAlign w:val="bottom"/>
            <w:hideMark/>
          </w:tcPr>
          <w:p w14:paraId="054ADF14"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105</w:t>
            </w:r>
          </w:p>
        </w:tc>
        <w:tc>
          <w:tcPr>
            <w:tcW w:w="960" w:type="dxa"/>
            <w:tcBorders>
              <w:top w:val="nil"/>
              <w:left w:val="nil"/>
              <w:bottom w:val="nil"/>
              <w:right w:val="single" w:sz="4" w:space="0" w:color="auto"/>
            </w:tcBorders>
            <w:shd w:val="clear" w:color="000000" w:fill="FFFFFF"/>
            <w:noWrap/>
            <w:vAlign w:val="bottom"/>
            <w:hideMark/>
          </w:tcPr>
          <w:p w14:paraId="245CAE8D"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20.5%</w:t>
            </w:r>
          </w:p>
        </w:tc>
        <w:tc>
          <w:tcPr>
            <w:tcW w:w="960" w:type="dxa"/>
            <w:tcBorders>
              <w:top w:val="nil"/>
              <w:left w:val="nil"/>
              <w:bottom w:val="nil"/>
              <w:right w:val="nil"/>
            </w:tcBorders>
            <w:shd w:val="clear" w:color="000000" w:fill="FFFFFF"/>
            <w:noWrap/>
            <w:vAlign w:val="bottom"/>
            <w:hideMark/>
          </w:tcPr>
          <w:p w14:paraId="12A1181D"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124</w:t>
            </w:r>
          </w:p>
        </w:tc>
        <w:tc>
          <w:tcPr>
            <w:tcW w:w="960" w:type="dxa"/>
            <w:tcBorders>
              <w:top w:val="nil"/>
              <w:left w:val="nil"/>
              <w:bottom w:val="nil"/>
              <w:right w:val="single" w:sz="4" w:space="0" w:color="auto"/>
            </w:tcBorders>
            <w:shd w:val="clear" w:color="000000" w:fill="FFFFFF"/>
            <w:noWrap/>
            <w:vAlign w:val="bottom"/>
            <w:hideMark/>
          </w:tcPr>
          <w:p w14:paraId="4926CF8D"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16.8%</w:t>
            </w:r>
          </w:p>
        </w:tc>
      </w:tr>
      <w:tr w:rsidR="00933184" w:rsidRPr="007E2527" w14:paraId="44623BDA"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07935D65"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3B72A6F6"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87BF8D8"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07064945"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335</w:t>
            </w:r>
          </w:p>
        </w:tc>
        <w:tc>
          <w:tcPr>
            <w:tcW w:w="960" w:type="dxa"/>
            <w:tcBorders>
              <w:top w:val="nil"/>
              <w:left w:val="nil"/>
              <w:bottom w:val="nil"/>
              <w:right w:val="single" w:sz="4" w:space="0" w:color="auto"/>
            </w:tcBorders>
            <w:shd w:val="clear" w:color="000000" w:fill="FFFFFF"/>
            <w:noWrap/>
            <w:vAlign w:val="bottom"/>
            <w:hideMark/>
          </w:tcPr>
          <w:p w14:paraId="17358488"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35.4%</w:t>
            </w:r>
          </w:p>
        </w:tc>
        <w:tc>
          <w:tcPr>
            <w:tcW w:w="960" w:type="dxa"/>
            <w:tcBorders>
              <w:top w:val="nil"/>
              <w:left w:val="nil"/>
              <w:bottom w:val="nil"/>
              <w:right w:val="nil"/>
            </w:tcBorders>
            <w:shd w:val="clear" w:color="000000" w:fill="FFFFFF"/>
            <w:noWrap/>
            <w:vAlign w:val="bottom"/>
            <w:hideMark/>
          </w:tcPr>
          <w:p w14:paraId="7B2A0C2D"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330</w:t>
            </w:r>
          </w:p>
        </w:tc>
        <w:tc>
          <w:tcPr>
            <w:tcW w:w="960" w:type="dxa"/>
            <w:tcBorders>
              <w:top w:val="nil"/>
              <w:left w:val="nil"/>
              <w:bottom w:val="nil"/>
              <w:right w:val="single" w:sz="4" w:space="0" w:color="auto"/>
            </w:tcBorders>
            <w:shd w:val="clear" w:color="000000" w:fill="FFFFFF"/>
            <w:noWrap/>
            <w:vAlign w:val="bottom"/>
            <w:hideMark/>
          </w:tcPr>
          <w:p w14:paraId="17221216"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51.9%</w:t>
            </w:r>
          </w:p>
        </w:tc>
        <w:tc>
          <w:tcPr>
            <w:tcW w:w="960" w:type="dxa"/>
            <w:tcBorders>
              <w:top w:val="nil"/>
              <w:left w:val="nil"/>
              <w:bottom w:val="nil"/>
              <w:right w:val="nil"/>
            </w:tcBorders>
            <w:shd w:val="clear" w:color="000000" w:fill="FFFFFF"/>
            <w:noWrap/>
            <w:vAlign w:val="bottom"/>
            <w:hideMark/>
          </w:tcPr>
          <w:p w14:paraId="111C93A9"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321</w:t>
            </w:r>
          </w:p>
        </w:tc>
        <w:tc>
          <w:tcPr>
            <w:tcW w:w="960" w:type="dxa"/>
            <w:tcBorders>
              <w:top w:val="nil"/>
              <w:left w:val="nil"/>
              <w:bottom w:val="nil"/>
              <w:right w:val="single" w:sz="4" w:space="0" w:color="auto"/>
            </w:tcBorders>
            <w:shd w:val="clear" w:color="000000" w:fill="FFFFFF"/>
            <w:noWrap/>
            <w:vAlign w:val="bottom"/>
            <w:hideMark/>
          </w:tcPr>
          <w:p w14:paraId="105980AE"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62.8%</w:t>
            </w:r>
          </w:p>
        </w:tc>
        <w:tc>
          <w:tcPr>
            <w:tcW w:w="960" w:type="dxa"/>
            <w:tcBorders>
              <w:top w:val="nil"/>
              <w:left w:val="nil"/>
              <w:bottom w:val="nil"/>
              <w:right w:val="nil"/>
            </w:tcBorders>
            <w:shd w:val="clear" w:color="000000" w:fill="FFFFFF"/>
            <w:noWrap/>
            <w:vAlign w:val="bottom"/>
            <w:hideMark/>
          </w:tcPr>
          <w:p w14:paraId="54AA5539"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515</w:t>
            </w:r>
          </w:p>
        </w:tc>
        <w:tc>
          <w:tcPr>
            <w:tcW w:w="960" w:type="dxa"/>
            <w:tcBorders>
              <w:top w:val="nil"/>
              <w:left w:val="nil"/>
              <w:bottom w:val="nil"/>
              <w:right w:val="single" w:sz="4" w:space="0" w:color="auto"/>
            </w:tcBorders>
            <w:shd w:val="clear" w:color="000000" w:fill="FFFFFF"/>
            <w:noWrap/>
            <w:vAlign w:val="bottom"/>
            <w:hideMark/>
          </w:tcPr>
          <w:p w14:paraId="25944686"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69.6%</w:t>
            </w:r>
          </w:p>
        </w:tc>
      </w:tr>
      <w:tr w:rsidR="00933184" w:rsidRPr="007E2527" w14:paraId="69AE9057"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079EE461" w14:textId="77777777" w:rsidR="00933184" w:rsidRPr="00933184" w:rsidRDefault="00933184" w:rsidP="00933184">
            <w:pPr>
              <w:spacing w:after="0" w:line="240" w:lineRule="auto"/>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75AC09F8"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single" w:sz="4" w:space="0" w:color="auto"/>
            </w:tcBorders>
            <w:shd w:val="clear" w:color="000000" w:fill="FFFFFF"/>
            <w:noWrap/>
            <w:vAlign w:val="bottom"/>
            <w:hideMark/>
          </w:tcPr>
          <w:p w14:paraId="640759CA"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61.5%</w:t>
            </w:r>
          </w:p>
        </w:tc>
        <w:tc>
          <w:tcPr>
            <w:tcW w:w="960" w:type="dxa"/>
            <w:tcBorders>
              <w:top w:val="nil"/>
              <w:left w:val="nil"/>
              <w:bottom w:val="nil"/>
              <w:right w:val="nil"/>
            </w:tcBorders>
            <w:shd w:val="clear" w:color="000000" w:fill="FFFFFF"/>
            <w:noWrap/>
            <w:vAlign w:val="bottom"/>
            <w:hideMark/>
          </w:tcPr>
          <w:p w14:paraId="090C8D67"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306</w:t>
            </w:r>
          </w:p>
        </w:tc>
        <w:tc>
          <w:tcPr>
            <w:tcW w:w="960" w:type="dxa"/>
            <w:tcBorders>
              <w:top w:val="nil"/>
              <w:left w:val="nil"/>
              <w:bottom w:val="nil"/>
              <w:right w:val="single" w:sz="4" w:space="0" w:color="auto"/>
            </w:tcBorders>
            <w:shd w:val="clear" w:color="000000" w:fill="FFFFFF"/>
            <w:noWrap/>
            <w:vAlign w:val="bottom"/>
            <w:hideMark/>
          </w:tcPr>
          <w:p w14:paraId="419954ED"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32.3%</w:t>
            </w:r>
          </w:p>
        </w:tc>
        <w:tc>
          <w:tcPr>
            <w:tcW w:w="960" w:type="dxa"/>
            <w:tcBorders>
              <w:top w:val="nil"/>
              <w:left w:val="nil"/>
              <w:bottom w:val="nil"/>
              <w:right w:val="nil"/>
            </w:tcBorders>
            <w:shd w:val="clear" w:color="000000" w:fill="FFFFFF"/>
            <w:noWrap/>
            <w:vAlign w:val="bottom"/>
            <w:hideMark/>
          </w:tcPr>
          <w:p w14:paraId="325BDDE4"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146</w:t>
            </w:r>
          </w:p>
        </w:tc>
        <w:tc>
          <w:tcPr>
            <w:tcW w:w="960" w:type="dxa"/>
            <w:tcBorders>
              <w:top w:val="nil"/>
              <w:left w:val="nil"/>
              <w:bottom w:val="nil"/>
              <w:right w:val="single" w:sz="4" w:space="0" w:color="auto"/>
            </w:tcBorders>
            <w:shd w:val="clear" w:color="000000" w:fill="FFFFFF"/>
            <w:noWrap/>
            <w:vAlign w:val="bottom"/>
            <w:hideMark/>
          </w:tcPr>
          <w:p w14:paraId="095C4CD9"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23.0%</w:t>
            </w:r>
          </w:p>
        </w:tc>
        <w:tc>
          <w:tcPr>
            <w:tcW w:w="960" w:type="dxa"/>
            <w:tcBorders>
              <w:top w:val="nil"/>
              <w:left w:val="nil"/>
              <w:bottom w:val="nil"/>
              <w:right w:val="nil"/>
            </w:tcBorders>
            <w:shd w:val="clear" w:color="000000" w:fill="FFFFFF"/>
            <w:noWrap/>
            <w:vAlign w:val="bottom"/>
            <w:hideMark/>
          </w:tcPr>
          <w:p w14:paraId="34FCCC37"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85</w:t>
            </w:r>
          </w:p>
        </w:tc>
        <w:tc>
          <w:tcPr>
            <w:tcW w:w="960" w:type="dxa"/>
            <w:tcBorders>
              <w:top w:val="nil"/>
              <w:left w:val="nil"/>
              <w:bottom w:val="nil"/>
              <w:right w:val="single" w:sz="4" w:space="0" w:color="auto"/>
            </w:tcBorders>
            <w:shd w:val="clear" w:color="000000" w:fill="FFFFFF"/>
            <w:noWrap/>
            <w:vAlign w:val="bottom"/>
            <w:hideMark/>
          </w:tcPr>
          <w:p w14:paraId="61333A56"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16.6%</w:t>
            </w:r>
          </w:p>
        </w:tc>
        <w:tc>
          <w:tcPr>
            <w:tcW w:w="960" w:type="dxa"/>
            <w:tcBorders>
              <w:top w:val="nil"/>
              <w:left w:val="nil"/>
              <w:bottom w:val="nil"/>
              <w:right w:val="nil"/>
            </w:tcBorders>
            <w:shd w:val="clear" w:color="000000" w:fill="FFFFFF"/>
            <w:noWrap/>
            <w:vAlign w:val="bottom"/>
            <w:hideMark/>
          </w:tcPr>
          <w:p w14:paraId="0551E5B7"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101</w:t>
            </w:r>
          </w:p>
        </w:tc>
        <w:tc>
          <w:tcPr>
            <w:tcW w:w="960" w:type="dxa"/>
            <w:tcBorders>
              <w:top w:val="nil"/>
              <w:left w:val="nil"/>
              <w:bottom w:val="nil"/>
              <w:right w:val="single" w:sz="4" w:space="0" w:color="auto"/>
            </w:tcBorders>
            <w:shd w:val="clear" w:color="000000" w:fill="FFFFFF"/>
            <w:noWrap/>
            <w:vAlign w:val="bottom"/>
            <w:hideMark/>
          </w:tcPr>
          <w:p w14:paraId="31E6433F" w14:textId="77777777" w:rsidR="00933184" w:rsidRPr="00933184" w:rsidRDefault="00933184" w:rsidP="00933184">
            <w:pPr>
              <w:spacing w:after="0" w:line="240" w:lineRule="auto"/>
              <w:jc w:val="right"/>
              <w:rPr>
                <w:rFonts w:asciiTheme="minorHAnsi" w:eastAsia="Times New Roman" w:hAnsiTheme="minorHAnsi" w:cs="Times New Roman"/>
                <w:color w:val="000000"/>
                <w:kern w:val="0"/>
                <w:szCs w:val="22"/>
                <w:lang w:eastAsia="en-GB"/>
                <w14:ligatures w14:val="none"/>
              </w:rPr>
            </w:pPr>
            <w:r w:rsidRPr="00933184">
              <w:rPr>
                <w:rFonts w:asciiTheme="minorHAnsi" w:eastAsia="Times New Roman" w:hAnsiTheme="minorHAnsi" w:cs="Times New Roman"/>
                <w:color w:val="000000"/>
                <w:kern w:val="0"/>
                <w:szCs w:val="22"/>
                <w:lang w:eastAsia="en-GB"/>
                <w14:ligatures w14:val="none"/>
              </w:rPr>
              <w:t>13.6%</w:t>
            </w:r>
          </w:p>
        </w:tc>
      </w:tr>
      <w:tr w:rsidR="00933184" w:rsidRPr="007E2527" w14:paraId="6135BFD3" w14:textId="77777777" w:rsidTr="007D7122">
        <w:trPr>
          <w:trHeight w:val="315"/>
        </w:trPr>
        <w:tc>
          <w:tcPr>
            <w:tcW w:w="1984" w:type="dxa"/>
            <w:tcBorders>
              <w:top w:val="dotted" w:sz="4" w:space="0" w:color="auto"/>
              <w:left w:val="single" w:sz="4" w:space="0" w:color="auto"/>
              <w:bottom w:val="double" w:sz="6" w:space="0" w:color="auto"/>
              <w:right w:val="nil"/>
            </w:tcBorders>
            <w:shd w:val="clear" w:color="000000" w:fill="FFFFFF"/>
            <w:noWrap/>
            <w:vAlign w:val="bottom"/>
            <w:hideMark/>
          </w:tcPr>
          <w:p w14:paraId="68E44C3E" w14:textId="77777777" w:rsidR="00933184" w:rsidRPr="00933184" w:rsidRDefault="00933184" w:rsidP="00933184">
            <w:pPr>
              <w:spacing w:after="0" w:line="240" w:lineRule="auto"/>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94DE348"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26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C150531"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D74FFF2"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947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8BA3E7"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41BCF94"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636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9F72195"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8D0092C"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511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FFCD818"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1FAD4E7"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740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EC686FF" w14:textId="77777777" w:rsidR="00933184" w:rsidRPr="00933184" w:rsidRDefault="00933184" w:rsidP="0093318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933184">
              <w:rPr>
                <w:rFonts w:asciiTheme="minorHAnsi" w:eastAsia="Times New Roman" w:hAnsiTheme="minorHAnsi" w:cs="Times New Roman"/>
                <w:b/>
                <w:bCs/>
                <w:color w:val="000000"/>
                <w:kern w:val="0"/>
                <w:szCs w:val="22"/>
                <w:lang w:eastAsia="en-GB"/>
                <w14:ligatures w14:val="none"/>
              </w:rPr>
              <w:t>100%</w:t>
            </w:r>
          </w:p>
        </w:tc>
      </w:tr>
    </w:tbl>
    <w:p w14:paraId="5F3ECB9E" w14:textId="77777777" w:rsidR="00933184" w:rsidRPr="007E2527" w:rsidRDefault="00933184" w:rsidP="00933184">
      <w:pPr>
        <w:rPr>
          <w:rFonts w:asciiTheme="minorHAnsi" w:hAnsiTheme="minorHAnsi"/>
          <w:b/>
          <w:bCs/>
          <w:szCs w:val="22"/>
        </w:rPr>
      </w:pPr>
    </w:p>
    <w:p w14:paraId="5AA6779E" w14:textId="46A0194C" w:rsidR="00ED4F67" w:rsidRPr="007E2527" w:rsidRDefault="00ED4F67" w:rsidP="00ED4F67">
      <w:pPr>
        <w:rPr>
          <w:rFonts w:asciiTheme="minorHAnsi" w:hAnsiTheme="minorHAnsi"/>
          <w:b/>
          <w:bCs/>
          <w:szCs w:val="22"/>
        </w:rPr>
      </w:pPr>
    </w:p>
    <w:p w14:paraId="3E39ED6E" w14:textId="77777777" w:rsidR="008C250F" w:rsidRPr="007E2527" w:rsidRDefault="008C250F" w:rsidP="00ED4F67">
      <w:pPr>
        <w:rPr>
          <w:rFonts w:asciiTheme="minorHAnsi" w:hAnsiTheme="minorHAnsi"/>
          <w:b/>
          <w:bCs/>
          <w:szCs w:val="22"/>
        </w:rPr>
      </w:pPr>
    </w:p>
    <w:p w14:paraId="0A2137A2" w14:textId="77777777" w:rsidR="00D80070" w:rsidRPr="007E2527" w:rsidRDefault="00D80070" w:rsidP="00ED4F67">
      <w:pPr>
        <w:rPr>
          <w:rFonts w:asciiTheme="minorHAnsi" w:hAnsiTheme="minorHAnsi"/>
          <w:b/>
          <w:bCs/>
          <w:szCs w:val="22"/>
        </w:rPr>
      </w:pPr>
    </w:p>
    <w:p w14:paraId="7841FE73" w14:textId="77777777" w:rsidR="00D80070" w:rsidRPr="007E2527" w:rsidRDefault="00D80070" w:rsidP="00ED4F67">
      <w:pPr>
        <w:rPr>
          <w:rFonts w:asciiTheme="minorHAnsi" w:hAnsiTheme="minorHAnsi"/>
          <w:b/>
          <w:bCs/>
          <w:szCs w:val="22"/>
        </w:rPr>
      </w:pPr>
    </w:p>
    <w:p w14:paraId="18B0A713" w14:textId="77777777" w:rsidR="00D80070" w:rsidRPr="007E2527" w:rsidRDefault="00D80070" w:rsidP="00ED4F67">
      <w:pPr>
        <w:rPr>
          <w:rFonts w:asciiTheme="minorHAnsi" w:hAnsiTheme="minorHAnsi"/>
          <w:b/>
          <w:bCs/>
          <w:szCs w:val="22"/>
        </w:rPr>
      </w:pPr>
    </w:p>
    <w:p w14:paraId="36B170E7" w14:textId="77777777" w:rsidR="00D80070" w:rsidRPr="007E2527" w:rsidRDefault="00D80070" w:rsidP="00ED4F67">
      <w:pPr>
        <w:rPr>
          <w:rFonts w:asciiTheme="minorHAnsi" w:hAnsiTheme="minorHAnsi"/>
          <w:b/>
          <w:bCs/>
          <w:szCs w:val="22"/>
        </w:rPr>
      </w:pPr>
    </w:p>
    <w:p w14:paraId="3F47BE47" w14:textId="2DA1E50E" w:rsidR="008C250F" w:rsidRPr="007E2527" w:rsidRDefault="008C250F" w:rsidP="008C250F">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religion and belief, and grade, 2025 (n=3,381)</w:t>
      </w:r>
    </w:p>
    <w:tbl>
      <w:tblPr>
        <w:tblW w:w="11584" w:type="dxa"/>
        <w:tblLayout w:type="fixed"/>
        <w:tblLook w:val="04A0" w:firstRow="1" w:lastRow="0" w:firstColumn="1" w:lastColumn="0" w:noHBand="0" w:noVBand="1"/>
      </w:tblPr>
      <w:tblGrid>
        <w:gridCol w:w="1984"/>
        <w:gridCol w:w="960"/>
        <w:gridCol w:w="960"/>
        <w:gridCol w:w="960"/>
        <w:gridCol w:w="960"/>
        <w:gridCol w:w="960"/>
        <w:gridCol w:w="960"/>
        <w:gridCol w:w="960"/>
        <w:gridCol w:w="960"/>
        <w:gridCol w:w="960"/>
        <w:gridCol w:w="960"/>
      </w:tblGrid>
      <w:tr w:rsidR="00892E51" w:rsidRPr="00892E51" w14:paraId="4288CBD5" w14:textId="77777777" w:rsidTr="007D7122">
        <w:trPr>
          <w:trHeight w:val="300"/>
        </w:trPr>
        <w:tc>
          <w:tcPr>
            <w:tcW w:w="1984" w:type="dxa"/>
            <w:tcBorders>
              <w:top w:val="single" w:sz="4" w:space="0" w:color="auto"/>
              <w:left w:val="single" w:sz="4" w:space="0" w:color="auto"/>
              <w:bottom w:val="nil"/>
              <w:right w:val="nil"/>
            </w:tcBorders>
            <w:shd w:val="clear" w:color="000000" w:fill="FFFFFF"/>
            <w:noWrap/>
            <w:vAlign w:val="bottom"/>
            <w:hideMark/>
          </w:tcPr>
          <w:p w14:paraId="1EABF233" w14:textId="77777777" w:rsidR="00892E51" w:rsidRPr="00892E51" w:rsidRDefault="00892E51" w:rsidP="00892E51">
            <w:pPr>
              <w:spacing w:after="0" w:line="240" w:lineRule="auto"/>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577412E"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A</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B0C5376"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B</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2EA8FDC"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B9DDB64"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D</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1F65787"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E</w:t>
            </w:r>
          </w:p>
        </w:tc>
      </w:tr>
      <w:tr w:rsidR="00892E51" w:rsidRPr="007E2527" w14:paraId="2CC8A0A5" w14:textId="77777777" w:rsidTr="007D7122">
        <w:trPr>
          <w:trHeight w:val="300"/>
        </w:trPr>
        <w:tc>
          <w:tcPr>
            <w:tcW w:w="1984" w:type="dxa"/>
            <w:tcBorders>
              <w:top w:val="nil"/>
              <w:left w:val="single" w:sz="4" w:space="0" w:color="auto"/>
              <w:bottom w:val="single" w:sz="4" w:space="0" w:color="auto"/>
              <w:right w:val="nil"/>
            </w:tcBorders>
            <w:shd w:val="clear" w:color="000000" w:fill="FFFFFF"/>
            <w:noWrap/>
            <w:vAlign w:val="bottom"/>
            <w:hideMark/>
          </w:tcPr>
          <w:p w14:paraId="1500728A"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4D36C889"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9B816A5"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649A0D8"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1AC3D55"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7B9CEEF"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E444D42"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D54E426"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CC1535B"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FA7A3D2"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D44A05B"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r>
      <w:tr w:rsidR="00892E51" w:rsidRPr="007E2527" w14:paraId="79861EFF"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27C7AEC3"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328839FE"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60</w:t>
            </w:r>
          </w:p>
        </w:tc>
        <w:tc>
          <w:tcPr>
            <w:tcW w:w="960" w:type="dxa"/>
            <w:tcBorders>
              <w:top w:val="nil"/>
              <w:left w:val="nil"/>
              <w:bottom w:val="nil"/>
              <w:right w:val="single" w:sz="4" w:space="0" w:color="auto"/>
            </w:tcBorders>
            <w:shd w:val="clear" w:color="000000" w:fill="FFFFFF"/>
            <w:noWrap/>
            <w:vAlign w:val="bottom"/>
            <w:hideMark/>
          </w:tcPr>
          <w:p w14:paraId="2F25A63B"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21.0%</w:t>
            </w:r>
          </w:p>
        </w:tc>
        <w:tc>
          <w:tcPr>
            <w:tcW w:w="960" w:type="dxa"/>
            <w:tcBorders>
              <w:top w:val="nil"/>
              <w:left w:val="nil"/>
              <w:bottom w:val="nil"/>
              <w:right w:val="nil"/>
            </w:tcBorders>
            <w:shd w:val="clear" w:color="000000" w:fill="FFFFFF"/>
            <w:noWrap/>
            <w:vAlign w:val="bottom"/>
            <w:hideMark/>
          </w:tcPr>
          <w:p w14:paraId="526700EC"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single" w:sz="4" w:space="0" w:color="auto"/>
            </w:tcBorders>
            <w:shd w:val="clear" w:color="000000" w:fill="FFFFFF"/>
            <w:noWrap/>
            <w:vAlign w:val="bottom"/>
            <w:hideMark/>
          </w:tcPr>
          <w:p w14:paraId="549B2F41"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20.0%</w:t>
            </w:r>
          </w:p>
        </w:tc>
        <w:tc>
          <w:tcPr>
            <w:tcW w:w="960" w:type="dxa"/>
            <w:tcBorders>
              <w:top w:val="nil"/>
              <w:left w:val="nil"/>
              <w:bottom w:val="nil"/>
              <w:right w:val="nil"/>
            </w:tcBorders>
            <w:shd w:val="clear" w:color="000000" w:fill="FFFFFF"/>
            <w:noWrap/>
            <w:vAlign w:val="bottom"/>
            <w:hideMark/>
          </w:tcPr>
          <w:p w14:paraId="6070C26D"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113</w:t>
            </w:r>
          </w:p>
        </w:tc>
        <w:tc>
          <w:tcPr>
            <w:tcW w:w="960" w:type="dxa"/>
            <w:tcBorders>
              <w:top w:val="nil"/>
              <w:left w:val="nil"/>
              <w:bottom w:val="nil"/>
              <w:right w:val="single" w:sz="4" w:space="0" w:color="auto"/>
            </w:tcBorders>
            <w:shd w:val="clear" w:color="000000" w:fill="FFFFFF"/>
            <w:noWrap/>
            <w:vAlign w:val="bottom"/>
            <w:hideMark/>
          </w:tcPr>
          <w:p w14:paraId="60DFCC6D"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29.4%</w:t>
            </w:r>
          </w:p>
        </w:tc>
        <w:tc>
          <w:tcPr>
            <w:tcW w:w="960" w:type="dxa"/>
            <w:tcBorders>
              <w:top w:val="nil"/>
              <w:left w:val="nil"/>
              <w:bottom w:val="nil"/>
              <w:right w:val="nil"/>
            </w:tcBorders>
            <w:shd w:val="clear" w:color="000000" w:fill="FFFFFF"/>
            <w:noWrap/>
            <w:vAlign w:val="bottom"/>
            <w:hideMark/>
          </w:tcPr>
          <w:p w14:paraId="04B262F8"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180</w:t>
            </w:r>
          </w:p>
        </w:tc>
        <w:tc>
          <w:tcPr>
            <w:tcW w:w="960" w:type="dxa"/>
            <w:tcBorders>
              <w:top w:val="nil"/>
              <w:left w:val="nil"/>
              <w:bottom w:val="nil"/>
              <w:right w:val="single" w:sz="4" w:space="0" w:color="auto"/>
            </w:tcBorders>
            <w:shd w:val="clear" w:color="000000" w:fill="FFFFFF"/>
            <w:noWrap/>
            <w:vAlign w:val="bottom"/>
            <w:hideMark/>
          </w:tcPr>
          <w:p w14:paraId="4A8B70C0"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30.1%</w:t>
            </w:r>
          </w:p>
        </w:tc>
        <w:tc>
          <w:tcPr>
            <w:tcW w:w="960" w:type="dxa"/>
            <w:tcBorders>
              <w:top w:val="nil"/>
              <w:left w:val="nil"/>
              <w:bottom w:val="nil"/>
              <w:right w:val="nil"/>
            </w:tcBorders>
            <w:shd w:val="clear" w:color="000000" w:fill="FFFFFF"/>
            <w:noWrap/>
            <w:vAlign w:val="bottom"/>
            <w:hideMark/>
          </w:tcPr>
          <w:p w14:paraId="6271597A"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178</w:t>
            </w:r>
          </w:p>
        </w:tc>
        <w:tc>
          <w:tcPr>
            <w:tcW w:w="960" w:type="dxa"/>
            <w:tcBorders>
              <w:top w:val="nil"/>
              <w:left w:val="nil"/>
              <w:bottom w:val="nil"/>
              <w:right w:val="single" w:sz="4" w:space="0" w:color="auto"/>
            </w:tcBorders>
            <w:shd w:val="clear" w:color="000000" w:fill="FFFFFF"/>
            <w:noWrap/>
            <w:vAlign w:val="bottom"/>
            <w:hideMark/>
          </w:tcPr>
          <w:p w14:paraId="31829475"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28.4%</w:t>
            </w:r>
          </w:p>
        </w:tc>
      </w:tr>
      <w:tr w:rsidR="00892E51" w:rsidRPr="007E2527" w14:paraId="0E4BD728"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29601C51"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672B16AE"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144</w:t>
            </w:r>
          </w:p>
        </w:tc>
        <w:tc>
          <w:tcPr>
            <w:tcW w:w="960" w:type="dxa"/>
            <w:tcBorders>
              <w:top w:val="nil"/>
              <w:left w:val="nil"/>
              <w:bottom w:val="nil"/>
              <w:right w:val="single" w:sz="4" w:space="0" w:color="auto"/>
            </w:tcBorders>
            <w:shd w:val="clear" w:color="000000" w:fill="FFFFFF"/>
            <w:noWrap/>
            <w:vAlign w:val="bottom"/>
            <w:hideMark/>
          </w:tcPr>
          <w:p w14:paraId="7B120772"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50.3%</w:t>
            </w:r>
          </w:p>
        </w:tc>
        <w:tc>
          <w:tcPr>
            <w:tcW w:w="960" w:type="dxa"/>
            <w:tcBorders>
              <w:top w:val="nil"/>
              <w:left w:val="nil"/>
              <w:bottom w:val="nil"/>
              <w:right w:val="nil"/>
            </w:tcBorders>
            <w:shd w:val="clear" w:color="000000" w:fill="FFFFFF"/>
            <w:noWrap/>
            <w:vAlign w:val="bottom"/>
            <w:hideMark/>
          </w:tcPr>
          <w:p w14:paraId="7DB49260"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67</w:t>
            </w:r>
          </w:p>
        </w:tc>
        <w:tc>
          <w:tcPr>
            <w:tcW w:w="960" w:type="dxa"/>
            <w:tcBorders>
              <w:top w:val="nil"/>
              <w:left w:val="nil"/>
              <w:bottom w:val="nil"/>
              <w:right w:val="single" w:sz="4" w:space="0" w:color="auto"/>
            </w:tcBorders>
            <w:shd w:val="clear" w:color="000000" w:fill="FFFFFF"/>
            <w:noWrap/>
            <w:vAlign w:val="bottom"/>
            <w:hideMark/>
          </w:tcPr>
          <w:p w14:paraId="136077B8"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53.6%</w:t>
            </w:r>
          </w:p>
        </w:tc>
        <w:tc>
          <w:tcPr>
            <w:tcW w:w="960" w:type="dxa"/>
            <w:tcBorders>
              <w:top w:val="nil"/>
              <w:left w:val="nil"/>
              <w:bottom w:val="nil"/>
              <w:right w:val="nil"/>
            </w:tcBorders>
            <w:shd w:val="clear" w:color="000000" w:fill="FFFFFF"/>
            <w:noWrap/>
            <w:vAlign w:val="bottom"/>
            <w:hideMark/>
          </w:tcPr>
          <w:p w14:paraId="76DD97A5"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170</w:t>
            </w:r>
          </w:p>
        </w:tc>
        <w:tc>
          <w:tcPr>
            <w:tcW w:w="960" w:type="dxa"/>
            <w:tcBorders>
              <w:top w:val="nil"/>
              <w:left w:val="nil"/>
              <w:bottom w:val="nil"/>
              <w:right w:val="single" w:sz="4" w:space="0" w:color="auto"/>
            </w:tcBorders>
            <w:shd w:val="clear" w:color="000000" w:fill="FFFFFF"/>
            <w:noWrap/>
            <w:vAlign w:val="bottom"/>
            <w:hideMark/>
          </w:tcPr>
          <w:p w14:paraId="2E0F91EC"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44.2%</w:t>
            </w:r>
          </w:p>
        </w:tc>
        <w:tc>
          <w:tcPr>
            <w:tcW w:w="960" w:type="dxa"/>
            <w:tcBorders>
              <w:top w:val="nil"/>
              <w:left w:val="nil"/>
              <w:bottom w:val="nil"/>
              <w:right w:val="nil"/>
            </w:tcBorders>
            <w:shd w:val="clear" w:color="000000" w:fill="FFFFFF"/>
            <w:noWrap/>
            <w:vAlign w:val="bottom"/>
            <w:hideMark/>
          </w:tcPr>
          <w:p w14:paraId="265DE3AD"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255</w:t>
            </w:r>
          </w:p>
        </w:tc>
        <w:tc>
          <w:tcPr>
            <w:tcW w:w="960" w:type="dxa"/>
            <w:tcBorders>
              <w:top w:val="nil"/>
              <w:left w:val="nil"/>
              <w:bottom w:val="nil"/>
              <w:right w:val="single" w:sz="4" w:space="0" w:color="auto"/>
            </w:tcBorders>
            <w:shd w:val="clear" w:color="000000" w:fill="FFFFFF"/>
            <w:noWrap/>
            <w:vAlign w:val="bottom"/>
            <w:hideMark/>
          </w:tcPr>
          <w:p w14:paraId="7AF42E9F"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42.6%</w:t>
            </w:r>
          </w:p>
        </w:tc>
        <w:tc>
          <w:tcPr>
            <w:tcW w:w="960" w:type="dxa"/>
            <w:tcBorders>
              <w:top w:val="nil"/>
              <w:left w:val="nil"/>
              <w:bottom w:val="nil"/>
              <w:right w:val="nil"/>
            </w:tcBorders>
            <w:shd w:val="clear" w:color="000000" w:fill="FFFFFF"/>
            <w:noWrap/>
            <w:vAlign w:val="bottom"/>
            <w:hideMark/>
          </w:tcPr>
          <w:p w14:paraId="04AD949C"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291</w:t>
            </w:r>
          </w:p>
        </w:tc>
        <w:tc>
          <w:tcPr>
            <w:tcW w:w="960" w:type="dxa"/>
            <w:tcBorders>
              <w:top w:val="nil"/>
              <w:left w:val="nil"/>
              <w:bottom w:val="nil"/>
              <w:right w:val="single" w:sz="4" w:space="0" w:color="auto"/>
            </w:tcBorders>
            <w:shd w:val="clear" w:color="000000" w:fill="FFFFFF"/>
            <w:noWrap/>
            <w:vAlign w:val="bottom"/>
            <w:hideMark/>
          </w:tcPr>
          <w:p w14:paraId="122AC81E"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46.4%</w:t>
            </w:r>
          </w:p>
        </w:tc>
      </w:tr>
      <w:tr w:rsidR="00892E51" w:rsidRPr="007E2527" w14:paraId="4B3B0804" w14:textId="77777777" w:rsidTr="007D7122">
        <w:trPr>
          <w:trHeight w:val="300"/>
        </w:trPr>
        <w:tc>
          <w:tcPr>
            <w:tcW w:w="1984" w:type="dxa"/>
            <w:tcBorders>
              <w:top w:val="nil"/>
              <w:left w:val="single" w:sz="4" w:space="0" w:color="auto"/>
              <w:bottom w:val="nil"/>
              <w:right w:val="nil"/>
            </w:tcBorders>
            <w:shd w:val="clear" w:color="000000" w:fill="FFFFFF"/>
            <w:noWrap/>
            <w:vAlign w:val="bottom"/>
            <w:hideMark/>
          </w:tcPr>
          <w:p w14:paraId="0E89CC1C"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576818F3"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82</w:t>
            </w:r>
          </w:p>
        </w:tc>
        <w:tc>
          <w:tcPr>
            <w:tcW w:w="960" w:type="dxa"/>
            <w:tcBorders>
              <w:top w:val="nil"/>
              <w:left w:val="nil"/>
              <w:bottom w:val="nil"/>
              <w:right w:val="single" w:sz="4" w:space="0" w:color="auto"/>
            </w:tcBorders>
            <w:shd w:val="clear" w:color="000000" w:fill="FFFFFF"/>
            <w:noWrap/>
            <w:vAlign w:val="bottom"/>
            <w:hideMark/>
          </w:tcPr>
          <w:p w14:paraId="4F9206C1"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28.7%</w:t>
            </w:r>
          </w:p>
        </w:tc>
        <w:tc>
          <w:tcPr>
            <w:tcW w:w="960" w:type="dxa"/>
            <w:tcBorders>
              <w:top w:val="nil"/>
              <w:left w:val="nil"/>
              <w:bottom w:val="nil"/>
              <w:right w:val="nil"/>
            </w:tcBorders>
            <w:shd w:val="clear" w:color="000000" w:fill="FFFFFF"/>
            <w:noWrap/>
            <w:vAlign w:val="bottom"/>
            <w:hideMark/>
          </w:tcPr>
          <w:p w14:paraId="301A0A35"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33</w:t>
            </w:r>
          </w:p>
        </w:tc>
        <w:tc>
          <w:tcPr>
            <w:tcW w:w="960" w:type="dxa"/>
            <w:tcBorders>
              <w:top w:val="nil"/>
              <w:left w:val="nil"/>
              <w:bottom w:val="nil"/>
              <w:right w:val="single" w:sz="4" w:space="0" w:color="auto"/>
            </w:tcBorders>
            <w:shd w:val="clear" w:color="000000" w:fill="FFFFFF"/>
            <w:noWrap/>
            <w:vAlign w:val="bottom"/>
            <w:hideMark/>
          </w:tcPr>
          <w:p w14:paraId="720662E6"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26.4%</w:t>
            </w:r>
          </w:p>
        </w:tc>
        <w:tc>
          <w:tcPr>
            <w:tcW w:w="960" w:type="dxa"/>
            <w:tcBorders>
              <w:top w:val="nil"/>
              <w:left w:val="nil"/>
              <w:bottom w:val="nil"/>
              <w:right w:val="nil"/>
            </w:tcBorders>
            <w:shd w:val="clear" w:color="000000" w:fill="FFFFFF"/>
            <w:noWrap/>
            <w:vAlign w:val="bottom"/>
            <w:hideMark/>
          </w:tcPr>
          <w:p w14:paraId="7A0D14FA"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102</w:t>
            </w:r>
          </w:p>
        </w:tc>
        <w:tc>
          <w:tcPr>
            <w:tcW w:w="960" w:type="dxa"/>
            <w:tcBorders>
              <w:top w:val="nil"/>
              <w:left w:val="nil"/>
              <w:bottom w:val="nil"/>
              <w:right w:val="single" w:sz="4" w:space="0" w:color="auto"/>
            </w:tcBorders>
            <w:shd w:val="clear" w:color="000000" w:fill="FFFFFF"/>
            <w:noWrap/>
            <w:vAlign w:val="bottom"/>
            <w:hideMark/>
          </w:tcPr>
          <w:p w14:paraId="62EAABBC"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26.5%</w:t>
            </w:r>
          </w:p>
        </w:tc>
        <w:tc>
          <w:tcPr>
            <w:tcW w:w="960" w:type="dxa"/>
            <w:tcBorders>
              <w:top w:val="nil"/>
              <w:left w:val="nil"/>
              <w:bottom w:val="nil"/>
              <w:right w:val="nil"/>
            </w:tcBorders>
            <w:shd w:val="clear" w:color="000000" w:fill="FFFFFF"/>
            <w:noWrap/>
            <w:vAlign w:val="bottom"/>
            <w:hideMark/>
          </w:tcPr>
          <w:p w14:paraId="5FCB414F"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163</w:t>
            </w:r>
          </w:p>
        </w:tc>
        <w:tc>
          <w:tcPr>
            <w:tcW w:w="960" w:type="dxa"/>
            <w:tcBorders>
              <w:top w:val="nil"/>
              <w:left w:val="nil"/>
              <w:bottom w:val="nil"/>
              <w:right w:val="single" w:sz="4" w:space="0" w:color="auto"/>
            </w:tcBorders>
            <w:shd w:val="clear" w:color="000000" w:fill="FFFFFF"/>
            <w:noWrap/>
            <w:vAlign w:val="bottom"/>
            <w:hideMark/>
          </w:tcPr>
          <w:p w14:paraId="139550C3"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27.3%</w:t>
            </w:r>
          </w:p>
        </w:tc>
        <w:tc>
          <w:tcPr>
            <w:tcW w:w="960" w:type="dxa"/>
            <w:tcBorders>
              <w:top w:val="nil"/>
              <w:left w:val="nil"/>
              <w:bottom w:val="nil"/>
              <w:right w:val="nil"/>
            </w:tcBorders>
            <w:shd w:val="clear" w:color="000000" w:fill="FFFFFF"/>
            <w:noWrap/>
            <w:vAlign w:val="bottom"/>
            <w:hideMark/>
          </w:tcPr>
          <w:p w14:paraId="6248133E"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158</w:t>
            </w:r>
          </w:p>
        </w:tc>
        <w:tc>
          <w:tcPr>
            <w:tcW w:w="960" w:type="dxa"/>
            <w:tcBorders>
              <w:top w:val="nil"/>
              <w:left w:val="nil"/>
              <w:bottom w:val="nil"/>
              <w:right w:val="single" w:sz="4" w:space="0" w:color="auto"/>
            </w:tcBorders>
            <w:shd w:val="clear" w:color="000000" w:fill="FFFFFF"/>
            <w:noWrap/>
            <w:vAlign w:val="bottom"/>
            <w:hideMark/>
          </w:tcPr>
          <w:p w14:paraId="02171987"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25.2%</w:t>
            </w:r>
          </w:p>
        </w:tc>
      </w:tr>
      <w:tr w:rsidR="00892E51" w:rsidRPr="007E2527" w14:paraId="58463EFF" w14:textId="77777777" w:rsidTr="007D7122">
        <w:trPr>
          <w:trHeight w:val="315"/>
        </w:trPr>
        <w:tc>
          <w:tcPr>
            <w:tcW w:w="1984" w:type="dxa"/>
            <w:tcBorders>
              <w:top w:val="dotted" w:sz="4" w:space="0" w:color="auto"/>
              <w:left w:val="single" w:sz="4" w:space="0" w:color="auto"/>
              <w:bottom w:val="double" w:sz="6" w:space="0" w:color="auto"/>
              <w:right w:val="nil"/>
            </w:tcBorders>
            <w:shd w:val="clear" w:color="000000" w:fill="FFFFFF"/>
            <w:noWrap/>
            <w:vAlign w:val="bottom"/>
            <w:hideMark/>
          </w:tcPr>
          <w:p w14:paraId="32AF4F3B" w14:textId="77777777" w:rsidR="00892E51" w:rsidRPr="00892E51" w:rsidRDefault="00892E51" w:rsidP="00892E51">
            <w:pPr>
              <w:spacing w:after="0" w:line="240" w:lineRule="auto"/>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A7F69BF"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286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50879A9"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13027DA"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125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F75BFC4"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34ABFC9"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5AC45FB"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D057E5C"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598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6CD5089"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D976BB0"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627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50B298F"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r>
    </w:tbl>
    <w:p w14:paraId="79B84698" w14:textId="77777777" w:rsidR="00933184" w:rsidRPr="007E2527" w:rsidRDefault="00933184" w:rsidP="00933184">
      <w:pPr>
        <w:rPr>
          <w:rFonts w:asciiTheme="minorHAnsi" w:hAnsiTheme="minorHAnsi"/>
          <w:b/>
          <w:bCs/>
          <w:szCs w:val="22"/>
        </w:rPr>
      </w:pPr>
    </w:p>
    <w:tbl>
      <w:tblPr>
        <w:tblW w:w="9664" w:type="dxa"/>
        <w:tblLayout w:type="fixed"/>
        <w:tblLook w:val="04A0" w:firstRow="1" w:lastRow="0" w:firstColumn="1" w:lastColumn="0" w:noHBand="0" w:noVBand="1"/>
      </w:tblPr>
      <w:tblGrid>
        <w:gridCol w:w="1984"/>
        <w:gridCol w:w="960"/>
        <w:gridCol w:w="960"/>
        <w:gridCol w:w="960"/>
        <w:gridCol w:w="960"/>
        <w:gridCol w:w="960"/>
        <w:gridCol w:w="960"/>
        <w:gridCol w:w="960"/>
        <w:gridCol w:w="960"/>
      </w:tblGrid>
      <w:tr w:rsidR="00892E51" w:rsidRPr="00892E51" w14:paraId="06A03F74" w14:textId="77777777" w:rsidTr="007D7122">
        <w:trPr>
          <w:trHeight w:val="300"/>
        </w:trPr>
        <w:tc>
          <w:tcPr>
            <w:tcW w:w="1984" w:type="dxa"/>
            <w:tcBorders>
              <w:top w:val="single" w:sz="4" w:space="0" w:color="auto"/>
              <w:left w:val="single" w:sz="4" w:space="0" w:color="auto"/>
              <w:bottom w:val="nil"/>
              <w:right w:val="single" w:sz="4" w:space="0" w:color="auto"/>
            </w:tcBorders>
            <w:shd w:val="clear" w:color="000000" w:fill="FFFFFF"/>
            <w:noWrap/>
            <w:vAlign w:val="bottom"/>
            <w:hideMark/>
          </w:tcPr>
          <w:p w14:paraId="7C91C894" w14:textId="77777777" w:rsidR="00892E51" w:rsidRPr="00892E51" w:rsidRDefault="00892E51" w:rsidP="00892E51">
            <w:pPr>
              <w:spacing w:after="0" w:line="240" w:lineRule="auto"/>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nil"/>
            </w:tcBorders>
            <w:shd w:val="clear" w:color="000000" w:fill="FFFFFF"/>
            <w:noWrap/>
            <w:vAlign w:val="bottom"/>
            <w:hideMark/>
          </w:tcPr>
          <w:p w14:paraId="7FC8D9DC"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75AD61D"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52D506DA"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174BDC0" w14:textId="77777777" w:rsidR="00892E51" w:rsidRPr="00892E51" w:rsidRDefault="00892E51" w:rsidP="00892E5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Grade I</w:t>
            </w:r>
          </w:p>
        </w:tc>
      </w:tr>
      <w:tr w:rsidR="00892E51" w:rsidRPr="007E2527" w14:paraId="0BA17B55" w14:textId="77777777" w:rsidTr="007D7122">
        <w:trPr>
          <w:trHeight w:val="300"/>
        </w:trPr>
        <w:tc>
          <w:tcPr>
            <w:tcW w:w="1984" w:type="dxa"/>
            <w:tcBorders>
              <w:top w:val="nil"/>
              <w:left w:val="single" w:sz="4" w:space="0" w:color="auto"/>
              <w:bottom w:val="single" w:sz="4" w:space="0" w:color="auto"/>
              <w:right w:val="single" w:sz="4" w:space="0" w:color="auto"/>
            </w:tcBorders>
            <w:shd w:val="clear" w:color="000000" w:fill="FFFFFF"/>
            <w:noWrap/>
            <w:vAlign w:val="bottom"/>
            <w:hideMark/>
          </w:tcPr>
          <w:p w14:paraId="4CAEEA4E"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6D5F8FC5"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61B65D1"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41DB01B"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1F9E9F4"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B910FEE"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71CF295"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C92FECB"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E458238" w14:textId="77777777" w:rsidR="00892E51" w:rsidRPr="00892E51" w:rsidRDefault="00892E51" w:rsidP="00892E51">
            <w:pPr>
              <w:spacing w:after="0" w:line="240" w:lineRule="auto"/>
              <w:jc w:val="center"/>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w:t>
            </w:r>
          </w:p>
        </w:tc>
      </w:tr>
      <w:tr w:rsidR="00892E51" w:rsidRPr="007E2527" w14:paraId="4A46CD5F" w14:textId="77777777" w:rsidTr="007D7122">
        <w:trPr>
          <w:trHeight w:val="300"/>
        </w:trPr>
        <w:tc>
          <w:tcPr>
            <w:tcW w:w="1984" w:type="dxa"/>
            <w:tcBorders>
              <w:top w:val="nil"/>
              <w:left w:val="single" w:sz="4" w:space="0" w:color="auto"/>
              <w:bottom w:val="nil"/>
              <w:right w:val="single" w:sz="4" w:space="0" w:color="auto"/>
            </w:tcBorders>
            <w:shd w:val="clear" w:color="000000" w:fill="FFFFFF"/>
            <w:noWrap/>
            <w:vAlign w:val="bottom"/>
            <w:hideMark/>
          </w:tcPr>
          <w:p w14:paraId="4D052F50"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Religion and belief</w:t>
            </w:r>
          </w:p>
        </w:tc>
        <w:tc>
          <w:tcPr>
            <w:tcW w:w="960" w:type="dxa"/>
            <w:tcBorders>
              <w:top w:val="nil"/>
              <w:left w:val="single" w:sz="4" w:space="0" w:color="auto"/>
              <w:bottom w:val="nil"/>
              <w:right w:val="nil"/>
            </w:tcBorders>
            <w:shd w:val="clear" w:color="000000" w:fill="FFFFFF"/>
            <w:noWrap/>
            <w:vAlign w:val="bottom"/>
            <w:hideMark/>
          </w:tcPr>
          <w:p w14:paraId="5AF4FC2F"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244</w:t>
            </w:r>
          </w:p>
        </w:tc>
        <w:tc>
          <w:tcPr>
            <w:tcW w:w="960" w:type="dxa"/>
            <w:tcBorders>
              <w:top w:val="nil"/>
              <w:left w:val="nil"/>
              <w:bottom w:val="nil"/>
              <w:right w:val="single" w:sz="4" w:space="0" w:color="auto"/>
            </w:tcBorders>
            <w:shd w:val="clear" w:color="000000" w:fill="FFFFFF"/>
            <w:noWrap/>
            <w:vAlign w:val="bottom"/>
            <w:hideMark/>
          </w:tcPr>
          <w:p w14:paraId="037B750A"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29.5%</w:t>
            </w:r>
          </w:p>
        </w:tc>
        <w:tc>
          <w:tcPr>
            <w:tcW w:w="960" w:type="dxa"/>
            <w:tcBorders>
              <w:top w:val="nil"/>
              <w:left w:val="nil"/>
              <w:bottom w:val="nil"/>
              <w:right w:val="nil"/>
            </w:tcBorders>
            <w:shd w:val="clear" w:color="000000" w:fill="FFFFFF"/>
            <w:noWrap/>
            <w:vAlign w:val="bottom"/>
            <w:hideMark/>
          </w:tcPr>
          <w:p w14:paraId="3245AB91"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113</w:t>
            </w:r>
          </w:p>
        </w:tc>
        <w:tc>
          <w:tcPr>
            <w:tcW w:w="960" w:type="dxa"/>
            <w:tcBorders>
              <w:top w:val="nil"/>
              <w:left w:val="nil"/>
              <w:bottom w:val="nil"/>
              <w:right w:val="single" w:sz="4" w:space="0" w:color="auto"/>
            </w:tcBorders>
            <w:shd w:val="clear" w:color="000000" w:fill="FFFFFF"/>
            <w:noWrap/>
            <w:vAlign w:val="bottom"/>
            <w:hideMark/>
          </w:tcPr>
          <w:p w14:paraId="35D3B696"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29.1%</w:t>
            </w:r>
          </w:p>
        </w:tc>
        <w:tc>
          <w:tcPr>
            <w:tcW w:w="960" w:type="dxa"/>
            <w:tcBorders>
              <w:top w:val="nil"/>
              <w:left w:val="nil"/>
              <w:bottom w:val="nil"/>
              <w:right w:val="nil"/>
            </w:tcBorders>
            <w:shd w:val="clear" w:color="000000" w:fill="FFFFFF"/>
            <w:noWrap/>
            <w:vAlign w:val="bottom"/>
            <w:hideMark/>
          </w:tcPr>
          <w:p w14:paraId="16107B53"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single" w:sz="4" w:space="0" w:color="auto"/>
            </w:tcBorders>
            <w:shd w:val="clear" w:color="000000" w:fill="FFFFFF"/>
            <w:noWrap/>
            <w:vAlign w:val="bottom"/>
            <w:hideMark/>
          </w:tcPr>
          <w:p w14:paraId="1157E909"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22.1%</w:t>
            </w:r>
          </w:p>
        </w:tc>
        <w:tc>
          <w:tcPr>
            <w:tcW w:w="960" w:type="dxa"/>
            <w:tcBorders>
              <w:top w:val="nil"/>
              <w:left w:val="nil"/>
              <w:bottom w:val="nil"/>
              <w:right w:val="nil"/>
            </w:tcBorders>
            <w:shd w:val="clear" w:color="000000" w:fill="FFFFFF"/>
            <w:noWrap/>
            <w:vAlign w:val="bottom"/>
            <w:hideMark/>
          </w:tcPr>
          <w:p w14:paraId="7493B57D"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7</w:t>
            </w:r>
          </w:p>
        </w:tc>
        <w:tc>
          <w:tcPr>
            <w:tcW w:w="960" w:type="dxa"/>
            <w:tcBorders>
              <w:top w:val="nil"/>
              <w:left w:val="nil"/>
              <w:bottom w:val="nil"/>
              <w:right w:val="single" w:sz="4" w:space="0" w:color="auto"/>
            </w:tcBorders>
            <w:shd w:val="clear" w:color="000000" w:fill="FFFFFF"/>
            <w:noWrap/>
            <w:vAlign w:val="bottom"/>
            <w:hideMark/>
          </w:tcPr>
          <w:p w14:paraId="61A67797"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14.3%</w:t>
            </w:r>
          </w:p>
        </w:tc>
      </w:tr>
      <w:tr w:rsidR="00892E51" w:rsidRPr="007E2527" w14:paraId="752DA4C8" w14:textId="77777777" w:rsidTr="007D7122">
        <w:trPr>
          <w:trHeight w:val="300"/>
        </w:trPr>
        <w:tc>
          <w:tcPr>
            <w:tcW w:w="1984" w:type="dxa"/>
            <w:tcBorders>
              <w:top w:val="nil"/>
              <w:left w:val="single" w:sz="4" w:space="0" w:color="auto"/>
              <w:bottom w:val="nil"/>
              <w:right w:val="single" w:sz="4" w:space="0" w:color="auto"/>
            </w:tcBorders>
            <w:shd w:val="clear" w:color="000000" w:fill="FFFFFF"/>
            <w:noWrap/>
            <w:vAlign w:val="bottom"/>
            <w:hideMark/>
          </w:tcPr>
          <w:p w14:paraId="19419679"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No religion</w:t>
            </w:r>
          </w:p>
        </w:tc>
        <w:tc>
          <w:tcPr>
            <w:tcW w:w="960" w:type="dxa"/>
            <w:tcBorders>
              <w:top w:val="nil"/>
              <w:left w:val="single" w:sz="4" w:space="0" w:color="auto"/>
              <w:bottom w:val="nil"/>
              <w:right w:val="nil"/>
            </w:tcBorders>
            <w:shd w:val="clear" w:color="000000" w:fill="FFFFFF"/>
            <w:noWrap/>
            <w:vAlign w:val="bottom"/>
            <w:hideMark/>
          </w:tcPr>
          <w:p w14:paraId="04365516"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392</w:t>
            </w:r>
          </w:p>
        </w:tc>
        <w:tc>
          <w:tcPr>
            <w:tcW w:w="960" w:type="dxa"/>
            <w:tcBorders>
              <w:top w:val="nil"/>
              <w:left w:val="nil"/>
              <w:bottom w:val="nil"/>
              <w:right w:val="single" w:sz="4" w:space="0" w:color="auto"/>
            </w:tcBorders>
            <w:shd w:val="clear" w:color="000000" w:fill="FFFFFF"/>
            <w:noWrap/>
            <w:vAlign w:val="bottom"/>
            <w:hideMark/>
          </w:tcPr>
          <w:p w14:paraId="336AD827"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47.3%</w:t>
            </w:r>
          </w:p>
        </w:tc>
        <w:tc>
          <w:tcPr>
            <w:tcW w:w="960" w:type="dxa"/>
            <w:tcBorders>
              <w:top w:val="nil"/>
              <w:left w:val="nil"/>
              <w:bottom w:val="nil"/>
              <w:right w:val="nil"/>
            </w:tcBorders>
            <w:shd w:val="clear" w:color="000000" w:fill="FFFFFF"/>
            <w:noWrap/>
            <w:vAlign w:val="bottom"/>
            <w:hideMark/>
          </w:tcPr>
          <w:p w14:paraId="24F31B9F"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187</w:t>
            </w:r>
          </w:p>
        </w:tc>
        <w:tc>
          <w:tcPr>
            <w:tcW w:w="960" w:type="dxa"/>
            <w:tcBorders>
              <w:top w:val="nil"/>
              <w:left w:val="nil"/>
              <w:bottom w:val="nil"/>
              <w:right w:val="single" w:sz="4" w:space="0" w:color="auto"/>
            </w:tcBorders>
            <w:shd w:val="clear" w:color="000000" w:fill="FFFFFF"/>
            <w:noWrap/>
            <w:vAlign w:val="bottom"/>
            <w:hideMark/>
          </w:tcPr>
          <w:p w14:paraId="1D77793B"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48.2%</w:t>
            </w:r>
          </w:p>
        </w:tc>
        <w:tc>
          <w:tcPr>
            <w:tcW w:w="960" w:type="dxa"/>
            <w:tcBorders>
              <w:top w:val="nil"/>
              <w:left w:val="nil"/>
              <w:bottom w:val="nil"/>
              <w:right w:val="nil"/>
            </w:tcBorders>
            <w:shd w:val="clear" w:color="000000" w:fill="FFFFFF"/>
            <w:noWrap/>
            <w:vAlign w:val="bottom"/>
            <w:hideMark/>
          </w:tcPr>
          <w:p w14:paraId="0B729771"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single" w:sz="4" w:space="0" w:color="auto"/>
            </w:tcBorders>
            <w:shd w:val="clear" w:color="000000" w:fill="FFFFFF"/>
            <w:noWrap/>
            <w:vAlign w:val="bottom"/>
            <w:hideMark/>
          </w:tcPr>
          <w:p w14:paraId="462876B5"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49.5%</w:t>
            </w:r>
          </w:p>
        </w:tc>
        <w:tc>
          <w:tcPr>
            <w:tcW w:w="960" w:type="dxa"/>
            <w:tcBorders>
              <w:top w:val="nil"/>
              <w:left w:val="nil"/>
              <w:bottom w:val="nil"/>
              <w:right w:val="nil"/>
            </w:tcBorders>
            <w:shd w:val="clear" w:color="000000" w:fill="FFFFFF"/>
            <w:noWrap/>
            <w:vAlign w:val="bottom"/>
            <w:hideMark/>
          </w:tcPr>
          <w:p w14:paraId="195EE17C"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31</w:t>
            </w:r>
          </w:p>
        </w:tc>
        <w:tc>
          <w:tcPr>
            <w:tcW w:w="960" w:type="dxa"/>
            <w:tcBorders>
              <w:top w:val="nil"/>
              <w:left w:val="nil"/>
              <w:bottom w:val="nil"/>
              <w:right w:val="single" w:sz="4" w:space="0" w:color="auto"/>
            </w:tcBorders>
            <w:shd w:val="clear" w:color="000000" w:fill="FFFFFF"/>
            <w:noWrap/>
            <w:vAlign w:val="bottom"/>
            <w:hideMark/>
          </w:tcPr>
          <w:p w14:paraId="67FD22D1"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63.3%</w:t>
            </w:r>
          </w:p>
        </w:tc>
      </w:tr>
      <w:tr w:rsidR="00892E51" w:rsidRPr="007E2527" w14:paraId="7226F7FC" w14:textId="77777777" w:rsidTr="007D7122">
        <w:trPr>
          <w:trHeight w:val="300"/>
        </w:trPr>
        <w:tc>
          <w:tcPr>
            <w:tcW w:w="1984" w:type="dxa"/>
            <w:tcBorders>
              <w:top w:val="nil"/>
              <w:left w:val="single" w:sz="4" w:space="0" w:color="auto"/>
              <w:bottom w:val="nil"/>
              <w:right w:val="single" w:sz="4" w:space="0" w:color="auto"/>
            </w:tcBorders>
            <w:shd w:val="clear" w:color="000000" w:fill="FFFFFF"/>
            <w:noWrap/>
            <w:vAlign w:val="bottom"/>
            <w:hideMark/>
          </w:tcPr>
          <w:p w14:paraId="73178C55" w14:textId="77777777" w:rsidR="00892E51" w:rsidRPr="00892E51" w:rsidRDefault="00892E51" w:rsidP="00892E51">
            <w:pPr>
              <w:spacing w:after="0" w:line="240" w:lineRule="auto"/>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96F867F"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192</w:t>
            </w:r>
          </w:p>
        </w:tc>
        <w:tc>
          <w:tcPr>
            <w:tcW w:w="960" w:type="dxa"/>
            <w:tcBorders>
              <w:top w:val="nil"/>
              <w:left w:val="nil"/>
              <w:bottom w:val="nil"/>
              <w:right w:val="single" w:sz="4" w:space="0" w:color="auto"/>
            </w:tcBorders>
            <w:shd w:val="clear" w:color="000000" w:fill="FFFFFF"/>
            <w:noWrap/>
            <w:vAlign w:val="bottom"/>
            <w:hideMark/>
          </w:tcPr>
          <w:p w14:paraId="7687AC72"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23.2%</w:t>
            </w:r>
          </w:p>
        </w:tc>
        <w:tc>
          <w:tcPr>
            <w:tcW w:w="960" w:type="dxa"/>
            <w:tcBorders>
              <w:top w:val="nil"/>
              <w:left w:val="nil"/>
              <w:bottom w:val="nil"/>
              <w:right w:val="nil"/>
            </w:tcBorders>
            <w:shd w:val="clear" w:color="000000" w:fill="FFFFFF"/>
            <w:noWrap/>
            <w:vAlign w:val="bottom"/>
            <w:hideMark/>
          </w:tcPr>
          <w:p w14:paraId="4DEF8A59"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88</w:t>
            </w:r>
          </w:p>
        </w:tc>
        <w:tc>
          <w:tcPr>
            <w:tcW w:w="960" w:type="dxa"/>
            <w:tcBorders>
              <w:top w:val="nil"/>
              <w:left w:val="nil"/>
              <w:bottom w:val="nil"/>
              <w:right w:val="single" w:sz="4" w:space="0" w:color="auto"/>
            </w:tcBorders>
            <w:shd w:val="clear" w:color="000000" w:fill="FFFFFF"/>
            <w:noWrap/>
            <w:vAlign w:val="bottom"/>
            <w:hideMark/>
          </w:tcPr>
          <w:p w14:paraId="799B58C3"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22.7%</w:t>
            </w:r>
          </w:p>
        </w:tc>
        <w:tc>
          <w:tcPr>
            <w:tcW w:w="960" w:type="dxa"/>
            <w:tcBorders>
              <w:top w:val="nil"/>
              <w:left w:val="nil"/>
              <w:bottom w:val="nil"/>
              <w:right w:val="nil"/>
            </w:tcBorders>
            <w:shd w:val="clear" w:color="000000" w:fill="FFFFFF"/>
            <w:noWrap/>
            <w:vAlign w:val="bottom"/>
            <w:hideMark/>
          </w:tcPr>
          <w:p w14:paraId="57A92846"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27</w:t>
            </w:r>
          </w:p>
        </w:tc>
        <w:tc>
          <w:tcPr>
            <w:tcW w:w="960" w:type="dxa"/>
            <w:tcBorders>
              <w:top w:val="nil"/>
              <w:left w:val="nil"/>
              <w:bottom w:val="nil"/>
              <w:right w:val="single" w:sz="4" w:space="0" w:color="auto"/>
            </w:tcBorders>
            <w:shd w:val="clear" w:color="000000" w:fill="FFFFFF"/>
            <w:noWrap/>
            <w:vAlign w:val="bottom"/>
            <w:hideMark/>
          </w:tcPr>
          <w:p w14:paraId="0F7AF3F4"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28.4%</w:t>
            </w:r>
          </w:p>
        </w:tc>
        <w:tc>
          <w:tcPr>
            <w:tcW w:w="960" w:type="dxa"/>
            <w:tcBorders>
              <w:top w:val="nil"/>
              <w:left w:val="nil"/>
              <w:bottom w:val="nil"/>
              <w:right w:val="nil"/>
            </w:tcBorders>
            <w:shd w:val="clear" w:color="000000" w:fill="FFFFFF"/>
            <w:noWrap/>
            <w:vAlign w:val="bottom"/>
            <w:hideMark/>
          </w:tcPr>
          <w:p w14:paraId="7AED880B"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single" w:sz="4" w:space="0" w:color="auto"/>
            </w:tcBorders>
            <w:shd w:val="clear" w:color="000000" w:fill="FFFFFF"/>
            <w:noWrap/>
            <w:vAlign w:val="bottom"/>
            <w:hideMark/>
          </w:tcPr>
          <w:p w14:paraId="0588F4E0" w14:textId="77777777" w:rsidR="00892E51" w:rsidRPr="00892E51" w:rsidRDefault="00892E51" w:rsidP="00892E51">
            <w:pPr>
              <w:spacing w:after="0" w:line="240" w:lineRule="auto"/>
              <w:jc w:val="right"/>
              <w:rPr>
                <w:rFonts w:asciiTheme="minorHAnsi" w:eastAsia="Times New Roman" w:hAnsiTheme="minorHAnsi" w:cs="Times New Roman"/>
                <w:color w:val="000000"/>
                <w:kern w:val="0"/>
                <w:szCs w:val="22"/>
                <w:lang w:eastAsia="en-GB"/>
                <w14:ligatures w14:val="none"/>
              </w:rPr>
            </w:pPr>
            <w:r w:rsidRPr="00892E51">
              <w:rPr>
                <w:rFonts w:asciiTheme="minorHAnsi" w:eastAsia="Times New Roman" w:hAnsiTheme="minorHAnsi" w:cs="Times New Roman"/>
                <w:color w:val="000000"/>
                <w:kern w:val="0"/>
                <w:szCs w:val="22"/>
                <w:lang w:eastAsia="en-GB"/>
                <w14:ligatures w14:val="none"/>
              </w:rPr>
              <w:t>22.4%</w:t>
            </w:r>
          </w:p>
        </w:tc>
      </w:tr>
      <w:tr w:rsidR="00892E51" w:rsidRPr="007E2527" w14:paraId="2393F57E" w14:textId="77777777" w:rsidTr="007D7122">
        <w:trPr>
          <w:trHeight w:val="315"/>
        </w:trPr>
        <w:tc>
          <w:tcPr>
            <w:tcW w:w="1984"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5C046ABE" w14:textId="77777777" w:rsidR="00892E51" w:rsidRPr="00892E51" w:rsidRDefault="00892E51" w:rsidP="00892E51">
            <w:pPr>
              <w:spacing w:after="0" w:line="240" w:lineRule="auto"/>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307FDFF4"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828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4BF60D1"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CF20F37"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388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D3E69ED"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E7284BC"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A5AFFC1"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01278B1"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49</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FACCF27" w14:textId="77777777" w:rsidR="00892E51" w:rsidRPr="00892E51" w:rsidRDefault="00892E51" w:rsidP="00892E5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892E51">
              <w:rPr>
                <w:rFonts w:asciiTheme="minorHAnsi" w:eastAsia="Times New Roman" w:hAnsiTheme="minorHAnsi" w:cs="Times New Roman"/>
                <w:b/>
                <w:bCs/>
                <w:color w:val="000000"/>
                <w:kern w:val="0"/>
                <w:szCs w:val="22"/>
                <w:lang w:eastAsia="en-GB"/>
                <w14:ligatures w14:val="none"/>
              </w:rPr>
              <w:t>100%</w:t>
            </w:r>
          </w:p>
        </w:tc>
      </w:tr>
    </w:tbl>
    <w:p w14:paraId="3508CC98" w14:textId="77777777" w:rsidR="00892E51" w:rsidRPr="007E2527" w:rsidRDefault="00892E51" w:rsidP="00933184">
      <w:pPr>
        <w:rPr>
          <w:rFonts w:asciiTheme="minorHAnsi" w:hAnsiTheme="minorHAnsi"/>
          <w:b/>
          <w:bCs/>
          <w:szCs w:val="22"/>
        </w:rPr>
      </w:pPr>
    </w:p>
    <w:p w14:paraId="04A096DB" w14:textId="77777777" w:rsidR="00D80070" w:rsidRPr="007E2527" w:rsidRDefault="00D80070" w:rsidP="00F117BE">
      <w:pPr>
        <w:rPr>
          <w:rFonts w:asciiTheme="minorHAnsi" w:hAnsiTheme="minorHAnsi"/>
          <w:b/>
          <w:bCs/>
          <w:szCs w:val="22"/>
        </w:rPr>
      </w:pPr>
    </w:p>
    <w:p w14:paraId="56F86424" w14:textId="77777777" w:rsidR="00D80070" w:rsidRDefault="00D80070" w:rsidP="00F117BE">
      <w:pPr>
        <w:rPr>
          <w:rFonts w:asciiTheme="minorHAnsi" w:hAnsiTheme="minorHAnsi"/>
          <w:b/>
          <w:bCs/>
          <w:szCs w:val="22"/>
        </w:rPr>
      </w:pPr>
    </w:p>
    <w:p w14:paraId="6AE7BF9C" w14:textId="77777777" w:rsidR="007D7122" w:rsidRDefault="007D7122" w:rsidP="00F117BE">
      <w:pPr>
        <w:rPr>
          <w:rFonts w:asciiTheme="minorHAnsi" w:hAnsiTheme="minorHAnsi"/>
          <w:b/>
          <w:bCs/>
          <w:szCs w:val="22"/>
        </w:rPr>
      </w:pPr>
    </w:p>
    <w:p w14:paraId="6507EC6E" w14:textId="77777777" w:rsidR="007D7122" w:rsidRDefault="007D7122" w:rsidP="00F117BE">
      <w:pPr>
        <w:rPr>
          <w:rFonts w:asciiTheme="minorHAnsi" w:hAnsiTheme="minorHAnsi"/>
          <w:b/>
          <w:bCs/>
          <w:szCs w:val="22"/>
        </w:rPr>
      </w:pPr>
    </w:p>
    <w:p w14:paraId="12C2B62B" w14:textId="77777777" w:rsidR="007D7122" w:rsidRDefault="007D7122" w:rsidP="00F117BE">
      <w:pPr>
        <w:rPr>
          <w:rFonts w:asciiTheme="minorHAnsi" w:hAnsiTheme="minorHAnsi"/>
          <w:b/>
          <w:bCs/>
          <w:szCs w:val="22"/>
        </w:rPr>
      </w:pPr>
    </w:p>
    <w:p w14:paraId="1131802F" w14:textId="77777777" w:rsidR="007D7122" w:rsidRDefault="007D7122" w:rsidP="00F117BE">
      <w:pPr>
        <w:rPr>
          <w:rFonts w:asciiTheme="minorHAnsi" w:hAnsiTheme="minorHAnsi"/>
          <w:b/>
          <w:bCs/>
          <w:szCs w:val="22"/>
        </w:rPr>
      </w:pPr>
    </w:p>
    <w:p w14:paraId="6B8BF122" w14:textId="77777777" w:rsidR="007D7122" w:rsidRDefault="007D7122" w:rsidP="00F117BE">
      <w:pPr>
        <w:rPr>
          <w:rFonts w:asciiTheme="minorHAnsi" w:hAnsiTheme="minorHAnsi"/>
          <w:b/>
          <w:bCs/>
          <w:szCs w:val="22"/>
        </w:rPr>
      </w:pPr>
    </w:p>
    <w:p w14:paraId="2E716899" w14:textId="77777777" w:rsidR="007D7122" w:rsidRPr="007E2527" w:rsidRDefault="007D7122" w:rsidP="00F117BE">
      <w:pPr>
        <w:rPr>
          <w:rFonts w:asciiTheme="minorHAnsi" w:hAnsiTheme="minorHAnsi"/>
          <w:b/>
          <w:bCs/>
          <w:szCs w:val="22"/>
        </w:rPr>
      </w:pPr>
    </w:p>
    <w:p w14:paraId="3B6C6D8B" w14:textId="7349B13C" w:rsidR="00754F0B" w:rsidRPr="007D7122" w:rsidRDefault="00754F0B" w:rsidP="00754F0B">
      <w:pPr>
        <w:pStyle w:val="ListParagraph"/>
        <w:numPr>
          <w:ilvl w:val="1"/>
          <w:numId w:val="11"/>
        </w:numPr>
        <w:rPr>
          <w:rFonts w:asciiTheme="minorHAnsi" w:hAnsiTheme="minorHAnsi"/>
          <w:color w:val="0B769F" w:themeColor="accent4" w:themeShade="BF"/>
          <w:sz w:val="28"/>
          <w:szCs w:val="28"/>
        </w:rPr>
      </w:pPr>
      <w:r w:rsidRPr="007D7122">
        <w:rPr>
          <w:rFonts w:asciiTheme="minorHAnsi" w:hAnsiTheme="minorHAnsi"/>
          <w:color w:val="0B769F" w:themeColor="accent4" w:themeShade="BF"/>
          <w:sz w:val="28"/>
          <w:szCs w:val="28"/>
        </w:rPr>
        <w:lastRenderedPageBreak/>
        <w:t>Sex</w:t>
      </w:r>
    </w:p>
    <w:p w14:paraId="2E83F090" w14:textId="77777777" w:rsidR="00D80070" w:rsidRPr="007E2527" w:rsidRDefault="00D80070" w:rsidP="00D80070">
      <w:pPr>
        <w:pStyle w:val="ListParagraph"/>
        <w:rPr>
          <w:rFonts w:asciiTheme="minorHAnsi" w:hAnsiTheme="minorHAnsi"/>
          <w:color w:val="0B769F" w:themeColor="accent4" w:themeShade="BF"/>
          <w:szCs w:val="22"/>
        </w:rPr>
      </w:pPr>
    </w:p>
    <w:p w14:paraId="49B33FD8" w14:textId="3D7C84C0" w:rsidR="00754F0B" w:rsidRPr="007E2527" w:rsidRDefault="00C23DA4" w:rsidP="00754F0B">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sex over time, 2019-2025</w:t>
      </w:r>
    </w:p>
    <w:tbl>
      <w:tblPr>
        <w:tblW w:w="12204" w:type="dxa"/>
        <w:tblLayout w:type="fixed"/>
        <w:tblLook w:val="04A0" w:firstRow="1" w:lastRow="0" w:firstColumn="1" w:lastColumn="0" w:noHBand="0" w:noVBand="1"/>
      </w:tblPr>
      <w:tblGrid>
        <w:gridCol w:w="1644"/>
        <w:gridCol w:w="960"/>
        <w:gridCol w:w="960"/>
        <w:gridCol w:w="960"/>
        <w:gridCol w:w="960"/>
        <w:gridCol w:w="960"/>
        <w:gridCol w:w="960"/>
        <w:gridCol w:w="960"/>
        <w:gridCol w:w="960"/>
        <w:gridCol w:w="960"/>
        <w:gridCol w:w="960"/>
        <w:gridCol w:w="960"/>
      </w:tblGrid>
      <w:tr w:rsidR="00AD5F60" w:rsidRPr="00AD5F60" w14:paraId="6D4CDF0A" w14:textId="77777777" w:rsidTr="003420A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5F7CDECC"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547C2A99"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2019</w:t>
            </w:r>
          </w:p>
        </w:tc>
        <w:tc>
          <w:tcPr>
            <w:tcW w:w="960" w:type="dxa"/>
            <w:tcBorders>
              <w:top w:val="single" w:sz="4" w:space="0" w:color="auto"/>
              <w:left w:val="nil"/>
              <w:bottom w:val="nil"/>
              <w:right w:val="nil"/>
            </w:tcBorders>
            <w:shd w:val="clear" w:color="000000" w:fill="FFFFFF"/>
            <w:noWrap/>
            <w:vAlign w:val="bottom"/>
            <w:hideMark/>
          </w:tcPr>
          <w:p w14:paraId="3A7B1E67"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2020</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204A21B2"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6FB800E"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96C837D"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2FD0331"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F702BCA"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2025</w:t>
            </w:r>
          </w:p>
        </w:tc>
      </w:tr>
      <w:tr w:rsidR="00AD5F60" w:rsidRPr="007E2527" w14:paraId="214AB826" w14:textId="77777777" w:rsidTr="003420A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391569BC"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58628BE"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6D5B387"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F5505DA"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BCE64CC"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07FDAF78"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2A413B67"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390A9B9"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FCBE6BC"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C5FB3E8"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E859DA1"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6FCF4DE"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r>
      <w:tr w:rsidR="00AD5F60" w:rsidRPr="007E2527" w14:paraId="3994E13C"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4A8758EE"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single" w:sz="4" w:space="0" w:color="auto"/>
            </w:tcBorders>
            <w:shd w:val="clear" w:color="000000" w:fill="FFFFFF"/>
            <w:noWrap/>
            <w:vAlign w:val="bottom"/>
            <w:hideMark/>
          </w:tcPr>
          <w:p w14:paraId="456B751B"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54.1%</w:t>
            </w:r>
          </w:p>
        </w:tc>
        <w:tc>
          <w:tcPr>
            <w:tcW w:w="960" w:type="dxa"/>
            <w:tcBorders>
              <w:top w:val="nil"/>
              <w:left w:val="nil"/>
              <w:bottom w:val="nil"/>
              <w:right w:val="nil"/>
            </w:tcBorders>
            <w:shd w:val="clear" w:color="000000" w:fill="FFFFFF"/>
            <w:noWrap/>
            <w:vAlign w:val="bottom"/>
            <w:hideMark/>
          </w:tcPr>
          <w:p w14:paraId="4678740F"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54.8%</w:t>
            </w:r>
          </w:p>
        </w:tc>
        <w:tc>
          <w:tcPr>
            <w:tcW w:w="960" w:type="dxa"/>
            <w:tcBorders>
              <w:top w:val="nil"/>
              <w:left w:val="single" w:sz="4" w:space="0" w:color="auto"/>
              <w:bottom w:val="nil"/>
              <w:right w:val="single" w:sz="4" w:space="0" w:color="auto"/>
            </w:tcBorders>
            <w:shd w:val="clear" w:color="000000" w:fill="FFFFFF"/>
            <w:noWrap/>
            <w:vAlign w:val="bottom"/>
            <w:hideMark/>
          </w:tcPr>
          <w:p w14:paraId="160948D5"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55.2%</w:t>
            </w:r>
          </w:p>
        </w:tc>
        <w:tc>
          <w:tcPr>
            <w:tcW w:w="960" w:type="dxa"/>
            <w:tcBorders>
              <w:top w:val="nil"/>
              <w:left w:val="nil"/>
              <w:bottom w:val="nil"/>
              <w:right w:val="nil"/>
            </w:tcBorders>
            <w:shd w:val="clear" w:color="000000" w:fill="FFFFFF"/>
            <w:noWrap/>
            <w:vAlign w:val="bottom"/>
            <w:hideMark/>
          </w:tcPr>
          <w:p w14:paraId="7D3BBDA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3579</w:t>
            </w:r>
          </w:p>
        </w:tc>
        <w:tc>
          <w:tcPr>
            <w:tcW w:w="960" w:type="dxa"/>
            <w:tcBorders>
              <w:top w:val="nil"/>
              <w:left w:val="nil"/>
              <w:bottom w:val="nil"/>
              <w:right w:val="nil"/>
            </w:tcBorders>
            <w:shd w:val="clear" w:color="000000" w:fill="FFFFFF"/>
            <w:noWrap/>
            <w:vAlign w:val="bottom"/>
            <w:hideMark/>
          </w:tcPr>
          <w:p w14:paraId="77E70122"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55.8%</w:t>
            </w:r>
          </w:p>
        </w:tc>
        <w:tc>
          <w:tcPr>
            <w:tcW w:w="960" w:type="dxa"/>
            <w:tcBorders>
              <w:top w:val="nil"/>
              <w:left w:val="single" w:sz="4" w:space="0" w:color="auto"/>
              <w:bottom w:val="nil"/>
              <w:right w:val="nil"/>
            </w:tcBorders>
            <w:shd w:val="clear" w:color="000000" w:fill="FFFFFF"/>
            <w:noWrap/>
            <w:vAlign w:val="bottom"/>
            <w:hideMark/>
          </w:tcPr>
          <w:p w14:paraId="74237D58"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3551</w:t>
            </w:r>
          </w:p>
        </w:tc>
        <w:tc>
          <w:tcPr>
            <w:tcW w:w="960" w:type="dxa"/>
            <w:tcBorders>
              <w:top w:val="nil"/>
              <w:left w:val="nil"/>
              <w:bottom w:val="nil"/>
              <w:right w:val="single" w:sz="4" w:space="0" w:color="auto"/>
            </w:tcBorders>
            <w:shd w:val="clear" w:color="000000" w:fill="FFFFFF"/>
            <w:noWrap/>
            <w:vAlign w:val="bottom"/>
            <w:hideMark/>
          </w:tcPr>
          <w:p w14:paraId="108C8CE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55.5%</w:t>
            </w:r>
          </w:p>
        </w:tc>
        <w:tc>
          <w:tcPr>
            <w:tcW w:w="960" w:type="dxa"/>
            <w:tcBorders>
              <w:top w:val="nil"/>
              <w:left w:val="nil"/>
              <w:bottom w:val="nil"/>
              <w:right w:val="nil"/>
            </w:tcBorders>
            <w:shd w:val="clear" w:color="000000" w:fill="FFFFFF"/>
            <w:noWrap/>
            <w:vAlign w:val="bottom"/>
            <w:hideMark/>
          </w:tcPr>
          <w:p w14:paraId="7B0593F0"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3643</w:t>
            </w:r>
          </w:p>
        </w:tc>
        <w:tc>
          <w:tcPr>
            <w:tcW w:w="960" w:type="dxa"/>
            <w:tcBorders>
              <w:top w:val="nil"/>
              <w:left w:val="nil"/>
              <w:bottom w:val="nil"/>
              <w:right w:val="single" w:sz="4" w:space="0" w:color="auto"/>
            </w:tcBorders>
            <w:shd w:val="clear" w:color="000000" w:fill="FFFFFF"/>
            <w:noWrap/>
            <w:vAlign w:val="bottom"/>
            <w:hideMark/>
          </w:tcPr>
          <w:p w14:paraId="2009563A"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55.4%</w:t>
            </w:r>
          </w:p>
        </w:tc>
        <w:tc>
          <w:tcPr>
            <w:tcW w:w="960" w:type="dxa"/>
            <w:tcBorders>
              <w:top w:val="nil"/>
              <w:left w:val="nil"/>
              <w:bottom w:val="nil"/>
              <w:right w:val="nil"/>
            </w:tcBorders>
            <w:shd w:val="clear" w:color="000000" w:fill="FFFFFF"/>
            <w:noWrap/>
            <w:vAlign w:val="bottom"/>
            <w:hideMark/>
          </w:tcPr>
          <w:p w14:paraId="213DA240"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3438</w:t>
            </w:r>
          </w:p>
        </w:tc>
        <w:tc>
          <w:tcPr>
            <w:tcW w:w="960" w:type="dxa"/>
            <w:tcBorders>
              <w:top w:val="nil"/>
              <w:left w:val="nil"/>
              <w:bottom w:val="nil"/>
              <w:right w:val="single" w:sz="4" w:space="0" w:color="auto"/>
            </w:tcBorders>
            <w:shd w:val="clear" w:color="000000" w:fill="FFFFFF"/>
            <w:noWrap/>
            <w:vAlign w:val="bottom"/>
            <w:hideMark/>
          </w:tcPr>
          <w:p w14:paraId="5486270C"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55.1%</w:t>
            </w:r>
          </w:p>
        </w:tc>
      </w:tr>
      <w:tr w:rsidR="00AD5F60" w:rsidRPr="007E2527" w14:paraId="21CA76D8"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1F918787"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single" w:sz="4" w:space="0" w:color="auto"/>
            </w:tcBorders>
            <w:shd w:val="clear" w:color="000000" w:fill="FFFFFF"/>
            <w:noWrap/>
            <w:vAlign w:val="bottom"/>
            <w:hideMark/>
          </w:tcPr>
          <w:p w14:paraId="2D08F985"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45.9%</w:t>
            </w:r>
          </w:p>
        </w:tc>
        <w:tc>
          <w:tcPr>
            <w:tcW w:w="960" w:type="dxa"/>
            <w:tcBorders>
              <w:top w:val="nil"/>
              <w:left w:val="nil"/>
              <w:bottom w:val="nil"/>
              <w:right w:val="nil"/>
            </w:tcBorders>
            <w:shd w:val="clear" w:color="000000" w:fill="FFFFFF"/>
            <w:noWrap/>
            <w:vAlign w:val="bottom"/>
            <w:hideMark/>
          </w:tcPr>
          <w:p w14:paraId="4C5934FD"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45.2%</w:t>
            </w:r>
          </w:p>
        </w:tc>
        <w:tc>
          <w:tcPr>
            <w:tcW w:w="960" w:type="dxa"/>
            <w:tcBorders>
              <w:top w:val="nil"/>
              <w:left w:val="single" w:sz="4" w:space="0" w:color="auto"/>
              <w:bottom w:val="nil"/>
              <w:right w:val="single" w:sz="4" w:space="0" w:color="auto"/>
            </w:tcBorders>
            <w:shd w:val="clear" w:color="000000" w:fill="FFFFFF"/>
            <w:noWrap/>
            <w:vAlign w:val="bottom"/>
            <w:hideMark/>
          </w:tcPr>
          <w:p w14:paraId="1552A74D"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44.8%</w:t>
            </w:r>
          </w:p>
        </w:tc>
        <w:tc>
          <w:tcPr>
            <w:tcW w:w="960" w:type="dxa"/>
            <w:tcBorders>
              <w:top w:val="nil"/>
              <w:left w:val="nil"/>
              <w:bottom w:val="nil"/>
              <w:right w:val="nil"/>
            </w:tcBorders>
            <w:shd w:val="clear" w:color="000000" w:fill="FFFFFF"/>
            <w:noWrap/>
            <w:vAlign w:val="bottom"/>
            <w:hideMark/>
          </w:tcPr>
          <w:p w14:paraId="1EE9033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2836</w:t>
            </w:r>
          </w:p>
        </w:tc>
        <w:tc>
          <w:tcPr>
            <w:tcW w:w="960" w:type="dxa"/>
            <w:tcBorders>
              <w:top w:val="nil"/>
              <w:left w:val="nil"/>
              <w:bottom w:val="nil"/>
              <w:right w:val="nil"/>
            </w:tcBorders>
            <w:shd w:val="clear" w:color="000000" w:fill="FFFFFF"/>
            <w:noWrap/>
            <w:vAlign w:val="bottom"/>
            <w:hideMark/>
          </w:tcPr>
          <w:p w14:paraId="6C2C8747"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44.2%</w:t>
            </w:r>
          </w:p>
        </w:tc>
        <w:tc>
          <w:tcPr>
            <w:tcW w:w="960" w:type="dxa"/>
            <w:tcBorders>
              <w:top w:val="nil"/>
              <w:left w:val="single" w:sz="4" w:space="0" w:color="auto"/>
              <w:bottom w:val="nil"/>
              <w:right w:val="nil"/>
            </w:tcBorders>
            <w:shd w:val="clear" w:color="000000" w:fill="FFFFFF"/>
            <w:noWrap/>
            <w:vAlign w:val="bottom"/>
            <w:hideMark/>
          </w:tcPr>
          <w:p w14:paraId="034EA12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2844</w:t>
            </w:r>
          </w:p>
        </w:tc>
        <w:tc>
          <w:tcPr>
            <w:tcW w:w="960" w:type="dxa"/>
            <w:tcBorders>
              <w:top w:val="nil"/>
              <w:left w:val="nil"/>
              <w:bottom w:val="nil"/>
              <w:right w:val="single" w:sz="4" w:space="0" w:color="auto"/>
            </w:tcBorders>
            <w:shd w:val="clear" w:color="000000" w:fill="FFFFFF"/>
            <w:noWrap/>
            <w:vAlign w:val="bottom"/>
            <w:hideMark/>
          </w:tcPr>
          <w:p w14:paraId="7A887661"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44.5%</w:t>
            </w:r>
          </w:p>
        </w:tc>
        <w:tc>
          <w:tcPr>
            <w:tcW w:w="960" w:type="dxa"/>
            <w:tcBorders>
              <w:top w:val="nil"/>
              <w:left w:val="nil"/>
              <w:bottom w:val="nil"/>
              <w:right w:val="nil"/>
            </w:tcBorders>
            <w:shd w:val="clear" w:color="000000" w:fill="FFFFFF"/>
            <w:noWrap/>
            <w:vAlign w:val="bottom"/>
            <w:hideMark/>
          </w:tcPr>
          <w:p w14:paraId="6032700F"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2931</w:t>
            </w:r>
          </w:p>
        </w:tc>
        <w:tc>
          <w:tcPr>
            <w:tcW w:w="960" w:type="dxa"/>
            <w:tcBorders>
              <w:top w:val="nil"/>
              <w:left w:val="nil"/>
              <w:bottom w:val="nil"/>
              <w:right w:val="single" w:sz="4" w:space="0" w:color="auto"/>
            </w:tcBorders>
            <w:shd w:val="clear" w:color="000000" w:fill="FFFFFF"/>
            <w:noWrap/>
            <w:vAlign w:val="bottom"/>
            <w:hideMark/>
          </w:tcPr>
          <w:p w14:paraId="0A01D3EF"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44.6%</w:t>
            </w:r>
          </w:p>
        </w:tc>
        <w:tc>
          <w:tcPr>
            <w:tcW w:w="960" w:type="dxa"/>
            <w:tcBorders>
              <w:top w:val="nil"/>
              <w:left w:val="nil"/>
              <w:bottom w:val="nil"/>
              <w:right w:val="nil"/>
            </w:tcBorders>
            <w:shd w:val="clear" w:color="000000" w:fill="FFFFFF"/>
            <w:noWrap/>
            <w:vAlign w:val="bottom"/>
            <w:hideMark/>
          </w:tcPr>
          <w:p w14:paraId="032C1B32"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2803</w:t>
            </w:r>
          </w:p>
        </w:tc>
        <w:tc>
          <w:tcPr>
            <w:tcW w:w="960" w:type="dxa"/>
            <w:tcBorders>
              <w:top w:val="nil"/>
              <w:left w:val="nil"/>
              <w:bottom w:val="nil"/>
              <w:right w:val="single" w:sz="4" w:space="0" w:color="auto"/>
            </w:tcBorders>
            <w:shd w:val="clear" w:color="000000" w:fill="FFFFFF"/>
            <w:noWrap/>
            <w:vAlign w:val="bottom"/>
            <w:hideMark/>
          </w:tcPr>
          <w:p w14:paraId="4E1BF67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44.9%</w:t>
            </w:r>
          </w:p>
        </w:tc>
      </w:tr>
      <w:tr w:rsidR="00AD5F60" w:rsidRPr="007E2527" w14:paraId="0F64DBE4"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6F3DF782"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374D3B86"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8F162EA"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4F6C7FAD"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06AF36E"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6415</w:t>
            </w:r>
          </w:p>
        </w:tc>
        <w:tc>
          <w:tcPr>
            <w:tcW w:w="960" w:type="dxa"/>
            <w:tcBorders>
              <w:top w:val="dotted" w:sz="4" w:space="0" w:color="auto"/>
              <w:left w:val="nil"/>
              <w:bottom w:val="double" w:sz="6" w:space="0" w:color="auto"/>
              <w:right w:val="nil"/>
            </w:tcBorders>
            <w:shd w:val="clear" w:color="000000" w:fill="FFFFFF"/>
            <w:noWrap/>
            <w:vAlign w:val="bottom"/>
            <w:hideMark/>
          </w:tcPr>
          <w:p w14:paraId="720985CB"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25EBDD8"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6395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7A60679"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753254C"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6574</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BCAD08A"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EAF28C2"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6241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0BB6029" w14:textId="77777777" w:rsidR="00AD5F60" w:rsidRPr="00AD5F60" w:rsidRDefault="00AD5F60" w:rsidP="00AD5F6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100%</w:t>
            </w:r>
          </w:p>
        </w:tc>
      </w:tr>
    </w:tbl>
    <w:p w14:paraId="66059AD3" w14:textId="77777777" w:rsidR="003D5BBB" w:rsidRDefault="003D5BBB" w:rsidP="003D5BBB">
      <w:pPr>
        <w:rPr>
          <w:rFonts w:asciiTheme="minorHAnsi" w:hAnsiTheme="minorHAnsi"/>
          <w:b/>
          <w:bCs/>
          <w:szCs w:val="22"/>
        </w:rPr>
      </w:pPr>
    </w:p>
    <w:p w14:paraId="6FAD1D75" w14:textId="77777777" w:rsidR="003420A9" w:rsidRPr="003D5BBB" w:rsidRDefault="003420A9" w:rsidP="003D5BBB">
      <w:pPr>
        <w:rPr>
          <w:rFonts w:asciiTheme="minorHAnsi" w:hAnsiTheme="minorHAnsi"/>
          <w:b/>
          <w:bCs/>
          <w:szCs w:val="22"/>
        </w:rPr>
      </w:pPr>
    </w:p>
    <w:p w14:paraId="59D99E1B" w14:textId="41DD68AD" w:rsidR="00754F0B" w:rsidRPr="007E2527" w:rsidRDefault="00F17181" w:rsidP="00F17181">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sex and occupation over time, 2019-2025</w:t>
      </w:r>
    </w:p>
    <w:tbl>
      <w:tblPr>
        <w:tblW w:w="13788" w:type="dxa"/>
        <w:tblLayout w:type="fixed"/>
        <w:tblLook w:val="04A0" w:firstRow="1" w:lastRow="0" w:firstColumn="1" w:lastColumn="0" w:noHBand="0" w:noVBand="1"/>
      </w:tblPr>
      <w:tblGrid>
        <w:gridCol w:w="2268"/>
        <w:gridCol w:w="960"/>
        <w:gridCol w:w="960"/>
        <w:gridCol w:w="960"/>
        <w:gridCol w:w="960"/>
        <w:gridCol w:w="960"/>
        <w:gridCol w:w="960"/>
        <w:gridCol w:w="960"/>
        <w:gridCol w:w="960"/>
        <w:gridCol w:w="960"/>
        <w:gridCol w:w="960"/>
        <w:gridCol w:w="960"/>
        <w:gridCol w:w="960"/>
      </w:tblGrid>
      <w:tr w:rsidR="003420A9" w:rsidRPr="00AD5F60" w14:paraId="4C960DF4" w14:textId="77777777" w:rsidTr="003420A9">
        <w:trPr>
          <w:trHeight w:val="300"/>
        </w:trPr>
        <w:tc>
          <w:tcPr>
            <w:tcW w:w="2268" w:type="dxa"/>
            <w:tcBorders>
              <w:top w:val="single" w:sz="4" w:space="0" w:color="auto"/>
              <w:left w:val="single" w:sz="4" w:space="0" w:color="auto"/>
              <w:bottom w:val="nil"/>
              <w:right w:val="single" w:sz="4" w:space="0" w:color="auto"/>
            </w:tcBorders>
            <w:shd w:val="clear" w:color="000000" w:fill="FFFFFF"/>
            <w:noWrap/>
            <w:vAlign w:val="bottom"/>
            <w:hideMark/>
          </w:tcPr>
          <w:p w14:paraId="62663A8E"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nil"/>
              <w:bottom w:val="nil"/>
              <w:right w:val="single" w:sz="4" w:space="0" w:color="auto"/>
            </w:tcBorders>
            <w:shd w:val="clear" w:color="000000" w:fill="FFFFFF"/>
            <w:noWrap/>
            <w:vAlign w:val="bottom"/>
            <w:hideMark/>
          </w:tcPr>
          <w:p w14:paraId="06E1342E"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nil"/>
              <w:bottom w:val="nil"/>
              <w:right w:val="single" w:sz="4" w:space="0" w:color="auto"/>
            </w:tcBorders>
            <w:shd w:val="clear" w:color="000000" w:fill="FFFFFF"/>
            <w:noWrap/>
            <w:vAlign w:val="bottom"/>
            <w:hideMark/>
          </w:tcPr>
          <w:p w14:paraId="089B6CFB"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2019</w:t>
            </w:r>
          </w:p>
        </w:tc>
        <w:tc>
          <w:tcPr>
            <w:tcW w:w="960" w:type="dxa"/>
            <w:tcBorders>
              <w:top w:val="single" w:sz="4" w:space="0" w:color="auto"/>
              <w:left w:val="nil"/>
              <w:bottom w:val="nil"/>
              <w:right w:val="nil"/>
            </w:tcBorders>
            <w:shd w:val="clear" w:color="000000" w:fill="FFFFFF"/>
            <w:noWrap/>
            <w:vAlign w:val="bottom"/>
            <w:hideMark/>
          </w:tcPr>
          <w:p w14:paraId="4DB0895D"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2020</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089286C3"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8488F5F"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2B139FB"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40A1F70"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364C995" w14:textId="77777777" w:rsidR="00AD5F60" w:rsidRPr="00AD5F60" w:rsidRDefault="00AD5F60" w:rsidP="00AD5F6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2025</w:t>
            </w:r>
          </w:p>
        </w:tc>
      </w:tr>
      <w:tr w:rsidR="00AD5F60" w:rsidRPr="007E2527" w14:paraId="6E85844B" w14:textId="77777777" w:rsidTr="003420A9">
        <w:trPr>
          <w:trHeight w:val="300"/>
        </w:trPr>
        <w:tc>
          <w:tcPr>
            <w:tcW w:w="2268" w:type="dxa"/>
            <w:tcBorders>
              <w:top w:val="nil"/>
              <w:left w:val="single" w:sz="4" w:space="0" w:color="auto"/>
              <w:bottom w:val="single" w:sz="4" w:space="0" w:color="auto"/>
              <w:right w:val="single" w:sz="4" w:space="0" w:color="auto"/>
            </w:tcBorders>
            <w:shd w:val="clear" w:color="000000" w:fill="FFFFFF"/>
            <w:noWrap/>
            <w:vAlign w:val="bottom"/>
            <w:hideMark/>
          </w:tcPr>
          <w:p w14:paraId="33A225A7"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6E8B539A"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2133646"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6161B08"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917E8A1"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54469D1"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4C9C3E2F"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210A60F3"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63615E2"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3F23D25"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F207733"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B89D9AA"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270053C" w14:textId="77777777" w:rsidR="00AD5F60" w:rsidRPr="00AD5F60" w:rsidRDefault="00AD5F60" w:rsidP="00AD5F60">
            <w:pPr>
              <w:spacing w:after="0" w:line="240" w:lineRule="auto"/>
              <w:jc w:val="center"/>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w:t>
            </w:r>
          </w:p>
        </w:tc>
      </w:tr>
      <w:tr w:rsidR="00AD5F60" w:rsidRPr="007E2527" w14:paraId="6BDD6899" w14:textId="77777777" w:rsidTr="003420A9">
        <w:trPr>
          <w:trHeight w:val="300"/>
        </w:trPr>
        <w:tc>
          <w:tcPr>
            <w:tcW w:w="2268" w:type="dxa"/>
            <w:vMerge w:val="restart"/>
            <w:tcBorders>
              <w:top w:val="nil"/>
              <w:left w:val="single" w:sz="4" w:space="0" w:color="auto"/>
              <w:bottom w:val="dotted" w:sz="4" w:space="0" w:color="000000"/>
              <w:right w:val="single" w:sz="4" w:space="0" w:color="auto"/>
            </w:tcBorders>
            <w:shd w:val="clear" w:color="000000" w:fill="FFFFFF"/>
            <w:noWrap/>
            <w:vAlign w:val="center"/>
            <w:hideMark/>
          </w:tcPr>
          <w:p w14:paraId="1331259D"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Academic/Research</w:t>
            </w:r>
          </w:p>
        </w:tc>
        <w:tc>
          <w:tcPr>
            <w:tcW w:w="960" w:type="dxa"/>
            <w:tcBorders>
              <w:top w:val="nil"/>
              <w:left w:val="nil"/>
              <w:bottom w:val="nil"/>
              <w:right w:val="single" w:sz="4" w:space="0" w:color="auto"/>
            </w:tcBorders>
            <w:shd w:val="clear" w:color="000000" w:fill="FFFFFF"/>
            <w:noWrap/>
            <w:vAlign w:val="bottom"/>
            <w:hideMark/>
          </w:tcPr>
          <w:p w14:paraId="5F7CAEF5"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Female</w:t>
            </w:r>
          </w:p>
        </w:tc>
        <w:tc>
          <w:tcPr>
            <w:tcW w:w="960" w:type="dxa"/>
            <w:tcBorders>
              <w:top w:val="nil"/>
              <w:left w:val="nil"/>
              <w:bottom w:val="nil"/>
              <w:right w:val="single" w:sz="4" w:space="0" w:color="auto"/>
            </w:tcBorders>
            <w:shd w:val="clear" w:color="000000" w:fill="FFFFFF"/>
            <w:noWrap/>
            <w:vAlign w:val="bottom"/>
            <w:hideMark/>
          </w:tcPr>
          <w:p w14:paraId="4D50CC50"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43.6%</w:t>
            </w:r>
          </w:p>
        </w:tc>
        <w:tc>
          <w:tcPr>
            <w:tcW w:w="960" w:type="dxa"/>
            <w:tcBorders>
              <w:top w:val="nil"/>
              <w:left w:val="nil"/>
              <w:bottom w:val="nil"/>
              <w:right w:val="nil"/>
            </w:tcBorders>
            <w:shd w:val="clear" w:color="000000" w:fill="FFFFFF"/>
            <w:noWrap/>
            <w:vAlign w:val="bottom"/>
            <w:hideMark/>
          </w:tcPr>
          <w:p w14:paraId="2FBAF4B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44.9%</w:t>
            </w:r>
          </w:p>
        </w:tc>
        <w:tc>
          <w:tcPr>
            <w:tcW w:w="960" w:type="dxa"/>
            <w:tcBorders>
              <w:top w:val="nil"/>
              <w:left w:val="single" w:sz="4" w:space="0" w:color="auto"/>
              <w:bottom w:val="nil"/>
              <w:right w:val="single" w:sz="4" w:space="0" w:color="auto"/>
            </w:tcBorders>
            <w:shd w:val="clear" w:color="000000" w:fill="FFFFFF"/>
            <w:noWrap/>
            <w:vAlign w:val="bottom"/>
            <w:hideMark/>
          </w:tcPr>
          <w:p w14:paraId="324A567D"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45.7%</w:t>
            </w:r>
          </w:p>
        </w:tc>
        <w:tc>
          <w:tcPr>
            <w:tcW w:w="960" w:type="dxa"/>
            <w:tcBorders>
              <w:top w:val="nil"/>
              <w:left w:val="nil"/>
              <w:bottom w:val="nil"/>
              <w:right w:val="nil"/>
            </w:tcBorders>
            <w:shd w:val="clear" w:color="000000" w:fill="FFFFFF"/>
            <w:noWrap/>
            <w:vAlign w:val="bottom"/>
            <w:hideMark/>
          </w:tcPr>
          <w:p w14:paraId="68E4BC9E"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1359</w:t>
            </w:r>
          </w:p>
        </w:tc>
        <w:tc>
          <w:tcPr>
            <w:tcW w:w="960" w:type="dxa"/>
            <w:tcBorders>
              <w:top w:val="nil"/>
              <w:left w:val="nil"/>
              <w:bottom w:val="nil"/>
              <w:right w:val="nil"/>
            </w:tcBorders>
            <w:shd w:val="clear" w:color="000000" w:fill="FFFFFF"/>
            <w:noWrap/>
            <w:vAlign w:val="bottom"/>
            <w:hideMark/>
          </w:tcPr>
          <w:p w14:paraId="2A24F6FB"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47.0%</w:t>
            </w:r>
          </w:p>
        </w:tc>
        <w:tc>
          <w:tcPr>
            <w:tcW w:w="960" w:type="dxa"/>
            <w:tcBorders>
              <w:top w:val="nil"/>
              <w:left w:val="single" w:sz="4" w:space="0" w:color="auto"/>
              <w:bottom w:val="nil"/>
              <w:right w:val="nil"/>
            </w:tcBorders>
            <w:shd w:val="clear" w:color="000000" w:fill="FFFFFF"/>
            <w:noWrap/>
            <w:vAlign w:val="bottom"/>
            <w:hideMark/>
          </w:tcPr>
          <w:p w14:paraId="6723BF24"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1364</w:t>
            </w:r>
          </w:p>
        </w:tc>
        <w:tc>
          <w:tcPr>
            <w:tcW w:w="960" w:type="dxa"/>
            <w:tcBorders>
              <w:top w:val="nil"/>
              <w:left w:val="nil"/>
              <w:bottom w:val="nil"/>
              <w:right w:val="single" w:sz="4" w:space="0" w:color="auto"/>
            </w:tcBorders>
            <w:shd w:val="clear" w:color="000000" w:fill="FFFFFF"/>
            <w:noWrap/>
            <w:vAlign w:val="bottom"/>
            <w:hideMark/>
          </w:tcPr>
          <w:p w14:paraId="6168BE9D"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47.6%</w:t>
            </w:r>
          </w:p>
        </w:tc>
        <w:tc>
          <w:tcPr>
            <w:tcW w:w="960" w:type="dxa"/>
            <w:tcBorders>
              <w:top w:val="nil"/>
              <w:left w:val="nil"/>
              <w:bottom w:val="nil"/>
              <w:right w:val="nil"/>
            </w:tcBorders>
            <w:shd w:val="clear" w:color="000000" w:fill="FFFFFF"/>
            <w:noWrap/>
            <w:vAlign w:val="bottom"/>
            <w:hideMark/>
          </w:tcPr>
          <w:p w14:paraId="0A657484"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1397</w:t>
            </w:r>
          </w:p>
        </w:tc>
        <w:tc>
          <w:tcPr>
            <w:tcW w:w="960" w:type="dxa"/>
            <w:tcBorders>
              <w:top w:val="nil"/>
              <w:left w:val="nil"/>
              <w:bottom w:val="nil"/>
              <w:right w:val="single" w:sz="4" w:space="0" w:color="auto"/>
            </w:tcBorders>
            <w:shd w:val="clear" w:color="000000" w:fill="FFFFFF"/>
            <w:noWrap/>
            <w:vAlign w:val="bottom"/>
            <w:hideMark/>
          </w:tcPr>
          <w:p w14:paraId="71339982"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47.6%</w:t>
            </w:r>
          </w:p>
        </w:tc>
        <w:tc>
          <w:tcPr>
            <w:tcW w:w="960" w:type="dxa"/>
            <w:tcBorders>
              <w:top w:val="nil"/>
              <w:left w:val="nil"/>
              <w:bottom w:val="nil"/>
              <w:right w:val="nil"/>
            </w:tcBorders>
            <w:shd w:val="clear" w:color="000000" w:fill="FFFFFF"/>
            <w:noWrap/>
            <w:vAlign w:val="bottom"/>
            <w:hideMark/>
          </w:tcPr>
          <w:p w14:paraId="6394FAD9"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1367</w:t>
            </w:r>
          </w:p>
        </w:tc>
        <w:tc>
          <w:tcPr>
            <w:tcW w:w="960" w:type="dxa"/>
            <w:tcBorders>
              <w:top w:val="nil"/>
              <w:left w:val="nil"/>
              <w:bottom w:val="nil"/>
              <w:right w:val="single" w:sz="4" w:space="0" w:color="auto"/>
            </w:tcBorders>
            <w:shd w:val="clear" w:color="000000" w:fill="FFFFFF"/>
            <w:noWrap/>
            <w:vAlign w:val="bottom"/>
            <w:hideMark/>
          </w:tcPr>
          <w:p w14:paraId="656842F4"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47.8%</w:t>
            </w:r>
          </w:p>
        </w:tc>
      </w:tr>
      <w:tr w:rsidR="00AD5F60" w:rsidRPr="007E2527" w14:paraId="137905FC" w14:textId="77777777" w:rsidTr="003420A9">
        <w:trPr>
          <w:trHeight w:val="300"/>
        </w:trPr>
        <w:tc>
          <w:tcPr>
            <w:tcW w:w="2268" w:type="dxa"/>
            <w:vMerge/>
            <w:tcBorders>
              <w:top w:val="nil"/>
              <w:left w:val="single" w:sz="4" w:space="0" w:color="auto"/>
              <w:bottom w:val="dotted" w:sz="4" w:space="0" w:color="000000"/>
              <w:right w:val="single" w:sz="4" w:space="0" w:color="auto"/>
            </w:tcBorders>
            <w:vAlign w:val="center"/>
            <w:hideMark/>
          </w:tcPr>
          <w:p w14:paraId="2802AD3F"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p>
        </w:tc>
        <w:tc>
          <w:tcPr>
            <w:tcW w:w="960" w:type="dxa"/>
            <w:tcBorders>
              <w:top w:val="nil"/>
              <w:left w:val="nil"/>
              <w:bottom w:val="nil"/>
              <w:right w:val="single" w:sz="4" w:space="0" w:color="auto"/>
            </w:tcBorders>
            <w:shd w:val="clear" w:color="000000" w:fill="FFFFFF"/>
            <w:noWrap/>
            <w:vAlign w:val="bottom"/>
            <w:hideMark/>
          </w:tcPr>
          <w:p w14:paraId="09BD0083"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Male</w:t>
            </w:r>
          </w:p>
        </w:tc>
        <w:tc>
          <w:tcPr>
            <w:tcW w:w="960" w:type="dxa"/>
            <w:tcBorders>
              <w:top w:val="nil"/>
              <w:left w:val="nil"/>
              <w:bottom w:val="nil"/>
              <w:right w:val="single" w:sz="4" w:space="0" w:color="auto"/>
            </w:tcBorders>
            <w:shd w:val="clear" w:color="000000" w:fill="FFFFFF"/>
            <w:noWrap/>
            <w:vAlign w:val="bottom"/>
            <w:hideMark/>
          </w:tcPr>
          <w:p w14:paraId="32C96507"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56.4%</w:t>
            </w:r>
          </w:p>
        </w:tc>
        <w:tc>
          <w:tcPr>
            <w:tcW w:w="960" w:type="dxa"/>
            <w:tcBorders>
              <w:top w:val="nil"/>
              <w:left w:val="nil"/>
              <w:bottom w:val="nil"/>
              <w:right w:val="nil"/>
            </w:tcBorders>
            <w:shd w:val="clear" w:color="000000" w:fill="FFFFFF"/>
            <w:noWrap/>
            <w:vAlign w:val="bottom"/>
            <w:hideMark/>
          </w:tcPr>
          <w:p w14:paraId="7335834C"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55.1%</w:t>
            </w:r>
          </w:p>
        </w:tc>
        <w:tc>
          <w:tcPr>
            <w:tcW w:w="960" w:type="dxa"/>
            <w:tcBorders>
              <w:top w:val="nil"/>
              <w:left w:val="single" w:sz="4" w:space="0" w:color="auto"/>
              <w:bottom w:val="nil"/>
              <w:right w:val="single" w:sz="4" w:space="0" w:color="auto"/>
            </w:tcBorders>
            <w:shd w:val="clear" w:color="000000" w:fill="FFFFFF"/>
            <w:noWrap/>
            <w:vAlign w:val="bottom"/>
            <w:hideMark/>
          </w:tcPr>
          <w:p w14:paraId="66FAFEEE"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54.3%</w:t>
            </w:r>
          </w:p>
        </w:tc>
        <w:tc>
          <w:tcPr>
            <w:tcW w:w="960" w:type="dxa"/>
            <w:tcBorders>
              <w:top w:val="nil"/>
              <w:left w:val="nil"/>
              <w:bottom w:val="nil"/>
              <w:right w:val="nil"/>
            </w:tcBorders>
            <w:shd w:val="clear" w:color="000000" w:fill="FFFFFF"/>
            <w:noWrap/>
            <w:vAlign w:val="bottom"/>
            <w:hideMark/>
          </w:tcPr>
          <w:p w14:paraId="4612E845"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1531</w:t>
            </w:r>
          </w:p>
        </w:tc>
        <w:tc>
          <w:tcPr>
            <w:tcW w:w="960" w:type="dxa"/>
            <w:tcBorders>
              <w:top w:val="nil"/>
              <w:left w:val="nil"/>
              <w:bottom w:val="nil"/>
              <w:right w:val="nil"/>
            </w:tcBorders>
            <w:shd w:val="clear" w:color="000000" w:fill="FFFFFF"/>
            <w:noWrap/>
            <w:vAlign w:val="bottom"/>
            <w:hideMark/>
          </w:tcPr>
          <w:p w14:paraId="5E6589EA"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53.0%</w:t>
            </w:r>
          </w:p>
        </w:tc>
        <w:tc>
          <w:tcPr>
            <w:tcW w:w="960" w:type="dxa"/>
            <w:tcBorders>
              <w:top w:val="nil"/>
              <w:left w:val="single" w:sz="4" w:space="0" w:color="auto"/>
              <w:bottom w:val="nil"/>
              <w:right w:val="nil"/>
            </w:tcBorders>
            <w:shd w:val="clear" w:color="000000" w:fill="FFFFFF"/>
            <w:noWrap/>
            <w:vAlign w:val="bottom"/>
            <w:hideMark/>
          </w:tcPr>
          <w:p w14:paraId="7868B098"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1499</w:t>
            </w:r>
          </w:p>
        </w:tc>
        <w:tc>
          <w:tcPr>
            <w:tcW w:w="960" w:type="dxa"/>
            <w:tcBorders>
              <w:top w:val="nil"/>
              <w:left w:val="nil"/>
              <w:bottom w:val="nil"/>
              <w:right w:val="single" w:sz="4" w:space="0" w:color="auto"/>
            </w:tcBorders>
            <w:shd w:val="clear" w:color="000000" w:fill="FFFFFF"/>
            <w:noWrap/>
            <w:vAlign w:val="bottom"/>
            <w:hideMark/>
          </w:tcPr>
          <w:p w14:paraId="634BA835"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52.4%</w:t>
            </w:r>
          </w:p>
        </w:tc>
        <w:tc>
          <w:tcPr>
            <w:tcW w:w="960" w:type="dxa"/>
            <w:tcBorders>
              <w:top w:val="nil"/>
              <w:left w:val="nil"/>
              <w:bottom w:val="nil"/>
              <w:right w:val="nil"/>
            </w:tcBorders>
            <w:shd w:val="clear" w:color="000000" w:fill="FFFFFF"/>
            <w:noWrap/>
            <w:vAlign w:val="bottom"/>
            <w:hideMark/>
          </w:tcPr>
          <w:p w14:paraId="6880F628"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1536</w:t>
            </w:r>
          </w:p>
        </w:tc>
        <w:tc>
          <w:tcPr>
            <w:tcW w:w="960" w:type="dxa"/>
            <w:tcBorders>
              <w:top w:val="nil"/>
              <w:left w:val="nil"/>
              <w:bottom w:val="nil"/>
              <w:right w:val="single" w:sz="4" w:space="0" w:color="auto"/>
            </w:tcBorders>
            <w:shd w:val="clear" w:color="000000" w:fill="FFFFFF"/>
            <w:noWrap/>
            <w:vAlign w:val="bottom"/>
            <w:hideMark/>
          </w:tcPr>
          <w:p w14:paraId="367054DE"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52.4%</w:t>
            </w:r>
          </w:p>
        </w:tc>
        <w:tc>
          <w:tcPr>
            <w:tcW w:w="960" w:type="dxa"/>
            <w:tcBorders>
              <w:top w:val="nil"/>
              <w:left w:val="nil"/>
              <w:bottom w:val="nil"/>
              <w:right w:val="nil"/>
            </w:tcBorders>
            <w:shd w:val="clear" w:color="000000" w:fill="FFFFFF"/>
            <w:noWrap/>
            <w:vAlign w:val="bottom"/>
            <w:hideMark/>
          </w:tcPr>
          <w:p w14:paraId="0E74978D"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1493</w:t>
            </w:r>
          </w:p>
        </w:tc>
        <w:tc>
          <w:tcPr>
            <w:tcW w:w="960" w:type="dxa"/>
            <w:tcBorders>
              <w:top w:val="nil"/>
              <w:left w:val="nil"/>
              <w:bottom w:val="nil"/>
              <w:right w:val="single" w:sz="4" w:space="0" w:color="auto"/>
            </w:tcBorders>
            <w:shd w:val="clear" w:color="000000" w:fill="FFFFFF"/>
            <w:noWrap/>
            <w:vAlign w:val="bottom"/>
            <w:hideMark/>
          </w:tcPr>
          <w:p w14:paraId="29E6B9F7"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52.2%</w:t>
            </w:r>
          </w:p>
        </w:tc>
      </w:tr>
      <w:tr w:rsidR="00AD5F60" w:rsidRPr="007E2527" w14:paraId="3262E293" w14:textId="77777777" w:rsidTr="003420A9">
        <w:trPr>
          <w:trHeight w:val="300"/>
        </w:trPr>
        <w:tc>
          <w:tcPr>
            <w:tcW w:w="2268"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14:paraId="24E75271"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r w:rsidRPr="00AD5F60">
              <w:rPr>
                <w:rFonts w:asciiTheme="minorHAnsi" w:eastAsia="Times New Roman" w:hAnsiTheme="minorHAnsi" w:cs="Times New Roman"/>
                <w:b/>
                <w:bCs/>
                <w:color w:val="000000"/>
                <w:kern w:val="0"/>
                <w:szCs w:val="22"/>
                <w:lang w:eastAsia="en-GB"/>
                <w14:ligatures w14:val="none"/>
              </w:rPr>
              <w:t>PS</w:t>
            </w:r>
          </w:p>
        </w:tc>
        <w:tc>
          <w:tcPr>
            <w:tcW w:w="960" w:type="dxa"/>
            <w:tcBorders>
              <w:top w:val="dotted" w:sz="4" w:space="0" w:color="auto"/>
              <w:left w:val="nil"/>
              <w:bottom w:val="nil"/>
              <w:right w:val="single" w:sz="4" w:space="0" w:color="auto"/>
            </w:tcBorders>
            <w:shd w:val="clear" w:color="000000" w:fill="FFFFFF"/>
            <w:noWrap/>
            <w:vAlign w:val="bottom"/>
            <w:hideMark/>
          </w:tcPr>
          <w:p w14:paraId="59526DE0"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Female</w:t>
            </w:r>
          </w:p>
        </w:tc>
        <w:tc>
          <w:tcPr>
            <w:tcW w:w="960" w:type="dxa"/>
            <w:tcBorders>
              <w:top w:val="dotted" w:sz="4" w:space="0" w:color="auto"/>
              <w:left w:val="nil"/>
              <w:bottom w:val="nil"/>
              <w:right w:val="single" w:sz="4" w:space="0" w:color="auto"/>
            </w:tcBorders>
            <w:shd w:val="clear" w:color="000000" w:fill="FFFFFF"/>
            <w:noWrap/>
            <w:vAlign w:val="bottom"/>
            <w:hideMark/>
          </w:tcPr>
          <w:p w14:paraId="4A4E066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62.9%</w:t>
            </w:r>
          </w:p>
        </w:tc>
        <w:tc>
          <w:tcPr>
            <w:tcW w:w="960" w:type="dxa"/>
            <w:tcBorders>
              <w:top w:val="dotted" w:sz="4" w:space="0" w:color="auto"/>
              <w:left w:val="nil"/>
              <w:bottom w:val="nil"/>
              <w:right w:val="nil"/>
            </w:tcBorders>
            <w:shd w:val="clear" w:color="000000" w:fill="FFFFFF"/>
            <w:noWrap/>
            <w:vAlign w:val="bottom"/>
            <w:hideMark/>
          </w:tcPr>
          <w:p w14:paraId="2E57DFE7"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63.0%</w:t>
            </w:r>
          </w:p>
        </w:tc>
        <w:tc>
          <w:tcPr>
            <w:tcW w:w="960" w:type="dxa"/>
            <w:tcBorders>
              <w:top w:val="dotted" w:sz="4" w:space="0" w:color="auto"/>
              <w:left w:val="single" w:sz="4" w:space="0" w:color="auto"/>
              <w:bottom w:val="nil"/>
              <w:right w:val="single" w:sz="4" w:space="0" w:color="auto"/>
            </w:tcBorders>
            <w:shd w:val="clear" w:color="000000" w:fill="FFFFFF"/>
            <w:noWrap/>
            <w:vAlign w:val="bottom"/>
            <w:hideMark/>
          </w:tcPr>
          <w:p w14:paraId="7C3575E2"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63.1%</w:t>
            </w:r>
          </w:p>
        </w:tc>
        <w:tc>
          <w:tcPr>
            <w:tcW w:w="960" w:type="dxa"/>
            <w:tcBorders>
              <w:top w:val="dotted" w:sz="4" w:space="0" w:color="auto"/>
              <w:left w:val="nil"/>
              <w:bottom w:val="nil"/>
              <w:right w:val="nil"/>
            </w:tcBorders>
            <w:shd w:val="clear" w:color="000000" w:fill="FFFFFF"/>
            <w:noWrap/>
            <w:vAlign w:val="bottom"/>
            <w:hideMark/>
          </w:tcPr>
          <w:p w14:paraId="29F85E8E"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2220</w:t>
            </w:r>
          </w:p>
        </w:tc>
        <w:tc>
          <w:tcPr>
            <w:tcW w:w="960" w:type="dxa"/>
            <w:tcBorders>
              <w:top w:val="dotted" w:sz="4" w:space="0" w:color="auto"/>
              <w:left w:val="nil"/>
              <w:bottom w:val="nil"/>
              <w:right w:val="nil"/>
            </w:tcBorders>
            <w:shd w:val="clear" w:color="000000" w:fill="FFFFFF"/>
            <w:noWrap/>
            <w:vAlign w:val="bottom"/>
            <w:hideMark/>
          </w:tcPr>
          <w:p w14:paraId="38504660"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63.0%</w:t>
            </w:r>
          </w:p>
        </w:tc>
        <w:tc>
          <w:tcPr>
            <w:tcW w:w="960" w:type="dxa"/>
            <w:tcBorders>
              <w:top w:val="dotted" w:sz="4" w:space="0" w:color="auto"/>
              <w:left w:val="single" w:sz="4" w:space="0" w:color="auto"/>
              <w:bottom w:val="nil"/>
              <w:right w:val="nil"/>
            </w:tcBorders>
            <w:shd w:val="clear" w:color="000000" w:fill="FFFFFF"/>
            <w:noWrap/>
            <w:vAlign w:val="bottom"/>
            <w:hideMark/>
          </w:tcPr>
          <w:p w14:paraId="7AA8B414"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2187</w:t>
            </w:r>
          </w:p>
        </w:tc>
        <w:tc>
          <w:tcPr>
            <w:tcW w:w="960" w:type="dxa"/>
            <w:tcBorders>
              <w:top w:val="dotted" w:sz="4" w:space="0" w:color="auto"/>
              <w:left w:val="nil"/>
              <w:bottom w:val="nil"/>
              <w:right w:val="single" w:sz="4" w:space="0" w:color="auto"/>
            </w:tcBorders>
            <w:shd w:val="clear" w:color="000000" w:fill="FFFFFF"/>
            <w:noWrap/>
            <w:vAlign w:val="bottom"/>
            <w:hideMark/>
          </w:tcPr>
          <w:p w14:paraId="35114FFD"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61.9%</w:t>
            </w:r>
          </w:p>
        </w:tc>
        <w:tc>
          <w:tcPr>
            <w:tcW w:w="960" w:type="dxa"/>
            <w:tcBorders>
              <w:top w:val="dotted" w:sz="4" w:space="0" w:color="auto"/>
              <w:left w:val="nil"/>
              <w:bottom w:val="nil"/>
              <w:right w:val="nil"/>
            </w:tcBorders>
            <w:shd w:val="clear" w:color="000000" w:fill="FFFFFF"/>
            <w:noWrap/>
            <w:vAlign w:val="bottom"/>
            <w:hideMark/>
          </w:tcPr>
          <w:p w14:paraId="743665F6"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2246</w:t>
            </w:r>
          </w:p>
        </w:tc>
        <w:tc>
          <w:tcPr>
            <w:tcW w:w="960" w:type="dxa"/>
            <w:tcBorders>
              <w:top w:val="dotted" w:sz="4" w:space="0" w:color="auto"/>
              <w:left w:val="nil"/>
              <w:bottom w:val="nil"/>
              <w:right w:val="single" w:sz="4" w:space="0" w:color="auto"/>
            </w:tcBorders>
            <w:shd w:val="clear" w:color="000000" w:fill="FFFFFF"/>
            <w:noWrap/>
            <w:vAlign w:val="bottom"/>
            <w:hideMark/>
          </w:tcPr>
          <w:p w14:paraId="65F29264"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61.7%</w:t>
            </w:r>
          </w:p>
        </w:tc>
        <w:tc>
          <w:tcPr>
            <w:tcW w:w="960" w:type="dxa"/>
            <w:tcBorders>
              <w:top w:val="dotted" w:sz="4" w:space="0" w:color="auto"/>
              <w:left w:val="nil"/>
              <w:bottom w:val="nil"/>
              <w:right w:val="nil"/>
            </w:tcBorders>
            <w:shd w:val="clear" w:color="000000" w:fill="FFFFFF"/>
            <w:noWrap/>
            <w:vAlign w:val="bottom"/>
            <w:hideMark/>
          </w:tcPr>
          <w:p w14:paraId="25E6E244"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2071</w:t>
            </w:r>
          </w:p>
        </w:tc>
        <w:tc>
          <w:tcPr>
            <w:tcW w:w="960" w:type="dxa"/>
            <w:tcBorders>
              <w:top w:val="dotted" w:sz="4" w:space="0" w:color="auto"/>
              <w:left w:val="nil"/>
              <w:bottom w:val="nil"/>
              <w:right w:val="single" w:sz="4" w:space="0" w:color="auto"/>
            </w:tcBorders>
            <w:shd w:val="clear" w:color="000000" w:fill="FFFFFF"/>
            <w:noWrap/>
            <w:vAlign w:val="bottom"/>
            <w:hideMark/>
          </w:tcPr>
          <w:p w14:paraId="25831FAC"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61.3%</w:t>
            </w:r>
          </w:p>
        </w:tc>
      </w:tr>
      <w:tr w:rsidR="00AD5F60" w:rsidRPr="007E2527" w14:paraId="1B1B68B5" w14:textId="77777777" w:rsidTr="003420A9">
        <w:trPr>
          <w:trHeight w:val="315"/>
        </w:trPr>
        <w:tc>
          <w:tcPr>
            <w:tcW w:w="2268" w:type="dxa"/>
            <w:vMerge/>
            <w:tcBorders>
              <w:top w:val="nil"/>
              <w:left w:val="single" w:sz="4" w:space="0" w:color="auto"/>
              <w:bottom w:val="double" w:sz="6" w:space="0" w:color="000000"/>
              <w:right w:val="single" w:sz="4" w:space="0" w:color="auto"/>
            </w:tcBorders>
            <w:vAlign w:val="center"/>
            <w:hideMark/>
          </w:tcPr>
          <w:p w14:paraId="169AFA1F" w14:textId="77777777" w:rsidR="00AD5F60" w:rsidRPr="00AD5F60" w:rsidRDefault="00AD5F60" w:rsidP="00AD5F60">
            <w:pPr>
              <w:spacing w:after="0" w:line="240" w:lineRule="auto"/>
              <w:rPr>
                <w:rFonts w:asciiTheme="minorHAnsi" w:eastAsia="Times New Roman" w:hAnsiTheme="minorHAnsi" w:cs="Times New Roman"/>
                <w:b/>
                <w:bCs/>
                <w:color w:val="000000"/>
                <w:kern w:val="0"/>
                <w:szCs w:val="22"/>
                <w:lang w:eastAsia="en-GB"/>
                <w14:ligatures w14:val="none"/>
              </w:rPr>
            </w:pPr>
          </w:p>
        </w:tc>
        <w:tc>
          <w:tcPr>
            <w:tcW w:w="960" w:type="dxa"/>
            <w:tcBorders>
              <w:top w:val="nil"/>
              <w:left w:val="nil"/>
              <w:bottom w:val="double" w:sz="6" w:space="0" w:color="auto"/>
              <w:right w:val="single" w:sz="4" w:space="0" w:color="auto"/>
            </w:tcBorders>
            <w:shd w:val="clear" w:color="000000" w:fill="FFFFFF"/>
            <w:noWrap/>
            <w:vAlign w:val="bottom"/>
            <w:hideMark/>
          </w:tcPr>
          <w:p w14:paraId="527A2D22" w14:textId="77777777" w:rsidR="00AD5F60" w:rsidRPr="00AD5F60" w:rsidRDefault="00AD5F60" w:rsidP="00AD5F60">
            <w:pPr>
              <w:spacing w:after="0" w:line="240" w:lineRule="auto"/>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Male</w:t>
            </w:r>
          </w:p>
        </w:tc>
        <w:tc>
          <w:tcPr>
            <w:tcW w:w="960" w:type="dxa"/>
            <w:tcBorders>
              <w:top w:val="nil"/>
              <w:left w:val="nil"/>
              <w:bottom w:val="double" w:sz="6" w:space="0" w:color="auto"/>
              <w:right w:val="single" w:sz="4" w:space="0" w:color="auto"/>
            </w:tcBorders>
            <w:shd w:val="clear" w:color="000000" w:fill="FFFFFF"/>
            <w:noWrap/>
            <w:vAlign w:val="bottom"/>
            <w:hideMark/>
          </w:tcPr>
          <w:p w14:paraId="34226232"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37.1%</w:t>
            </w:r>
          </w:p>
        </w:tc>
        <w:tc>
          <w:tcPr>
            <w:tcW w:w="960" w:type="dxa"/>
            <w:tcBorders>
              <w:top w:val="nil"/>
              <w:left w:val="nil"/>
              <w:bottom w:val="double" w:sz="6" w:space="0" w:color="auto"/>
              <w:right w:val="nil"/>
            </w:tcBorders>
            <w:shd w:val="clear" w:color="000000" w:fill="FFFFFF"/>
            <w:noWrap/>
            <w:vAlign w:val="bottom"/>
            <w:hideMark/>
          </w:tcPr>
          <w:p w14:paraId="261DE0C6"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37.0%</w:t>
            </w:r>
          </w:p>
        </w:tc>
        <w:tc>
          <w:tcPr>
            <w:tcW w:w="960" w:type="dxa"/>
            <w:tcBorders>
              <w:top w:val="nil"/>
              <w:left w:val="single" w:sz="4" w:space="0" w:color="auto"/>
              <w:bottom w:val="double" w:sz="6" w:space="0" w:color="auto"/>
              <w:right w:val="single" w:sz="4" w:space="0" w:color="auto"/>
            </w:tcBorders>
            <w:shd w:val="clear" w:color="000000" w:fill="FFFFFF"/>
            <w:noWrap/>
            <w:vAlign w:val="bottom"/>
            <w:hideMark/>
          </w:tcPr>
          <w:p w14:paraId="6344BFC7"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36.9%</w:t>
            </w:r>
          </w:p>
        </w:tc>
        <w:tc>
          <w:tcPr>
            <w:tcW w:w="960" w:type="dxa"/>
            <w:tcBorders>
              <w:top w:val="nil"/>
              <w:left w:val="nil"/>
              <w:bottom w:val="double" w:sz="6" w:space="0" w:color="auto"/>
              <w:right w:val="nil"/>
            </w:tcBorders>
            <w:shd w:val="clear" w:color="000000" w:fill="FFFFFF"/>
            <w:noWrap/>
            <w:vAlign w:val="bottom"/>
            <w:hideMark/>
          </w:tcPr>
          <w:p w14:paraId="5F7E29CE"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1305</w:t>
            </w:r>
          </w:p>
        </w:tc>
        <w:tc>
          <w:tcPr>
            <w:tcW w:w="960" w:type="dxa"/>
            <w:tcBorders>
              <w:top w:val="nil"/>
              <w:left w:val="nil"/>
              <w:bottom w:val="double" w:sz="6" w:space="0" w:color="auto"/>
              <w:right w:val="nil"/>
            </w:tcBorders>
            <w:shd w:val="clear" w:color="000000" w:fill="FFFFFF"/>
            <w:noWrap/>
            <w:vAlign w:val="bottom"/>
            <w:hideMark/>
          </w:tcPr>
          <w:p w14:paraId="0616AEFD"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37.0%</w:t>
            </w:r>
          </w:p>
        </w:tc>
        <w:tc>
          <w:tcPr>
            <w:tcW w:w="960" w:type="dxa"/>
            <w:tcBorders>
              <w:top w:val="nil"/>
              <w:left w:val="single" w:sz="4" w:space="0" w:color="auto"/>
              <w:bottom w:val="double" w:sz="6" w:space="0" w:color="auto"/>
              <w:right w:val="nil"/>
            </w:tcBorders>
            <w:shd w:val="clear" w:color="000000" w:fill="FFFFFF"/>
            <w:noWrap/>
            <w:vAlign w:val="bottom"/>
            <w:hideMark/>
          </w:tcPr>
          <w:p w14:paraId="2F43C9A6"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1345</w:t>
            </w:r>
          </w:p>
        </w:tc>
        <w:tc>
          <w:tcPr>
            <w:tcW w:w="960" w:type="dxa"/>
            <w:tcBorders>
              <w:top w:val="nil"/>
              <w:left w:val="nil"/>
              <w:bottom w:val="double" w:sz="6" w:space="0" w:color="auto"/>
              <w:right w:val="single" w:sz="4" w:space="0" w:color="auto"/>
            </w:tcBorders>
            <w:shd w:val="clear" w:color="000000" w:fill="FFFFFF"/>
            <w:noWrap/>
            <w:vAlign w:val="bottom"/>
            <w:hideMark/>
          </w:tcPr>
          <w:p w14:paraId="569B9F73"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38.1%</w:t>
            </w:r>
          </w:p>
        </w:tc>
        <w:tc>
          <w:tcPr>
            <w:tcW w:w="960" w:type="dxa"/>
            <w:tcBorders>
              <w:top w:val="nil"/>
              <w:left w:val="nil"/>
              <w:bottom w:val="double" w:sz="6" w:space="0" w:color="auto"/>
              <w:right w:val="nil"/>
            </w:tcBorders>
            <w:shd w:val="clear" w:color="000000" w:fill="FFFFFF"/>
            <w:noWrap/>
            <w:vAlign w:val="bottom"/>
            <w:hideMark/>
          </w:tcPr>
          <w:p w14:paraId="2B40D6D2"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1395</w:t>
            </w:r>
          </w:p>
        </w:tc>
        <w:tc>
          <w:tcPr>
            <w:tcW w:w="960" w:type="dxa"/>
            <w:tcBorders>
              <w:top w:val="nil"/>
              <w:left w:val="nil"/>
              <w:bottom w:val="double" w:sz="6" w:space="0" w:color="auto"/>
              <w:right w:val="single" w:sz="4" w:space="0" w:color="auto"/>
            </w:tcBorders>
            <w:shd w:val="clear" w:color="000000" w:fill="FFFFFF"/>
            <w:noWrap/>
            <w:vAlign w:val="bottom"/>
            <w:hideMark/>
          </w:tcPr>
          <w:p w14:paraId="717DFA2C"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38.3%</w:t>
            </w:r>
          </w:p>
        </w:tc>
        <w:tc>
          <w:tcPr>
            <w:tcW w:w="960" w:type="dxa"/>
            <w:tcBorders>
              <w:top w:val="nil"/>
              <w:left w:val="nil"/>
              <w:bottom w:val="double" w:sz="6" w:space="0" w:color="auto"/>
              <w:right w:val="nil"/>
            </w:tcBorders>
            <w:shd w:val="clear" w:color="000000" w:fill="FFFFFF"/>
            <w:noWrap/>
            <w:vAlign w:val="bottom"/>
            <w:hideMark/>
          </w:tcPr>
          <w:p w14:paraId="08F3598E"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1310</w:t>
            </w:r>
          </w:p>
        </w:tc>
        <w:tc>
          <w:tcPr>
            <w:tcW w:w="960" w:type="dxa"/>
            <w:tcBorders>
              <w:top w:val="nil"/>
              <w:left w:val="nil"/>
              <w:bottom w:val="double" w:sz="6" w:space="0" w:color="auto"/>
              <w:right w:val="single" w:sz="4" w:space="0" w:color="auto"/>
            </w:tcBorders>
            <w:shd w:val="clear" w:color="000000" w:fill="FFFFFF"/>
            <w:noWrap/>
            <w:vAlign w:val="bottom"/>
            <w:hideMark/>
          </w:tcPr>
          <w:p w14:paraId="7ABF61E4" w14:textId="77777777" w:rsidR="00AD5F60" w:rsidRPr="00AD5F60" w:rsidRDefault="00AD5F60" w:rsidP="00AD5F60">
            <w:pPr>
              <w:spacing w:after="0" w:line="240" w:lineRule="auto"/>
              <w:jc w:val="right"/>
              <w:rPr>
                <w:rFonts w:asciiTheme="minorHAnsi" w:eastAsia="Times New Roman" w:hAnsiTheme="minorHAnsi" w:cs="Times New Roman"/>
                <w:color w:val="000000"/>
                <w:kern w:val="0"/>
                <w:szCs w:val="22"/>
                <w:lang w:eastAsia="en-GB"/>
                <w14:ligatures w14:val="none"/>
              </w:rPr>
            </w:pPr>
            <w:r w:rsidRPr="00AD5F60">
              <w:rPr>
                <w:rFonts w:asciiTheme="minorHAnsi" w:eastAsia="Times New Roman" w:hAnsiTheme="minorHAnsi" w:cs="Times New Roman"/>
                <w:color w:val="000000"/>
                <w:kern w:val="0"/>
                <w:szCs w:val="22"/>
                <w:lang w:eastAsia="en-GB"/>
                <w14:ligatures w14:val="none"/>
              </w:rPr>
              <w:t>38.7%</w:t>
            </w:r>
          </w:p>
        </w:tc>
      </w:tr>
    </w:tbl>
    <w:p w14:paraId="1F90A866" w14:textId="77777777" w:rsidR="003420A9" w:rsidRDefault="003420A9" w:rsidP="00F17181">
      <w:pPr>
        <w:rPr>
          <w:rFonts w:asciiTheme="minorHAnsi" w:hAnsiTheme="minorHAnsi"/>
          <w:b/>
          <w:bCs/>
          <w:szCs w:val="22"/>
        </w:rPr>
      </w:pPr>
    </w:p>
    <w:p w14:paraId="67AD7701" w14:textId="77777777" w:rsidR="003420A9" w:rsidRDefault="003420A9" w:rsidP="00F17181">
      <w:pPr>
        <w:rPr>
          <w:rFonts w:asciiTheme="minorHAnsi" w:hAnsiTheme="minorHAnsi"/>
          <w:b/>
          <w:bCs/>
          <w:szCs w:val="22"/>
        </w:rPr>
      </w:pPr>
    </w:p>
    <w:p w14:paraId="21562379" w14:textId="77777777" w:rsidR="003420A9" w:rsidRDefault="003420A9" w:rsidP="00F17181">
      <w:pPr>
        <w:rPr>
          <w:rFonts w:asciiTheme="minorHAnsi" w:hAnsiTheme="minorHAnsi"/>
          <w:b/>
          <w:bCs/>
          <w:szCs w:val="22"/>
        </w:rPr>
      </w:pPr>
    </w:p>
    <w:p w14:paraId="6E5B2279" w14:textId="77777777" w:rsidR="003420A9" w:rsidRDefault="003420A9" w:rsidP="00F17181">
      <w:pPr>
        <w:rPr>
          <w:rFonts w:asciiTheme="minorHAnsi" w:hAnsiTheme="minorHAnsi"/>
          <w:b/>
          <w:bCs/>
          <w:szCs w:val="22"/>
        </w:rPr>
      </w:pPr>
    </w:p>
    <w:p w14:paraId="5B5904C1" w14:textId="77777777" w:rsidR="003420A9" w:rsidRDefault="003420A9" w:rsidP="00F17181">
      <w:pPr>
        <w:rPr>
          <w:rFonts w:asciiTheme="minorHAnsi" w:hAnsiTheme="minorHAnsi"/>
          <w:b/>
          <w:bCs/>
          <w:szCs w:val="22"/>
        </w:rPr>
      </w:pPr>
    </w:p>
    <w:p w14:paraId="1E792A24" w14:textId="77777777" w:rsidR="003420A9" w:rsidRPr="007E2527" w:rsidRDefault="003420A9" w:rsidP="00F17181">
      <w:pPr>
        <w:rPr>
          <w:rFonts w:asciiTheme="minorHAnsi" w:hAnsiTheme="minorHAnsi"/>
          <w:b/>
          <w:bCs/>
          <w:szCs w:val="22"/>
        </w:rPr>
      </w:pPr>
    </w:p>
    <w:p w14:paraId="453F44F1" w14:textId="6134FDE6" w:rsidR="00F17181" w:rsidRPr="007E2527" w:rsidRDefault="00C442AB" w:rsidP="00F17181">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sex and occupation, 2025 (N=6,241)</w:t>
      </w:r>
    </w:p>
    <w:tbl>
      <w:tblPr>
        <w:tblW w:w="7404" w:type="dxa"/>
        <w:tblLayout w:type="fixed"/>
        <w:tblLook w:val="04A0" w:firstRow="1" w:lastRow="0" w:firstColumn="1" w:lastColumn="0" w:noHBand="0" w:noVBand="1"/>
      </w:tblPr>
      <w:tblGrid>
        <w:gridCol w:w="1644"/>
        <w:gridCol w:w="960"/>
        <w:gridCol w:w="960"/>
        <w:gridCol w:w="960"/>
        <w:gridCol w:w="960"/>
        <w:gridCol w:w="960"/>
        <w:gridCol w:w="960"/>
      </w:tblGrid>
      <w:tr w:rsidR="00B831D1" w:rsidRPr="00B831D1" w14:paraId="18B82FA3" w14:textId="77777777" w:rsidTr="003420A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633D7209" w14:textId="77777777" w:rsidR="00B831D1" w:rsidRPr="00B831D1" w:rsidRDefault="00B831D1" w:rsidP="00B831D1">
            <w:pPr>
              <w:spacing w:after="0" w:line="240" w:lineRule="auto"/>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74CAFC4" w14:textId="77777777" w:rsidR="00B831D1" w:rsidRPr="00B831D1" w:rsidRDefault="00B831D1" w:rsidP="00B831D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3FFCCA4" w14:textId="77777777" w:rsidR="00B831D1" w:rsidRPr="00B831D1" w:rsidRDefault="00B831D1" w:rsidP="00B831D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75A92A2" w14:textId="77777777" w:rsidR="00B831D1" w:rsidRPr="00B831D1" w:rsidRDefault="00B831D1" w:rsidP="00B831D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PS</w:t>
            </w:r>
          </w:p>
        </w:tc>
      </w:tr>
      <w:tr w:rsidR="007E2527" w:rsidRPr="007E2527" w14:paraId="3B664EAC" w14:textId="77777777" w:rsidTr="003420A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6D08516F" w14:textId="77777777" w:rsidR="00B831D1" w:rsidRPr="00B831D1" w:rsidRDefault="00B831D1" w:rsidP="00B831D1">
            <w:pPr>
              <w:spacing w:after="0" w:line="240" w:lineRule="auto"/>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73290BA1"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8B00685"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3F6C680"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D2A0075"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F6047D2"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BB0096C"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r>
      <w:tr w:rsidR="007E2527" w:rsidRPr="007E2527" w14:paraId="4FC414C1"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5EE4FF8A" w14:textId="77777777" w:rsidR="00B831D1" w:rsidRPr="00B831D1" w:rsidRDefault="00B831D1" w:rsidP="00B831D1">
            <w:pPr>
              <w:spacing w:after="0" w:line="240" w:lineRule="auto"/>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122C2FEC"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825</w:t>
            </w:r>
          </w:p>
        </w:tc>
        <w:tc>
          <w:tcPr>
            <w:tcW w:w="960" w:type="dxa"/>
            <w:tcBorders>
              <w:top w:val="nil"/>
              <w:left w:val="nil"/>
              <w:bottom w:val="nil"/>
              <w:right w:val="single" w:sz="4" w:space="0" w:color="auto"/>
            </w:tcBorders>
            <w:shd w:val="clear" w:color="000000" w:fill="FFFFFF"/>
            <w:noWrap/>
            <w:vAlign w:val="bottom"/>
            <w:hideMark/>
          </w:tcPr>
          <w:p w14:paraId="44371B98"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44.4%</w:t>
            </w:r>
          </w:p>
        </w:tc>
        <w:tc>
          <w:tcPr>
            <w:tcW w:w="960" w:type="dxa"/>
            <w:tcBorders>
              <w:top w:val="nil"/>
              <w:left w:val="nil"/>
              <w:bottom w:val="nil"/>
              <w:right w:val="nil"/>
            </w:tcBorders>
            <w:shd w:val="clear" w:color="000000" w:fill="FFFFFF"/>
            <w:noWrap/>
            <w:vAlign w:val="bottom"/>
            <w:hideMark/>
          </w:tcPr>
          <w:p w14:paraId="112A6C2A"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542</w:t>
            </w:r>
          </w:p>
        </w:tc>
        <w:tc>
          <w:tcPr>
            <w:tcW w:w="960" w:type="dxa"/>
            <w:tcBorders>
              <w:top w:val="nil"/>
              <w:left w:val="nil"/>
              <w:bottom w:val="nil"/>
              <w:right w:val="single" w:sz="4" w:space="0" w:color="auto"/>
            </w:tcBorders>
            <w:shd w:val="clear" w:color="000000" w:fill="FFFFFF"/>
            <w:noWrap/>
            <w:vAlign w:val="bottom"/>
            <w:hideMark/>
          </w:tcPr>
          <w:p w14:paraId="238447D9"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54.2%</w:t>
            </w:r>
          </w:p>
        </w:tc>
        <w:tc>
          <w:tcPr>
            <w:tcW w:w="960" w:type="dxa"/>
            <w:tcBorders>
              <w:top w:val="nil"/>
              <w:left w:val="nil"/>
              <w:bottom w:val="nil"/>
              <w:right w:val="nil"/>
            </w:tcBorders>
            <w:shd w:val="clear" w:color="000000" w:fill="FFFFFF"/>
            <w:noWrap/>
            <w:vAlign w:val="bottom"/>
            <w:hideMark/>
          </w:tcPr>
          <w:p w14:paraId="24C51957"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2071</w:t>
            </w:r>
          </w:p>
        </w:tc>
        <w:tc>
          <w:tcPr>
            <w:tcW w:w="960" w:type="dxa"/>
            <w:tcBorders>
              <w:top w:val="nil"/>
              <w:left w:val="nil"/>
              <w:bottom w:val="nil"/>
              <w:right w:val="single" w:sz="4" w:space="0" w:color="auto"/>
            </w:tcBorders>
            <w:shd w:val="clear" w:color="000000" w:fill="FFFFFF"/>
            <w:noWrap/>
            <w:vAlign w:val="bottom"/>
            <w:hideMark/>
          </w:tcPr>
          <w:p w14:paraId="3869D95A"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61.3%</w:t>
            </w:r>
          </w:p>
        </w:tc>
      </w:tr>
      <w:tr w:rsidR="007E2527" w:rsidRPr="007E2527" w14:paraId="6875DB0B"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305D1FC2" w14:textId="77777777" w:rsidR="00B831D1" w:rsidRPr="00B831D1" w:rsidRDefault="00B831D1" w:rsidP="00B831D1">
            <w:pPr>
              <w:spacing w:after="0" w:line="240" w:lineRule="auto"/>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7F9821AD"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1035</w:t>
            </w:r>
          </w:p>
        </w:tc>
        <w:tc>
          <w:tcPr>
            <w:tcW w:w="960" w:type="dxa"/>
            <w:tcBorders>
              <w:top w:val="nil"/>
              <w:left w:val="nil"/>
              <w:bottom w:val="nil"/>
              <w:right w:val="single" w:sz="4" w:space="0" w:color="auto"/>
            </w:tcBorders>
            <w:shd w:val="clear" w:color="000000" w:fill="FFFFFF"/>
            <w:noWrap/>
            <w:vAlign w:val="bottom"/>
            <w:hideMark/>
          </w:tcPr>
          <w:p w14:paraId="0A50DFA3"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55.6%</w:t>
            </w:r>
          </w:p>
        </w:tc>
        <w:tc>
          <w:tcPr>
            <w:tcW w:w="960" w:type="dxa"/>
            <w:tcBorders>
              <w:top w:val="nil"/>
              <w:left w:val="nil"/>
              <w:bottom w:val="nil"/>
              <w:right w:val="nil"/>
            </w:tcBorders>
            <w:shd w:val="clear" w:color="000000" w:fill="FFFFFF"/>
            <w:noWrap/>
            <w:vAlign w:val="bottom"/>
            <w:hideMark/>
          </w:tcPr>
          <w:p w14:paraId="5BA0385F"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458</w:t>
            </w:r>
          </w:p>
        </w:tc>
        <w:tc>
          <w:tcPr>
            <w:tcW w:w="960" w:type="dxa"/>
            <w:tcBorders>
              <w:top w:val="nil"/>
              <w:left w:val="nil"/>
              <w:bottom w:val="nil"/>
              <w:right w:val="single" w:sz="4" w:space="0" w:color="auto"/>
            </w:tcBorders>
            <w:shd w:val="clear" w:color="000000" w:fill="FFFFFF"/>
            <w:noWrap/>
            <w:vAlign w:val="bottom"/>
            <w:hideMark/>
          </w:tcPr>
          <w:p w14:paraId="2C9F6B48"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45.8%</w:t>
            </w:r>
          </w:p>
        </w:tc>
        <w:tc>
          <w:tcPr>
            <w:tcW w:w="960" w:type="dxa"/>
            <w:tcBorders>
              <w:top w:val="nil"/>
              <w:left w:val="nil"/>
              <w:bottom w:val="nil"/>
              <w:right w:val="nil"/>
            </w:tcBorders>
            <w:shd w:val="clear" w:color="000000" w:fill="FFFFFF"/>
            <w:noWrap/>
            <w:vAlign w:val="bottom"/>
            <w:hideMark/>
          </w:tcPr>
          <w:p w14:paraId="7AE369AB"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1310</w:t>
            </w:r>
          </w:p>
        </w:tc>
        <w:tc>
          <w:tcPr>
            <w:tcW w:w="960" w:type="dxa"/>
            <w:tcBorders>
              <w:top w:val="nil"/>
              <w:left w:val="nil"/>
              <w:bottom w:val="nil"/>
              <w:right w:val="single" w:sz="4" w:space="0" w:color="auto"/>
            </w:tcBorders>
            <w:shd w:val="clear" w:color="000000" w:fill="FFFFFF"/>
            <w:noWrap/>
            <w:vAlign w:val="bottom"/>
            <w:hideMark/>
          </w:tcPr>
          <w:p w14:paraId="0159AE06"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38.7%</w:t>
            </w:r>
          </w:p>
        </w:tc>
      </w:tr>
      <w:tr w:rsidR="007E2527" w:rsidRPr="007E2527" w14:paraId="174F65FC"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0C611E0D" w14:textId="77777777" w:rsidR="00B831D1" w:rsidRPr="00B831D1" w:rsidRDefault="00B831D1" w:rsidP="00B831D1">
            <w:pPr>
              <w:spacing w:after="0" w:line="240" w:lineRule="auto"/>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4CA8AA1"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1860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934F4EA"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2FA49837"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8703C56"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4C79E95"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3381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91BB72F"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w:t>
            </w:r>
          </w:p>
        </w:tc>
      </w:tr>
    </w:tbl>
    <w:p w14:paraId="32EAEF74" w14:textId="77777777" w:rsidR="00B831D1" w:rsidRDefault="00B831D1" w:rsidP="00B831D1">
      <w:pPr>
        <w:rPr>
          <w:rFonts w:asciiTheme="minorHAnsi" w:hAnsiTheme="minorHAnsi"/>
          <w:b/>
          <w:bCs/>
          <w:szCs w:val="22"/>
        </w:rPr>
      </w:pPr>
    </w:p>
    <w:p w14:paraId="0628A68E" w14:textId="77777777" w:rsidR="003420A9" w:rsidRPr="007E2527" w:rsidRDefault="003420A9" w:rsidP="00B831D1">
      <w:pPr>
        <w:rPr>
          <w:rFonts w:asciiTheme="minorHAnsi" w:hAnsiTheme="minorHAnsi"/>
          <w:b/>
          <w:bCs/>
          <w:szCs w:val="22"/>
        </w:rPr>
      </w:pPr>
    </w:p>
    <w:p w14:paraId="1AA8F5C1" w14:textId="386FC286" w:rsidR="00C442AB" w:rsidRPr="007E2527" w:rsidRDefault="00C442AB" w:rsidP="00C442AB">
      <w:pPr>
        <w:pStyle w:val="ListParagraph"/>
        <w:numPr>
          <w:ilvl w:val="2"/>
          <w:numId w:val="11"/>
        </w:numPr>
        <w:rPr>
          <w:rFonts w:asciiTheme="minorHAnsi" w:hAnsiTheme="minorHAnsi"/>
          <w:b/>
          <w:bCs/>
          <w:szCs w:val="22"/>
        </w:rPr>
      </w:pPr>
      <w:r w:rsidRPr="007E2527">
        <w:rPr>
          <w:rFonts w:asciiTheme="minorHAnsi" w:hAnsiTheme="minorHAnsi"/>
          <w:b/>
          <w:bCs/>
          <w:szCs w:val="22"/>
        </w:rPr>
        <w:t>PS colleagues only by sex and job family, 2025 (n=3,381)</w:t>
      </w:r>
    </w:p>
    <w:tbl>
      <w:tblPr>
        <w:tblW w:w="9324" w:type="dxa"/>
        <w:tblLayout w:type="fixed"/>
        <w:tblLook w:val="04A0" w:firstRow="1" w:lastRow="0" w:firstColumn="1" w:lastColumn="0" w:noHBand="0" w:noVBand="1"/>
      </w:tblPr>
      <w:tblGrid>
        <w:gridCol w:w="1644"/>
        <w:gridCol w:w="960"/>
        <w:gridCol w:w="960"/>
        <w:gridCol w:w="960"/>
        <w:gridCol w:w="960"/>
        <w:gridCol w:w="960"/>
        <w:gridCol w:w="960"/>
        <w:gridCol w:w="960"/>
        <w:gridCol w:w="960"/>
      </w:tblGrid>
      <w:tr w:rsidR="00B831D1" w:rsidRPr="00B831D1" w14:paraId="45F9A897" w14:textId="77777777" w:rsidTr="003420A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3AA99662" w14:textId="77777777" w:rsidR="00B831D1" w:rsidRPr="00B831D1" w:rsidRDefault="00B831D1" w:rsidP="00B831D1">
            <w:pPr>
              <w:spacing w:after="0" w:line="240" w:lineRule="auto"/>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16FB0F16" w14:textId="77777777" w:rsidR="00B831D1" w:rsidRPr="00B831D1" w:rsidRDefault="00B831D1" w:rsidP="00B831D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Administrative</w:t>
            </w:r>
          </w:p>
        </w:tc>
        <w:tc>
          <w:tcPr>
            <w:tcW w:w="1920" w:type="dxa"/>
            <w:gridSpan w:val="2"/>
            <w:tcBorders>
              <w:top w:val="single" w:sz="4" w:space="0" w:color="auto"/>
              <w:left w:val="nil"/>
              <w:bottom w:val="nil"/>
              <w:right w:val="nil"/>
            </w:tcBorders>
            <w:shd w:val="clear" w:color="000000" w:fill="FFFFFF"/>
            <w:noWrap/>
            <w:vAlign w:val="bottom"/>
            <w:hideMark/>
          </w:tcPr>
          <w:p w14:paraId="387E7E88" w14:textId="77777777" w:rsidR="00B831D1" w:rsidRPr="00B831D1" w:rsidRDefault="00B831D1" w:rsidP="00B831D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Maintenance</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7C90271" w14:textId="77777777" w:rsidR="00B831D1" w:rsidRPr="00B831D1" w:rsidRDefault="00B831D1" w:rsidP="00B831D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Operational</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56F9D7E" w14:textId="77777777" w:rsidR="00B831D1" w:rsidRPr="00B831D1" w:rsidRDefault="00B831D1" w:rsidP="00B831D1">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Specialist</w:t>
            </w:r>
          </w:p>
        </w:tc>
      </w:tr>
      <w:tr w:rsidR="00B831D1" w:rsidRPr="007E2527" w14:paraId="215030EB" w14:textId="77777777" w:rsidTr="003420A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15C57D14" w14:textId="77777777" w:rsidR="00B831D1" w:rsidRPr="00B831D1" w:rsidRDefault="00B831D1" w:rsidP="00B831D1">
            <w:pPr>
              <w:spacing w:after="0" w:line="240" w:lineRule="auto"/>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45C2209"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D928ED4"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A7E59DF"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C4A876B"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239F1AE"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3F989EF"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72D7AF9"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6D3AAE7" w14:textId="77777777" w:rsidR="00B831D1" w:rsidRPr="00B831D1" w:rsidRDefault="00B831D1" w:rsidP="00B831D1">
            <w:pPr>
              <w:spacing w:after="0" w:line="240" w:lineRule="auto"/>
              <w:jc w:val="center"/>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r>
      <w:tr w:rsidR="00B831D1" w:rsidRPr="007E2527" w14:paraId="716FEE76"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1C716869" w14:textId="77777777" w:rsidR="00B831D1" w:rsidRPr="00B831D1" w:rsidRDefault="00B831D1" w:rsidP="00B831D1">
            <w:pPr>
              <w:spacing w:after="0" w:line="240" w:lineRule="auto"/>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45BF5119"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1658</w:t>
            </w:r>
          </w:p>
        </w:tc>
        <w:tc>
          <w:tcPr>
            <w:tcW w:w="960" w:type="dxa"/>
            <w:tcBorders>
              <w:top w:val="nil"/>
              <w:left w:val="nil"/>
              <w:bottom w:val="nil"/>
              <w:right w:val="single" w:sz="4" w:space="0" w:color="auto"/>
            </w:tcBorders>
            <w:shd w:val="clear" w:color="000000" w:fill="FFFFFF"/>
            <w:noWrap/>
            <w:vAlign w:val="bottom"/>
            <w:hideMark/>
          </w:tcPr>
          <w:p w14:paraId="5796F476"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73.3%</w:t>
            </w:r>
          </w:p>
        </w:tc>
        <w:tc>
          <w:tcPr>
            <w:tcW w:w="960" w:type="dxa"/>
            <w:tcBorders>
              <w:top w:val="nil"/>
              <w:left w:val="nil"/>
              <w:bottom w:val="nil"/>
              <w:right w:val="nil"/>
            </w:tcBorders>
            <w:shd w:val="clear" w:color="000000" w:fill="FFFFFF"/>
            <w:noWrap/>
            <w:vAlign w:val="bottom"/>
            <w:hideMark/>
          </w:tcPr>
          <w:p w14:paraId="552D3E8A"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43C50EA5"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79CFB9F6"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208</w:t>
            </w:r>
          </w:p>
        </w:tc>
        <w:tc>
          <w:tcPr>
            <w:tcW w:w="960" w:type="dxa"/>
            <w:tcBorders>
              <w:top w:val="nil"/>
              <w:left w:val="nil"/>
              <w:bottom w:val="nil"/>
              <w:right w:val="single" w:sz="4" w:space="0" w:color="auto"/>
            </w:tcBorders>
            <w:shd w:val="clear" w:color="000000" w:fill="FFFFFF"/>
            <w:noWrap/>
            <w:vAlign w:val="bottom"/>
            <w:hideMark/>
          </w:tcPr>
          <w:p w14:paraId="311E1365"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42.0%</w:t>
            </w:r>
          </w:p>
        </w:tc>
        <w:tc>
          <w:tcPr>
            <w:tcW w:w="960" w:type="dxa"/>
            <w:tcBorders>
              <w:top w:val="nil"/>
              <w:left w:val="nil"/>
              <w:bottom w:val="nil"/>
              <w:right w:val="nil"/>
            </w:tcBorders>
            <w:shd w:val="clear" w:color="000000" w:fill="FFFFFF"/>
            <w:noWrap/>
            <w:vAlign w:val="bottom"/>
            <w:hideMark/>
          </w:tcPr>
          <w:p w14:paraId="69DADB70"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202</w:t>
            </w:r>
          </w:p>
        </w:tc>
        <w:tc>
          <w:tcPr>
            <w:tcW w:w="960" w:type="dxa"/>
            <w:tcBorders>
              <w:top w:val="nil"/>
              <w:left w:val="nil"/>
              <w:bottom w:val="nil"/>
              <w:right w:val="single" w:sz="4" w:space="0" w:color="auto"/>
            </w:tcBorders>
            <w:shd w:val="clear" w:color="000000" w:fill="FFFFFF"/>
            <w:noWrap/>
            <w:vAlign w:val="bottom"/>
            <w:hideMark/>
          </w:tcPr>
          <w:p w14:paraId="0C21380C"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35.9%</w:t>
            </w:r>
          </w:p>
        </w:tc>
      </w:tr>
      <w:tr w:rsidR="00B831D1" w:rsidRPr="007E2527" w14:paraId="265EEA27"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6E1C175B" w14:textId="77777777" w:rsidR="00B831D1" w:rsidRPr="00B831D1" w:rsidRDefault="00B831D1" w:rsidP="00B831D1">
            <w:pPr>
              <w:spacing w:after="0" w:line="240" w:lineRule="auto"/>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46B8ECE1"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605</w:t>
            </w:r>
          </w:p>
        </w:tc>
        <w:tc>
          <w:tcPr>
            <w:tcW w:w="960" w:type="dxa"/>
            <w:tcBorders>
              <w:top w:val="nil"/>
              <w:left w:val="nil"/>
              <w:bottom w:val="nil"/>
              <w:right w:val="single" w:sz="4" w:space="0" w:color="auto"/>
            </w:tcBorders>
            <w:shd w:val="clear" w:color="000000" w:fill="FFFFFF"/>
            <w:noWrap/>
            <w:vAlign w:val="bottom"/>
            <w:hideMark/>
          </w:tcPr>
          <w:p w14:paraId="3F644017"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26.7%</w:t>
            </w:r>
          </w:p>
        </w:tc>
        <w:tc>
          <w:tcPr>
            <w:tcW w:w="960" w:type="dxa"/>
            <w:tcBorders>
              <w:top w:val="nil"/>
              <w:left w:val="nil"/>
              <w:bottom w:val="nil"/>
              <w:right w:val="nil"/>
            </w:tcBorders>
            <w:shd w:val="clear" w:color="000000" w:fill="FFFFFF"/>
            <w:noWrap/>
            <w:vAlign w:val="bottom"/>
            <w:hideMark/>
          </w:tcPr>
          <w:p w14:paraId="03FB8FB8"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58</w:t>
            </w:r>
          </w:p>
        </w:tc>
        <w:tc>
          <w:tcPr>
            <w:tcW w:w="960" w:type="dxa"/>
            <w:tcBorders>
              <w:top w:val="nil"/>
              <w:left w:val="nil"/>
              <w:bottom w:val="nil"/>
              <w:right w:val="nil"/>
            </w:tcBorders>
            <w:shd w:val="clear" w:color="000000" w:fill="FFFFFF"/>
            <w:noWrap/>
            <w:vAlign w:val="bottom"/>
            <w:hideMark/>
          </w:tcPr>
          <w:p w14:paraId="64C545C1"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95.1%</w:t>
            </w:r>
          </w:p>
        </w:tc>
        <w:tc>
          <w:tcPr>
            <w:tcW w:w="960" w:type="dxa"/>
            <w:tcBorders>
              <w:top w:val="nil"/>
              <w:left w:val="single" w:sz="4" w:space="0" w:color="auto"/>
              <w:bottom w:val="nil"/>
              <w:right w:val="nil"/>
            </w:tcBorders>
            <w:shd w:val="clear" w:color="000000" w:fill="FFFFFF"/>
            <w:noWrap/>
            <w:vAlign w:val="bottom"/>
            <w:hideMark/>
          </w:tcPr>
          <w:p w14:paraId="7F11FAFD"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287</w:t>
            </w:r>
          </w:p>
        </w:tc>
        <w:tc>
          <w:tcPr>
            <w:tcW w:w="960" w:type="dxa"/>
            <w:tcBorders>
              <w:top w:val="nil"/>
              <w:left w:val="nil"/>
              <w:bottom w:val="nil"/>
              <w:right w:val="single" w:sz="4" w:space="0" w:color="auto"/>
            </w:tcBorders>
            <w:shd w:val="clear" w:color="000000" w:fill="FFFFFF"/>
            <w:noWrap/>
            <w:vAlign w:val="bottom"/>
            <w:hideMark/>
          </w:tcPr>
          <w:p w14:paraId="6FD6C21B"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58.0%</w:t>
            </w:r>
          </w:p>
        </w:tc>
        <w:tc>
          <w:tcPr>
            <w:tcW w:w="960" w:type="dxa"/>
            <w:tcBorders>
              <w:top w:val="nil"/>
              <w:left w:val="nil"/>
              <w:bottom w:val="nil"/>
              <w:right w:val="nil"/>
            </w:tcBorders>
            <w:shd w:val="clear" w:color="000000" w:fill="FFFFFF"/>
            <w:noWrap/>
            <w:vAlign w:val="bottom"/>
            <w:hideMark/>
          </w:tcPr>
          <w:p w14:paraId="1CE16BF0"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360</w:t>
            </w:r>
          </w:p>
        </w:tc>
        <w:tc>
          <w:tcPr>
            <w:tcW w:w="960" w:type="dxa"/>
            <w:tcBorders>
              <w:top w:val="nil"/>
              <w:left w:val="nil"/>
              <w:bottom w:val="nil"/>
              <w:right w:val="single" w:sz="4" w:space="0" w:color="auto"/>
            </w:tcBorders>
            <w:shd w:val="clear" w:color="000000" w:fill="FFFFFF"/>
            <w:noWrap/>
            <w:vAlign w:val="bottom"/>
            <w:hideMark/>
          </w:tcPr>
          <w:p w14:paraId="0EF69FD8" w14:textId="77777777" w:rsidR="00B831D1" w:rsidRPr="00B831D1" w:rsidRDefault="00B831D1" w:rsidP="00B831D1">
            <w:pPr>
              <w:spacing w:after="0" w:line="240" w:lineRule="auto"/>
              <w:jc w:val="right"/>
              <w:rPr>
                <w:rFonts w:asciiTheme="minorHAnsi" w:eastAsia="Times New Roman" w:hAnsiTheme="minorHAnsi" w:cs="Times New Roman"/>
                <w:color w:val="000000"/>
                <w:kern w:val="0"/>
                <w:szCs w:val="22"/>
                <w:lang w:eastAsia="en-GB"/>
                <w14:ligatures w14:val="none"/>
              </w:rPr>
            </w:pPr>
            <w:r w:rsidRPr="00B831D1">
              <w:rPr>
                <w:rFonts w:asciiTheme="minorHAnsi" w:eastAsia="Times New Roman" w:hAnsiTheme="minorHAnsi" w:cs="Times New Roman"/>
                <w:color w:val="000000"/>
                <w:kern w:val="0"/>
                <w:szCs w:val="22"/>
                <w:lang w:eastAsia="en-GB"/>
                <w14:ligatures w14:val="none"/>
              </w:rPr>
              <w:t>64.1%</w:t>
            </w:r>
          </w:p>
        </w:tc>
      </w:tr>
      <w:tr w:rsidR="00B831D1" w:rsidRPr="007E2527" w14:paraId="5C355CDB"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224994FD" w14:textId="77777777" w:rsidR="00B831D1" w:rsidRPr="00B831D1" w:rsidRDefault="00B831D1" w:rsidP="00B831D1">
            <w:pPr>
              <w:spacing w:after="0" w:line="240" w:lineRule="auto"/>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BE577F0"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2263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D371DB6"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67B9BC5"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61</w:t>
            </w:r>
          </w:p>
        </w:tc>
        <w:tc>
          <w:tcPr>
            <w:tcW w:w="960" w:type="dxa"/>
            <w:tcBorders>
              <w:top w:val="dotted" w:sz="4" w:space="0" w:color="auto"/>
              <w:left w:val="nil"/>
              <w:bottom w:val="double" w:sz="6" w:space="0" w:color="auto"/>
              <w:right w:val="nil"/>
            </w:tcBorders>
            <w:shd w:val="clear" w:color="000000" w:fill="FFFFFF"/>
            <w:noWrap/>
            <w:vAlign w:val="bottom"/>
            <w:hideMark/>
          </w:tcPr>
          <w:p w14:paraId="3F13A770"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00B497A"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495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0ECCB2"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ECFC0C6"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562</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3234C5C" w14:textId="77777777" w:rsidR="00B831D1" w:rsidRPr="00B831D1" w:rsidRDefault="00B831D1" w:rsidP="00B831D1">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831D1">
              <w:rPr>
                <w:rFonts w:asciiTheme="minorHAnsi" w:eastAsia="Times New Roman" w:hAnsiTheme="minorHAnsi" w:cs="Times New Roman"/>
                <w:b/>
                <w:bCs/>
                <w:color w:val="000000"/>
                <w:kern w:val="0"/>
                <w:szCs w:val="22"/>
                <w:lang w:eastAsia="en-GB"/>
                <w14:ligatures w14:val="none"/>
              </w:rPr>
              <w:t>100%</w:t>
            </w:r>
          </w:p>
        </w:tc>
      </w:tr>
    </w:tbl>
    <w:p w14:paraId="0D6B3009" w14:textId="77777777" w:rsidR="00B831D1" w:rsidRPr="007E2527" w:rsidRDefault="00B831D1" w:rsidP="00B831D1">
      <w:pPr>
        <w:rPr>
          <w:rFonts w:asciiTheme="minorHAnsi" w:hAnsiTheme="minorHAnsi"/>
          <w:b/>
          <w:bCs/>
          <w:szCs w:val="22"/>
        </w:rPr>
      </w:pPr>
    </w:p>
    <w:p w14:paraId="363B2C62" w14:textId="77777777" w:rsidR="00D80070" w:rsidRPr="007E2527" w:rsidRDefault="00D80070" w:rsidP="00C442AB">
      <w:pPr>
        <w:rPr>
          <w:rFonts w:asciiTheme="minorHAnsi" w:hAnsiTheme="minorHAnsi"/>
          <w:b/>
          <w:bCs/>
          <w:szCs w:val="22"/>
        </w:rPr>
      </w:pPr>
    </w:p>
    <w:p w14:paraId="6C01FCC0" w14:textId="03504076" w:rsidR="00037CAE" w:rsidRPr="007E2527" w:rsidRDefault="00037CAE" w:rsidP="00037CAE">
      <w:pPr>
        <w:pStyle w:val="ListParagraph"/>
        <w:numPr>
          <w:ilvl w:val="2"/>
          <w:numId w:val="11"/>
        </w:numPr>
        <w:rPr>
          <w:rFonts w:asciiTheme="minorHAnsi" w:hAnsiTheme="minorHAnsi"/>
          <w:b/>
          <w:bCs/>
          <w:szCs w:val="22"/>
        </w:rPr>
      </w:pPr>
      <w:r w:rsidRPr="007E2527">
        <w:rPr>
          <w:rFonts w:asciiTheme="minorHAnsi" w:hAnsiTheme="minorHAnsi"/>
          <w:b/>
          <w:bCs/>
          <w:szCs w:val="22"/>
        </w:rPr>
        <w:t>Colleagues on academic contracts (R&amp;I, T&amp;R or T&amp;S) by sex and contract type, 2025 (n=2,865)</w:t>
      </w:r>
    </w:p>
    <w:tbl>
      <w:tblPr>
        <w:tblW w:w="7404" w:type="dxa"/>
        <w:tblLayout w:type="fixed"/>
        <w:tblLook w:val="04A0" w:firstRow="1" w:lastRow="0" w:firstColumn="1" w:lastColumn="0" w:noHBand="0" w:noVBand="1"/>
      </w:tblPr>
      <w:tblGrid>
        <w:gridCol w:w="1644"/>
        <w:gridCol w:w="960"/>
        <w:gridCol w:w="960"/>
        <w:gridCol w:w="960"/>
        <w:gridCol w:w="960"/>
        <w:gridCol w:w="960"/>
        <w:gridCol w:w="960"/>
      </w:tblGrid>
      <w:tr w:rsidR="00496186" w:rsidRPr="00496186" w14:paraId="7D1D1679" w14:textId="77777777" w:rsidTr="003420A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6496DCF8" w14:textId="77777777" w:rsidR="00496186" w:rsidRPr="00496186" w:rsidRDefault="00496186" w:rsidP="00496186">
            <w:pPr>
              <w:spacing w:after="0" w:line="240" w:lineRule="auto"/>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AA80EA8" w14:textId="77777777" w:rsidR="00496186" w:rsidRPr="00496186" w:rsidRDefault="00496186" w:rsidP="0049618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R&amp;I</w:t>
            </w:r>
          </w:p>
        </w:tc>
        <w:tc>
          <w:tcPr>
            <w:tcW w:w="1920" w:type="dxa"/>
            <w:gridSpan w:val="2"/>
            <w:tcBorders>
              <w:top w:val="single" w:sz="4" w:space="0" w:color="auto"/>
              <w:left w:val="nil"/>
              <w:bottom w:val="nil"/>
              <w:right w:val="nil"/>
            </w:tcBorders>
            <w:shd w:val="clear" w:color="000000" w:fill="FFFFFF"/>
            <w:noWrap/>
            <w:vAlign w:val="bottom"/>
            <w:hideMark/>
          </w:tcPr>
          <w:p w14:paraId="6C470078" w14:textId="77777777" w:rsidR="00496186" w:rsidRPr="00496186" w:rsidRDefault="00496186" w:rsidP="0049618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T&amp;R</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AE9F9B2" w14:textId="77777777" w:rsidR="00496186" w:rsidRPr="00496186" w:rsidRDefault="00496186" w:rsidP="0049618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T&amp;S</w:t>
            </w:r>
          </w:p>
        </w:tc>
      </w:tr>
      <w:tr w:rsidR="007E2527" w:rsidRPr="007E2527" w14:paraId="291A5CDA" w14:textId="77777777" w:rsidTr="003420A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5FF4270D" w14:textId="77777777" w:rsidR="00496186" w:rsidRPr="00496186" w:rsidRDefault="00496186" w:rsidP="00496186">
            <w:pPr>
              <w:spacing w:after="0" w:line="240" w:lineRule="auto"/>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348B0ABF" w14:textId="77777777" w:rsidR="00496186" w:rsidRPr="00496186" w:rsidRDefault="00496186" w:rsidP="00496186">
            <w:pPr>
              <w:spacing w:after="0" w:line="240" w:lineRule="auto"/>
              <w:jc w:val="center"/>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527FFE0" w14:textId="77777777" w:rsidR="00496186" w:rsidRPr="00496186" w:rsidRDefault="00496186" w:rsidP="00496186">
            <w:pPr>
              <w:spacing w:after="0" w:line="240" w:lineRule="auto"/>
              <w:jc w:val="center"/>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A9020F1" w14:textId="77777777" w:rsidR="00496186" w:rsidRPr="00496186" w:rsidRDefault="00496186" w:rsidP="00496186">
            <w:pPr>
              <w:spacing w:after="0" w:line="240" w:lineRule="auto"/>
              <w:jc w:val="center"/>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64CC553" w14:textId="77777777" w:rsidR="00496186" w:rsidRPr="00496186" w:rsidRDefault="00496186" w:rsidP="00496186">
            <w:pPr>
              <w:spacing w:after="0" w:line="240" w:lineRule="auto"/>
              <w:jc w:val="center"/>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A3AB9B9" w14:textId="77777777" w:rsidR="00496186" w:rsidRPr="00496186" w:rsidRDefault="00496186" w:rsidP="00496186">
            <w:pPr>
              <w:spacing w:after="0" w:line="240" w:lineRule="auto"/>
              <w:jc w:val="center"/>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9F3CD5E" w14:textId="77777777" w:rsidR="00496186" w:rsidRPr="00496186" w:rsidRDefault="00496186" w:rsidP="00496186">
            <w:pPr>
              <w:spacing w:after="0" w:line="240" w:lineRule="auto"/>
              <w:jc w:val="center"/>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w:t>
            </w:r>
          </w:p>
        </w:tc>
      </w:tr>
      <w:tr w:rsidR="007E2527" w:rsidRPr="007E2527" w14:paraId="7F148515"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7368D888" w14:textId="77777777" w:rsidR="00496186" w:rsidRPr="00496186" w:rsidRDefault="00496186" w:rsidP="00496186">
            <w:pPr>
              <w:spacing w:after="0" w:line="240" w:lineRule="auto"/>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1847C23C"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544</w:t>
            </w:r>
          </w:p>
        </w:tc>
        <w:tc>
          <w:tcPr>
            <w:tcW w:w="960" w:type="dxa"/>
            <w:tcBorders>
              <w:top w:val="nil"/>
              <w:left w:val="nil"/>
              <w:bottom w:val="nil"/>
              <w:right w:val="single" w:sz="4" w:space="0" w:color="auto"/>
            </w:tcBorders>
            <w:shd w:val="clear" w:color="000000" w:fill="FFFFFF"/>
            <w:noWrap/>
            <w:vAlign w:val="bottom"/>
            <w:hideMark/>
          </w:tcPr>
          <w:p w14:paraId="13F32FC5"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54.0%</w:t>
            </w:r>
          </w:p>
        </w:tc>
        <w:tc>
          <w:tcPr>
            <w:tcW w:w="960" w:type="dxa"/>
            <w:tcBorders>
              <w:top w:val="nil"/>
              <w:left w:val="nil"/>
              <w:bottom w:val="nil"/>
              <w:right w:val="nil"/>
            </w:tcBorders>
            <w:shd w:val="clear" w:color="000000" w:fill="FFFFFF"/>
            <w:noWrap/>
            <w:vAlign w:val="bottom"/>
            <w:hideMark/>
          </w:tcPr>
          <w:p w14:paraId="737C6657"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556</w:t>
            </w:r>
          </w:p>
        </w:tc>
        <w:tc>
          <w:tcPr>
            <w:tcW w:w="960" w:type="dxa"/>
            <w:tcBorders>
              <w:top w:val="nil"/>
              <w:left w:val="nil"/>
              <w:bottom w:val="nil"/>
              <w:right w:val="nil"/>
            </w:tcBorders>
            <w:shd w:val="clear" w:color="000000" w:fill="FFFFFF"/>
            <w:noWrap/>
            <w:vAlign w:val="bottom"/>
            <w:hideMark/>
          </w:tcPr>
          <w:p w14:paraId="066F0647"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39.5%</w:t>
            </w:r>
          </w:p>
        </w:tc>
        <w:tc>
          <w:tcPr>
            <w:tcW w:w="960" w:type="dxa"/>
            <w:tcBorders>
              <w:top w:val="nil"/>
              <w:left w:val="single" w:sz="4" w:space="0" w:color="auto"/>
              <w:bottom w:val="nil"/>
              <w:right w:val="nil"/>
            </w:tcBorders>
            <w:shd w:val="clear" w:color="000000" w:fill="FFFFFF"/>
            <w:noWrap/>
            <w:vAlign w:val="bottom"/>
            <w:hideMark/>
          </w:tcPr>
          <w:p w14:paraId="6C509035"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270</w:t>
            </w:r>
          </w:p>
        </w:tc>
        <w:tc>
          <w:tcPr>
            <w:tcW w:w="960" w:type="dxa"/>
            <w:tcBorders>
              <w:top w:val="nil"/>
              <w:left w:val="nil"/>
              <w:bottom w:val="nil"/>
              <w:right w:val="single" w:sz="4" w:space="0" w:color="auto"/>
            </w:tcBorders>
            <w:shd w:val="clear" w:color="000000" w:fill="FFFFFF"/>
            <w:noWrap/>
            <w:vAlign w:val="bottom"/>
            <w:hideMark/>
          </w:tcPr>
          <w:p w14:paraId="69B926DB"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59.9%</w:t>
            </w:r>
          </w:p>
        </w:tc>
      </w:tr>
      <w:tr w:rsidR="007E2527" w:rsidRPr="007E2527" w14:paraId="67633903"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51427B8D" w14:textId="77777777" w:rsidR="00496186" w:rsidRPr="00496186" w:rsidRDefault="00496186" w:rsidP="00496186">
            <w:pPr>
              <w:spacing w:after="0" w:line="240" w:lineRule="auto"/>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7E8AB30D"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463</w:t>
            </w:r>
          </w:p>
        </w:tc>
        <w:tc>
          <w:tcPr>
            <w:tcW w:w="960" w:type="dxa"/>
            <w:tcBorders>
              <w:top w:val="nil"/>
              <w:left w:val="nil"/>
              <w:bottom w:val="nil"/>
              <w:right w:val="single" w:sz="4" w:space="0" w:color="auto"/>
            </w:tcBorders>
            <w:shd w:val="clear" w:color="000000" w:fill="FFFFFF"/>
            <w:noWrap/>
            <w:vAlign w:val="bottom"/>
            <w:hideMark/>
          </w:tcPr>
          <w:p w14:paraId="2A03E9F8"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46.0%</w:t>
            </w:r>
          </w:p>
        </w:tc>
        <w:tc>
          <w:tcPr>
            <w:tcW w:w="960" w:type="dxa"/>
            <w:tcBorders>
              <w:top w:val="nil"/>
              <w:left w:val="nil"/>
              <w:bottom w:val="nil"/>
              <w:right w:val="nil"/>
            </w:tcBorders>
            <w:shd w:val="clear" w:color="000000" w:fill="FFFFFF"/>
            <w:noWrap/>
            <w:vAlign w:val="bottom"/>
            <w:hideMark/>
          </w:tcPr>
          <w:p w14:paraId="73338677"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851</w:t>
            </w:r>
          </w:p>
        </w:tc>
        <w:tc>
          <w:tcPr>
            <w:tcW w:w="960" w:type="dxa"/>
            <w:tcBorders>
              <w:top w:val="nil"/>
              <w:left w:val="nil"/>
              <w:bottom w:val="nil"/>
              <w:right w:val="nil"/>
            </w:tcBorders>
            <w:shd w:val="clear" w:color="000000" w:fill="FFFFFF"/>
            <w:noWrap/>
            <w:vAlign w:val="bottom"/>
            <w:hideMark/>
          </w:tcPr>
          <w:p w14:paraId="1ABA65FD"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60.5%</w:t>
            </w:r>
          </w:p>
        </w:tc>
        <w:tc>
          <w:tcPr>
            <w:tcW w:w="960" w:type="dxa"/>
            <w:tcBorders>
              <w:top w:val="nil"/>
              <w:left w:val="single" w:sz="4" w:space="0" w:color="auto"/>
              <w:bottom w:val="nil"/>
              <w:right w:val="nil"/>
            </w:tcBorders>
            <w:shd w:val="clear" w:color="000000" w:fill="FFFFFF"/>
            <w:noWrap/>
            <w:vAlign w:val="bottom"/>
            <w:hideMark/>
          </w:tcPr>
          <w:p w14:paraId="7BE75DF8"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181</w:t>
            </w:r>
          </w:p>
        </w:tc>
        <w:tc>
          <w:tcPr>
            <w:tcW w:w="960" w:type="dxa"/>
            <w:tcBorders>
              <w:top w:val="nil"/>
              <w:left w:val="nil"/>
              <w:bottom w:val="nil"/>
              <w:right w:val="single" w:sz="4" w:space="0" w:color="auto"/>
            </w:tcBorders>
            <w:shd w:val="clear" w:color="000000" w:fill="FFFFFF"/>
            <w:noWrap/>
            <w:vAlign w:val="bottom"/>
            <w:hideMark/>
          </w:tcPr>
          <w:p w14:paraId="760CE2BC" w14:textId="77777777" w:rsidR="00496186" w:rsidRPr="00496186" w:rsidRDefault="00496186" w:rsidP="00496186">
            <w:pPr>
              <w:spacing w:after="0" w:line="240" w:lineRule="auto"/>
              <w:jc w:val="right"/>
              <w:rPr>
                <w:rFonts w:asciiTheme="minorHAnsi" w:eastAsia="Times New Roman" w:hAnsiTheme="minorHAnsi" w:cs="Times New Roman"/>
                <w:color w:val="000000"/>
                <w:kern w:val="0"/>
                <w:szCs w:val="22"/>
                <w:lang w:eastAsia="en-GB"/>
                <w14:ligatures w14:val="none"/>
              </w:rPr>
            </w:pPr>
            <w:r w:rsidRPr="00496186">
              <w:rPr>
                <w:rFonts w:asciiTheme="minorHAnsi" w:eastAsia="Times New Roman" w:hAnsiTheme="minorHAnsi" w:cs="Times New Roman"/>
                <w:color w:val="000000"/>
                <w:kern w:val="0"/>
                <w:szCs w:val="22"/>
                <w:lang w:eastAsia="en-GB"/>
                <w14:ligatures w14:val="none"/>
              </w:rPr>
              <w:t>40.1%</w:t>
            </w:r>
          </w:p>
        </w:tc>
      </w:tr>
      <w:tr w:rsidR="007E2527" w:rsidRPr="007E2527" w14:paraId="6334343D"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648F0586" w14:textId="77777777" w:rsidR="00496186" w:rsidRPr="00496186" w:rsidRDefault="00496186" w:rsidP="00496186">
            <w:pPr>
              <w:spacing w:after="0" w:line="240" w:lineRule="auto"/>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DD3D2EC" w14:textId="77777777" w:rsidR="00496186" w:rsidRPr="00496186" w:rsidRDefault="00496186" w:rsidP="004961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1007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24FA17F" w14:textId="77777777" w:rsidR="00496186" w:rsidRPr="00496186" w:rsidRDefault="00496186" w:rsidP="004961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3F33EFB" w14:textId="77777777" w:rsidR="00496186" w:rsidRPr="00496186" w:rsidRDefault="00496186" w:rsidP="004961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1407</w:t>
            </w:r>
          </w:p>
        </w:tc>
        <w:tc>
          <w:tcPr>
            <w:tcW w:w="960" w:type="dxa"/>
            <w:tcBorders>
              <w:top w:val="dotted" w:sz="4" w:space="0" w:color="auto"/>
              <w:left w:val="nil"/>
              <w:bottom w:val="double" w:sz="6" w:space="0" w:color="auto"/>
              <w:right w:val="nil"/>
            </w:tcBorders>
            <w:shd w:val="clear" w:color="000000" w:fill="FFFFFF"/>
            <w:noWrap/>
            <w:vAlign w:val="bottom"/>
            <w:hideMark/>
          </w:tcPr>
          <w:p w14:paraId="05C405B8" w14:textId="77777777" w:rsidR="00496186" w:rsidRPr="00496186" w:rsidRDefault="00496186" w:rsidP="004961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4C1C11D9" w14:textId="77777777" w:rsidR="00496186" w:rsidRPr="00496186" w:rsidRDefault="00496186" w:rsidP="004961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451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BE59FE6" w14:textId="77777777" w:rsidR="00496186" w:rsidRPr="00496186" w:rsidRDefault="00496186" w:rsidP="0049618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496186">
              <w:rPr>
                <w:rFonts w:asciiTheme="minorHAnsi" w:eastAsia="Times New Roman" w:hAnsiTheme="minorHAnsi" w:cs="Times New Roman"/>
                <w:b/>
                <w:bCs/>
                <w:color w:val="000000"/>
                <w:kern w:val="0"/>
                <w:szCs w:val="22"/>
                <w:lang w:eastAsia="en-GB"/>
                <w14:ligatures w14:val="none"/>
              </w:rPr>
              <w:t>100%</w:t>
            </w:r>
          </w:p>
        </w:tc>
      </w:tr>
    </w:tbl>
    <w:p w14:paraId="51C81165" w14:textId="1CE48562" w:rsidR="00037CAE" w:rsidRPr="007E2527" w:rsidRDefault="00037CAE" w:rsidP="00037CAE">
      <w:pPr>
        <w:rPr>
          <w:rFonts w:asciiTheme="minorHAnsi" w:hAnsiTheme="minorHAnsi"/>
          <w:b/>
          <w:bCs/>
          <w:szCs w:val="22"/>
        </w:rPr>
      </w:pPr>
    </w:p>
    <w:p w14:paraId="75BC589E" w14:textId="19D87A4D" w:rsidR="00D80070" w:rsidRPr="007E2527" w:rsidRDefault="00037CAE" w:rsidP="00037CAE">
      <w:pPr>
        <w:rPr>
          <w:rFonts w:asciiTheme="minorHAnsi" w:hAnsiTheme="minorHAnsi"/>
          <w:szCs w:val="22"/>
        </w:rPr>
      </w:pPr>
      <w:r w:rsidRPr="007E2527">
        <w:rPr>
          <w:rFonts w:asciiTheme="minorHAnsi" w:hAnsiTheme="minorHAnsi"/>
          <w:szCs w:val="22"/>
        </w:rPr>
        <w:t>Note. There are 9 PS colleagues on T&amp;R contracts included in these numbers.</w:t>
      </w:r>
    </w:p>
    <w:p w14:paraId="40FD57C1" w14:textId="0961DDCE" w:rsidR="00037CAE" w:rsidRPr="007E2527" w:rsidRDefault="00037CAE" w:rsidP="00037CAE">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and sex, and occupation 2025 (N=6,241)</w:t>
      </w:r>
    </w:p>
    <w:tbl>
      <w:tblPr>
        <w:tblW w:w="8368" w:type="dxa"/>
        <w:tblLayout w:type="fixed"/>
        <w:tblLook w:val="04A0" w:firstRow="1" w:lastRow="0" w:firstColumn="1" w:lastColumn="0" w:noHBand="0" w:noVBand="1"/>
      </w:tblPr>
      <w:tblGrid>
        <w:gridCol w:w="2608"/>
        <w:gridCol w:w="960"/>
        <w:gridCol w:w="960"/>
        <w:gridCol w:w="960"/>
        <w:gridCol w:w="960"/>
        <w:gridCol w:w="960"/>
        <w:gridCol w:w="960"/>
      </w:tblGrid>
      <w:tr w:rsidR="00336E6F" w:rsidRPr="00336E6F" w14:paraId="05C40884" w14:textId="77777777" w:rsidTr="00336E6F">
        <w:trPr>
          <w:trHeight w:val="300"/>
        </w:trPr>
        <w:tc>
          <w:tcPr>
            <w:tcW w:w="2608" w:type="dxa"/>
            <w:tcBorders>
              <w:top w:val="single" w:sz="4" w:space="0" w:color="auto"/>
              <w:left w:val="single" w:sz="4" w:space="0" w:color="auto"/>
              <w:bottom w:val="nil"/>
              <w:right w:val="nil"/>
            </w:tcBorders>
            <w:shd w:val="clear" w:color="000000" w:fill="FFFFFF"/>
            <w:noWrap/>
            <w:vAlign w:val="bottom"/>
            <w:hideMark/>
          </w:tcPr>
          <w:p w14:paraId="24107E60" w14:textId="77777777" w:rsidR="00336E6F" w:rsidRPr="00336E6F" w:rsidRDefault="00336E6F" w:rsidP="00336E6F">
            <w:pPr>
              <w:spacing w:after="0" w:line="240" w:lineRule="auto"/>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7CCF993" w14:textId="77777777" w:rsidR="00336E6F" w:rsidRPr="00336E6F" w:rsidRDefault="00336E6F" w:rsidP="00336E6F">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nil"/>
            </w:tcBorders>
            <w:shd w:val="clear" w:color="000000" w:fill="FFFFFF"/>
            <w:noWrap/>
            <w:vAlign w:val="bottom"/>
            <w:hideMark/>
          </w:tcPr>
          <w:p w14:paraId="7D8F47ED" w14:textId="77777777" w:rsidR="00336E6F" w:rsidRPr="00336E6F" w:rsidRDefault="00336E6F" w:rsidP="00336E6F">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CC752E5" w14:textId="77777777" w:rsidR="00336E6F" w:rsidRPr="00336E6F" w:rsidRDefault="00336E6F" w:rsidP="00336E6F">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PS</w:t>
            </w:r>
          </w:p>
        </w:tc>
      </w:tr>
      <w:tr w:rsidR="00336E6F" w:rsidRPr="007E2527" w14:paraId="079CFAF6" w14:textId="77777777" w:rsidTr="00336E6F">
        <w:trPr>
          <w:trHeight w:val="300"/>
        </w:trPr>
        <w:tc>
          <w:tcPr>
            <w:tcW w:w="2608" w:type="dxa"/>
            <w:tcBorders>
              <w:top w:val="nil"/>
              <w:left w:val="single" w:sz="4" w:space="0" w:color="auto"/>
              <w:bottom w:val="single" w:sz="4" w:space="0" w:color="auto"/>
              <w:right w:val="nil"/>
            </w:tcBorders>
            <w:shd w:val="clear" w:color="000000" w:fill="FFFFFF"/>
            <w:noWrap/>
            <w:vAlign w:val="bottom"/>
            <w:hideMark/>
          </w:tcPr>
          <w:p w14:paraId="4C876407" w14:textId="77777777" w:rsidR="00336E6F" w:rsidRPr="00336E6F" w:rsidRDefault="00336E6F" w:rsidP="00336E6F">
            <w:pPr>
              <w:spacing w:after="0" w:line="240" w:lineRule="auto"/>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0115439A" w14:textId="77777777" w:rsidR="00336E6F" w:rsidRPr="00336E6F" w:rsidRDefault="00336E6F" w:rsidP="00336E6F">
            <w:pPr>
              <w:spacing w:after="0" w:line="240" w:lineRule="auto"/>
              <w:jc w:val="center"/>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7CF235E" w14:textId="77777777" w:rsidR="00336E6F" w:rsidRPr="00336E6F" w:rsidRDefault="00336E6F" w:rsidP="00336E6F">
            <w:pPr>
              <w:spacing w:after="0" w:line="240" w:lineRule="auto"/>
              <w:jc w:val="center"/>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08C9E5F" w14:textId="77777777" w:rsidR="00336E6F" w:rsidRPr="00336E6F" w:rsidRDefault="00336E6F" w:rsidP="00336E6F">
            <w:pPr>
              <w:spacing w:after="0" w:line="240" w:lineRule="auto"/>
              <w:jc w:val="center"/>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3DA483F5" w14:textId="77777777" w:rsidR="00336E6F" w:rsidRPr="00336E6F" w:rsidRDefault="00336E6F" w:rsidP="00336E6F">
            <w:pPr>
              <w:spacing w:after="0" w:line="240" w:lineRule="auto"/>
              <w:jc w:val="center"/>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6B671D47" w14:textId="77777777" w:rsidR="00336E6F" w:rsidRPr="00336E6F" w:rsidRDefault="00336E6F" w:rsidP="00336E6F">
            <w:pPr>
              <w:spacing w:after="0" w:line="240" w:lineRule="auto"/>
              <w:jc w:val="center"/>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DDB0D60" w14:textId="77777777" w:rsidR="00336E6F" w:rsidRPr="00336E6F" w:rsidRDefault="00336E6F" w:rsidP="00336E6F">
            <w:pPr>
              <w:spacing w:after="0" w:line="240" w:lineRule="auto"/>
              <w:jc w:val="center"/>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w:t>
            </w:r>
          </w:p>
        </w:tc>
      </w:tr>
      <w:tr w:rsidR="00336E6F" w:rsidRPr="007E2527" w14:paraId="31293749"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2C54762D" w14:textId="77777777" w:rsidR="00336E6F" w:rsidRPr="00336E6F" w:rsidRDefault="00336E6F" w:rsidP="00336E6F">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336E6F">
              <w:rPr>
                <w:rFonts w:asciiTheme="minorHAnsi" w:eastAsia="Times New Roman" w:hAnsiTheme="minorHAnsi" w:cs="Times New Roman"/>
                <w:b/>
                <w:bCs/>
                <w:color w:val="000000"/>
                <w:kern w:val="0"/>
                <w:szCs w:val="22"/>
                <w:lang w:eastAsia="en-GB"/>
                <w14:ligatures w14:val="none"/>
              </w:rPr>
              <w:t>HaSS</w:t>
            </w:r>
            <w:proofErr w:type="spellEnd"/>
          </w:p>
        </w:tc>
        <w:tc>
          <w:tcPr>
            <w:tcW w:w="960" w:type="dxa"/>
            <w:tcBorders>
              <w:top w:val="nil"/>
              <w:left w:val="single" w:sz="4" w:space="0" w:color="auto"/>
              <w:bottom w:val="nil"/>
              <w:right w:val="nil"/>
            </w:tcBorders>
            <w:shd w:val="clear" w:color="000000" w:fill="FFFFFF"/>
            <w:noWrap/>
            <w:vAlign w:val="bottom"/>
            <w:hideMark/>
          </w:tcPr>
          <w:p w14:paraId="3F4668C6"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809</w:t>
            </w:r>
          </w:p>
        </w:tc>
        <w:tc>
          <w:tcPr>
            <w:tcW w:w="960" w:type="dxa"/>
            <w:tcBorders>
              <w:top w:val="nil"/>
              <w:left w:val="nil"/>
              <w:bottom w:val="nil"/>
              <w:right w:val="single" w:sz="4" w:space="0" w:color="auto"/>
            </w:tcBorders>
            <w:shd w:val="clear" w:color="000000" w:fill="FFFFFF"/>
            <w:noWrap/>
            <w:vAlign w:val="bottom"/>
            <w:hideMark/>
          </w:tcPr>
          <w:p w14:paraId="0B2E5843"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nil"/>
              <w:bottom w:val="nil"/>
              <w:right w:val="nil"/>
            </w:tcBorders>
            <w:shd w:val="clear" w:color="000000" w:fill="FFFFFF"/>
            <w:noWrap/>
            <w:vAlign w:val="bottom"/>
            <w:hideMark/>
          </w:tcPr>
          <w:p w14:paraId="0BFCBE23"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89</w:t>
            </w:r>
          </w:p>
        </w:tc>
        <w:tc>
          <w:tcPr>
            <w:tcW w:w="960" w:type="dxa"/>
            <w:tcBorders>
              <w:top w:val="nil"/>
              <w:left w:val="nil"/>
              <w:bottom w:val="nil"/>
              <w:right w:val="nil"/>
            </w:tcBorders>
            <w:shd w:val="clear" w:color="000000" w:fill="FFFFFF"/>
            <w:noWrap/>
            <w:vAlign w:val="bottom"/>
            <w:hideMark/>
          </w:tcPr>
          <w:p w14:paraId="7A16F63D"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single" w:sz="4" w:space="0" w:color="auto"/>
              <w:bottom w:val="nil"/>
              <w:right w:val="nil"/>
            </w:tcBorders>
            <w:shd w:val="clear" w:color="000000" w:fill="FFFFFF"/>
            <w:noWrap/>
            <w:vAlign w:val="bottom"/>
            <w:hideMark/>
          </w:tcPr>
          <w:p w14:paraId="5DF184D5"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297</w:t>
            </w:r>
          </w:p>
        </w:tc>
        <w:tc>
          <w:tcPr>
            <w:tcW w:w="960" w:type="dxa"/>
            <w:tcBorders>
              <w:top w:val="nil"/>
              <w:left w:val="nil"/>
              <w:bottom w:val="nil"/>
              <w:right w:val="single" w:sz="4" w:space="0" w:color="auto"/>
            </w:tcBorders>
            <w:shd w:val="clear" w:color="000000" w:fill="FFFFFF"/>
            <w:noWrap/>
            <w:vAlign w:val="bottom"/>
            <w:hideMark/>
          </w:tcPr>
          <w:p w14:paraId="1581D731"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r>
      <w:tr w:rsidR="00336E6F" w:rsidRPr="007E2527" w14:paraId="13468330"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153AC61C"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0ACEEACE"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419</w:t>
            </w:r>
          </w:p>
        </w:tc>
        <w:tc>
          <w:tcPr>
            <w:tcW w:w="960" w:type="dxa"/>
            <w:tcBorders>
              <w:top w:val="nil"/>
              <w:left w:val="nil"/>
              <w:bottom w:val="nil"/>
              <w:right w:val="single" w:sz="4" w:space="0" w:color="auto"/>
            </w:tcBorders>
            <w:shd w:val="clear" w:color="000000" w:fill="FFFFFF"/>
            <w:noWrap/>
            <w:vAlign w:val="bottom"/>
            <w:hideMark/>
          </w:tcPr>
          <w:p w14:paraId="3F129104"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51.8%</w:t>
            </w:r>
          </w:p>
        </w:tc>
        <w:tc>
          <w:tcPr>
            <w:tcW w:w="960" w:type="dxa"/>
            <w:tcBorders>
              <w:top w:val="nil"/>
              <w:left w:val="nil"/>
              <w:bottom w:val="nil"/>
              <w:right w:val="nil"/>
            </w:tcBorders>
            <w:shd w:val="clear" w:color="000000" w:fill="FFFFFF"/>
            <w:noWrap/>
            <w:vAlign w:val="bottom"/>
            <w:hideMark/>
          </w:tcPr>
          <w:p w14:paraId="4652186D"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56</w:t>
            </w:r>
          </w:p>
        </w:tc>
        <w:tc>
          <w:tcPr>
            <w:tcW w:w="960" w:type="dxa"/>
            <w:tcBorders>
              <w:top w:val="nil"/>
              <w:left w:val="nil"/>
              <w:bottom w:val="nil"/>
              <w:right w:val="nil"/>
            </w:tcBorders>
            <w:shd w:val="clear" w:color="000000" w:fill="FFFFFF"/>
            <w:noWrap/>
            <w:vAlign w:val="bottom"/>
            <w:hideMark/>
          </w:tcPr>
          <w:p w14:paraId="567FDC7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62.9%</w:t>
            </w:r>
          </w:p>
        </w:tc>
        <w:tc>
          <w:tcPr>
            <w:tcW w:w="960" w:type="dxa"/>
            <w:tcBorders>
              <w:top w:val="nil"/>
              <w:left w:val="single" w:sz="4" w:space="0" w:color="auto"/>
              <w:bottom w:val="nil"/>
              <w:right w:val="nil"/>
            </w:tcBorders>
            <w:shd w:val="clear" w:color="000000" w:fill="FFFFFF"/>
            <w:noWrap/>
            <w:vAlign w:val="bottom"/>
            <w:hideMark/>
          </w:tcPr>
          <w:p w14:paraId="023AD83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235</w:t>
            </w:r>
          </w:p>
        </w:tc>
        <w:tc>
          <w:tcPr>
            <w:tcW w:w="960" w:type="dxa"/>
            <w:tcBorders>
              <w:top w:val="nil"/>
              <w:left w:val="nil"/>
              <w:bottom w:val="nil"/>
              <w:right w:val="single" w:sz="4" w:space="0" w:color="auto"/>
            </w:tcBorders>
            <w:shd w:val="clear" w:color="000000" w:fill="FFFFFF"/>
            <w:noWrap/>
            <w:vAlign w:val="bottom"/>
            <w:hideMark/>
          </w:tcPr>
          <w:p w14:paraId="26868FC7"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79.1%</w:t>
            </w:r>
          </w:p>
        </w:tc>
      </w:tr>
      <w:tr w:rsidR="00336E6F" w:rsidRPr="007E2527" w14:paraId="18FD159D"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13239445"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56FBC7A6"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390</w:t>
            </w:r>
          </w:p>
        </w:tc>
        <w:tc>
          <w:tcPr>
            <w:tcW w:w="960" w:type="dxa"/>
            <w:tcBorders>
              <w:top w:val="nil"/>
              <w:left w:val="nil"/>
              <w:bottom w:val="nil"/>
              <w:right w:val="single" w:sz="4" w:space="0" w:color="auto"/>
            </w:tcBorders>
            <w:shd w:val="clear" w:color="000000" w:fill="FFFFFF"/>
            <w:noWrap/>
            <w:vAlign w:val="bottom"/>
            <w:hideMark/>
          </w:tcPr>
          <w:p w14:paraId="14270812"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48.2%</w:t>
            </w:r>
          </w:p>
        </w:tc>
        <w:tc>
          <w:tcPr>
            <w:tcW w:w="960" w:type="dxa"/>
            <w:tcBorders>
              <w:top w:val="nil"/>
              <w:left w:val="nil"/>
              <w:bottom w:val="nil"/>
              <w:right w:val="nil"/>
            </w:tcBorders>
            <w:shd w:val="clear" w:color="000000" w:fill="FFFFFF"/>
            <w:noWrap/>
            <w:vAlign w:val="bottom"/>
            <w:hideMark/>
          </w:tcPr>
          <w:p w14:paraId="386D4912"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33</w:t>
            </w:r>
          </w:p>
        </w:tc>
        <w:tc>
          <w:tcPr>
            <w:tcW w:w="960" w:type="dxa"/>
            <w:tcBorders>
              <w:top w:val="nil"/>
              <w:left w:val="nil"/>
              <w:bottom w:val="nil"/>
              <w:right w:val="nil"/>
            </w:tcBorders>
            <w:shd w:val="clear" w:color="000000" w:fill="FFFFFF"/>
            <w:noWrap/>
            <w:vAlign w:val="bottom"/>
            <w:hideMark/>
          </w:tcPr>
          <w:p w14:paraId="539909A9"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37.1%</w:t>
            </w:r>
          </w:p>
        </w:tc>
        <w:tc>
          <w:tcPr>
            <w:tcW w:w="960" w:type="dxa"/>
            <w:tcBorders>
              <w:top w:val="nil"/>
              <w:left w:val="single" w:sz="4" w:space="0" w:color="auto"/>
              <w:bottom w:val="nil"/>
              <w:right w:val="nil"/>
            </w:tcBorders>
            <w:shd w:val="clear" w:color="000000" w:fill="FFFFFF"/>
            <w:noWrap/>
            <w:vAlign w:val="bottom"/>
            <w:hideMark/>
          </w:tcPr>
          <w:p w14:paraId="3114753B"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62</w:t>
            </w:r>
          </w:p>
        </w:tc>
        <w:tc>
          <w:tcPr>
            <w:tcW w:w="960" w:type="dxa"/>
            <w:tcBorders>
              <w:top w:val="nil"/>
              <w:left w:val="nil"/>
              <w:bottom w:val="nil"/>
              <w:right w:val="single" w:sz="4" w:space="0" w:color="auto"/>
            </w:tcBorders>
            <w:shd w:val="clear" w:color="000000" w:fill="FFFFFF"/>
            <w:noWrap/>
            <w:vAlign w:val="bottom"/>
            <w:hideMark/>
          </w:tcPr>
          <w:p w14:paraId="78E2344B"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20.9%</w:t>
            </w:r>
          </w:p>
        </w:tc>
      </w:tr>
      <w:tr w:rsidR="00336E6F" w:rsidRPr="007E2527" w14:paraId="015E4015" w14:textId="77777777" w:rsidTr="00336E6F">
        <w:trPr>
          <w:trHeight w:val="300"/>
        </w:trPr>
        <w:tc>
          <w:tcPr>
            <w:tcW w:w="2608" w:type="dxa"/>
            <w:tcBorders>
              <w:top w:val="dotted" w:sz="4" w:space="0" w:color="auto"/>
              <w:left w:val="single" w:sz="4" w:space="0" w:color="auto"/>
              <w:bottom w:val="nil"/>
              <w:right w:val="nil"/>
            </w:tcBorders>
            <w:shd w:val="clear" w:color="000000" w:fill="FFFFFF"/>
            <w:noWrap/>
            <w:vAlign w:val="bottom"/>
            <w:hideMark/>
          </w:tcPr>
          <w:p w14:paraId="4032DEF5" w14:textId="77777777" w:rsidR="00336E6F" w:rsidRPr="00336E6F" w:rsidRDefault="00336E6F" w:rsidP="00336E6F">
            <w:pPr>
              <w:spacing w:after="0" w:line="240" w:lineRule="auto"/>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FMS</w:t>
            </w:r>
          </w:p>
        </w:tc>
        <w:tc>
          <w:tcPr>
            <w:tcW w:w="960" w:type="dxa"/>
            <w:tcBorders>
              <w:top w:val="dotted" w:sz="4" w:space="0" w:color="auto"/>
              <w:left w:val="single" w:sz="4" w:space="0" w:color="auto"/>
              <w:bottom w:val="nil"/>
              <w:right w:val="nil"/>
            </w:tcBorders>
            <w:shd w:val="clear" w:color="000000" w:fill="FFFFFF"/>
            <w:noWrap/>
            <w:vAlign w:val="bottom"/>
            <w:hideMark/>
          </w:tcPr>
          <w:p w14:paraId="7AA03C4F"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572</w:t>
            </w:r>
          </w:p>
        </w:tc>
        <w:tc>
          <w:tcPr>
            <w:tcW w:w="960" w:type="dxa"/>
            <w:tcBorders>
              <w:top w:val="dotted" w:sz="4" w:space="0" w:color="auto"/>
              <w:left w:val="nil"/>
              <w:bottom w:val="nil"/>
              <w:right w:val="single" w:sz="4" w:space="0" w:color="auto"/>
            </w:tcBorders>
            <w:shd w:val="clear" w:color="000000" w:fill="FFFFFF"/>
            <w:noWrap/>
            <w:vAlign w:val="bottom"/>
            <w:hideMark/>
          </w:tcPr>
          <w:p w14:paraId="7036A4B2"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7B59468F"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620</w:t>
            </w:r>
          </w:p>
        </w:tc>
        <w:tc>
          <w:tcPr>
            <w:tcW w:w="960" w:type="dxa"/>
            <w:tcBorders>
              <w:top w:val="dotted" w:sz="4" w:space="0" w:color="auto"/>
              <w:left w:val="nil"/>
              <w:bottom w:val="nil"/>
              <w:right w:val="nil"/>
            </w:tcBorders>
            <w:shd w:val="clear" w:color="000000" w:fill="FFFFFF"/>
            <w:noWrap/>
            <w:vAlign w:val="bottom"/>
            <w:hideMark/>
          </w:tcPr>
          <w:p w14:paraId="2AF4CC91"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0C58B0D1"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683</w:t>
            </w:r>
          </w:p>
        </w:tc>
        <w:tc>
          <w:tcPr>
            <w:tcW w:w="960" w:type="dxa"/>
            <w:tcBorders>
              <w:top w:val="dotted" w:sz="4" w:space="0" w:color="auto"/>
              <w:left w:val="nil"/>
              <w:bottom w:val="nil"/>
              <w:right w:val="single" w:sz="4" w:space="0" w:color="auto"/>
            </w:tcBorders>
            <w:shd w:val="clear" w:color="000000" w:fill="FFFFFF"/>
            <w:noWrap/>
            <w:vAlign w:val="bottom"/>
            <w:hideMark/>
          </w:tcPr>
          <w:p w14:paraId="4184091C"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r>
      <w:tr w:rsidR="00336E6F" w:rsidRPr="007E2527" w14:paraId="15F20A04"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17CD0EFE"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30C4E3F1"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285</w:t>
            </w:r>
          </w:p>
        </w:tc>
        <w:tc>
          <w:tcPr>
            <w:tcW w:w="960" w:type="dxa"/>
            <w:tcBorders>
              <w:top w:val="nil"/>
              <w:left w:val="nil"/>
              <w:bottom w:val="nil"/>
              <w:right w:val="single" w:sz="4" w:space="0" w:color="auto"/>
            </w:tcBorders>
            <w:shd w:val="clear" w:color="000000" w:fill="FFFFFF"/>
            <w:noWrap/>
            <w:vAlign w:val="bottom"/>
            <w:hideMark/>
          </w:tcPr>
          <w:p w14:paraId="0C696657"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49.8%</w:t>
            </w:r>
          </w:p>
        </w:tc>
        <w:tc>
          <w:tcPr>
            <w:tcW w:w="960" w:type="dxa"/>
            <w:tcBorders>
              <w:top w:val="nil"/>
              <w:left w:val="nil"/>
              <w:bottom w:val="nil"/>
              <w:right w:val="nil"/>
            </w:tcBorders>
            <w:shd w:val="clear" w:color="000000" w:fill="FFFFFF"/>
            <w:noWrap/>
            <w:vAlign w:val="bottom"/>
            <w:hideMark/>
          </w:tcPr>
          <w:p w14:paraId="4287C1E7"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399</w:t>
            </w:r>
          </w:p>
        </w:tc>
        <w:tc>
          <w:tcPr>
            <w:tcW w:w="960" w:type="dxa"/>
            <w:tcBorders>
              <w:top w:val="nil"/>
              <w:left w:val="nil"/>
              <w:bottom w:val="nil"/>
              <w:right w:val="nil"/>
            </w:tcBorders>
            <w:shd w:val="clear" w:color="000000" w:fill="FFFFFF"/>
            <w:noWrap/>
            <w:vAlign w:val="bottom"/>
            <w:hideMark/>
          </w:tcPr>
          <w:p w14:paraId="6D269624"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64.4%</w:t>
            </w:r>
          </w:p>
        </w:tc>
        <w:tc>
          <w:tcPr>
            <w:tcW w:w="960" w:type="dxa"/>
            <w:tcBorders>
              <w:top w:val="nil"/>
              <w:left w:val="single" w:sz="4" w:space="0" w:color="auto"/>
              <w:bottom w:val="nil"/>
              <w:right w:val="nil"/>
            </w:tcBorders>
            <w:shd w:val="clear" w:color="000000" w:fill="FFFFFF"/>
            <w:noWrap/>
            <w:vAlign w:val="bottom"/>
            <w:hideMark/>
          </w:tcPr>
          <w:p w14:paraId="7C5AD5B7"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499</w:t>
            </w:r>
          </w:p>
        </w:tc>
        <w:tc>
          <w:tcPr>
            <w:tcW w:w="960" w:type="dxa"/>
            <w:tcBorders>
              <w:top w:val="nil"/>
              <w:left w:val="nil"/>
              <w:bottom w:val="nil"/>
              <w:right w:val="single" w:sz="4" w:space="0" w:color="auto"/>
            </w:tcBorders>
            <w:shd w:val="clear" w:color="000000" w:fill="FFFFFF"/>
            <w:noWrap/>
            <w:vAlign w:val="bottom"/>
            <w:hideMark/>
          </w:tcPr>
          <w:p w14:paraId="43C5CA63"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73.1%</w:t>
            </w:r>
          </w:p>
        </w:tc>
      </w:tr>
      <w:tr w:rsidR="00336E6F" w:rsidRPr="007E2527" w14:paraId="2D54E334"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0176EAF6"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4A2098FD"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287</w:t>
            </w:r>
          </w:p>
        </w:tc>
        <w:tc>
          <w:tcPr>
            <w:tcW w:w="960" w:type="dxa"/>
            <w:tcBorders>
              <w:top w:val="nil"/>
              <w:left w:val="nil"/>
              <w:bottom w:val="nil"/>
              <w:right w:val="single" w:sz="4" w:space="0" w:color="auto"/>
            </w:tcBorders>
            <w:shd w:val="clear" w:color="000000" w:fill="FFFFFF"/>
            <w:noWrap/>
            <w:vAlign w:val="bottom"/>
            <w:hideMark/>
          </w:tcPr>
          <w:p w14:paraId="5F99EF89"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50.2%</w:t>
            </w:r>
          </w:p>
        </w:tc>
        <w:tc>
          <w:tcPr>
            <w:tcW w:w="960" w:type="dxa"/>
            <w:tcBorders>
              <w:top w:val="nil"/>
              <w:left w:val="nil"/>
              <w:bottom w:val="nil"/>
              <w:right w:val="nil"/>
            </w:tcBorders>
            <w:shd w:val="clear" w:color="000000" w:fill="FFFFFF"/>
            <w:noWrap/>
            <w:vAlign w:val="bottom"/>
            <w:hideMark/>
          </w:tcPr>
          <w:p w14:paraId="2F8746F8"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221</w:t>
            </w:r>
          </w:p>
        </w:tc>
        <w:tc>
          <w:tcPr>
            <w:tcW w:w="960" w:type="dxa"/>
            <w:tcBorders>
              <w:top w:val="nil"/>
              <w:left w:val="nil"/>
              <w:bottom w:val="nil"/>
              <w:right w:val="nil"/>
            </w:tcBorders>
            <w:shd w:val="clear" w:color="000000" w:fill="FFFFFF"/>
            <w:noWrap/>
            <w:vAlign w:val="bottom"/>
            <w:hideMark/>
          </w:tcPr>
          <w:p w14:paraId="73BA56A8"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35.6%</w:t>
            </w:r>
          </w:p>
        </w:tc>
        <w:tc>
          <w:tcPr>
            <w:tcW w:w="960" w:type="dxa"/>
            <w:tcBorders>
              <w:top w:val="nil"/>
              <w:left w:val="single" w:sz="4" w:space="0" w:color="auto"/>
              <w:bottom w:val="nil"/>
              <w:right w:val="nil"/>
            </w:tcBorders>
            <w:shd w:val="clear" w:color="000000" w:fill="FFFFFF"/>
            <w:noWrap/>
            <w:vAlign w:val="bottom"/>
            <w:hideMark/>
          </w:tcPr>
          <w:p w14:paraId="4E9B5E92"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184</w:t>
            </w:r>
          </w:p>
        </w:tc>
        <w:tc>
          <w:tcPr>
            <w:tcW w:w="960" w:type="dxa"/>
            <w:tcBorders>
              <w:top w:val="nil"/>
              <w:left w:val="nil"/>
              <w:bottom w:val="nil"/>
              <w:right w:val="single" w:sz="4" w:space="0" w:color="auto"/>
            </w:tcBorders>
            <w:shd w:val="clear" w:color="000000" w:fill="FFFFFF"/>
            <w:noWrap/>
            <w:vAlign w:val="bottom"/>
            <w:hideMark/>
          </w:tcPr>
          <w:p w14:paraId="3987E47A"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26.9%</w:t>
            </w:r>
          </w:p>
        </w:tc>
      </w:tr>
      <w:tr w:rsidR="00336E6F" w:rsidRPr="007E2527" w14:paraId="05E47B41" w14:textId="77777777" w:rsidTr="00336E6F">
        <w:trPr>
          <w:trHeight w:val="300"/>
        </w:trPr>
        <w:tc>
          <w:tcPr>
            <w:tcW w:w="2608" w:type="dxa"/>
            <w:tcBorders>
              <w:top w:val="dotted" w:sz="4" w:space="0" w:color="auto"/>
              <w:left w:val="single" w:sz="4" w:space="0" w:color="auto"/>
              <w:bottom w:val="nil"/>
              <w:right w:val="nil"/>
            </w:tcBorders>
            <w:shd w:val="clear" w:color="000000" w:fill="FFFFFF"/>
            <w:noWrap/>
            <w:vAlign w:val="bottom"/>
            <w:hideMark/>
          </w:tcPr>
          <w:p w14:paraId="2C9D154A" w14:textId="77777777" w:rsidR="00336E6F" w:rsidRPr="00336E6F" w:rsidRDefault="00336E6F" w:rsidP="00336E6F">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336E6F">
              <w:rPr>
                <w:rFonts w:asciiTheme="minorHAnsi" w:eastAsia="Times New Roman" w:hAnsiTheme="minorHAnsi" w:cs="Times New Roman"/>
                <w:b/>
                <w:bCs/>
                <w:color w:val="000000"/>
                <w:kern w:val="0"/>
                <w:szCs w:val="22"/>
                <w:lang w:eastAsia="en-GB"/>
                <w14:ligatures w14:val="none"/>
              </w:rPr>
              <w:t>SAgE</w:t>
            </w:r>
            <w:proofErr w:type="spellEnd"/>
          </w:p>
        </w:tc>
        <w:tc>
          <w:tcPr>
            <w:tcW w:w="960" w:type="dxa"/>
            <w:tcBorders>
              <w:top w:val="dotted" w:sz="4" w:space="0" w:color="auto"/>
              <w:left w:val="single" w:sz="4" w:space="0" w:color="auto"/>
              <w:bottom w:val="nil"/>
              <w:right w:val="nil"/>
            </w:tcBorders>
            <w:shd w:val="clear" w:color="000000" w:fill="FFFFFF"/>
            <w:noWrap/>
            <w:vAlign w:val="bottom"/>
            <w:hideMark/>
          </w:tcPr>
          <w:p w14:paraId="214671BB"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477</w:t>
            </w:r>
          </w:p>
        </w:tc>
        <w:tc>
          <w:tcPr>
            <w:tcW w:w="960" w:type="dxa"/>
            <w:tcBorders>
              <w:top w:val="dotted" w:sz="4" w:space="0" w:color="auto"/>
              <w:left w:val="nil"/>
              <w:bottom w:val="nil"/>
              <w:right w:val="single" w:sz="4" w:space="0" w:color="auto"/>
            </w:tcBorders>
            <w:shd w:val="clear" w:color="000000" w:fill="FFFFFF"/>
            <w:noWrap/>
            <w:vAlign w:val="bottom"/>
            <w:hideMark/>
          </w:tcPr>
          <w:p w14:paraId="2685CF1A"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7666ECD0"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289</w:t>
            </w:r>
          </w:p>
        </w:tc>
        <w:tc>
          <w:tcPr>
            <w:tcW w:w="960" w:type="dxa"/>
            <w:tcBorders>
              <w:top w:val="dotted" w:sz="4" w:space="0" w:color="auto"/>
              <w:left w:val="nil"/>
              <w:bottom w:val="nil"/>
              <w:right w:val="nil"/>
            </w:tcBorders>
            <w:shd w:val="clear" w:color="000000" w:fill="FFFFFF"/>
            <w:noWrap/>
            <w:vAlign w:val="bottom"/>
            <w:hideMark/>
          </w:tcPr>
          <w:p w14:paraId="6597D5A1"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0CEB7B40"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368</w:t>
            </w:r>
          </w:p>
        </w:tc>
        <w:tc>
          <w:tcPr>
            <w:tcW w:w="960" w:type="dxa"/>
            <w:tcBorders>
              <w:top w:val="dotted" w:sz="4" w:space="0" w:color="auto"/>
              <w:left w:val="nil"/>
              <w:bottom w:val="nil"/>
              <w:right w:val="single" w:sz="4" w:space="0" w:color="auto"/>
            </w:tcBorders>
            <w:shd w:val="clear" w:color="000000" w:fill="FFFFFF"/>
            <w:noWrap/>
            <w:vAlign w:val="bottom"/>
            <w:hideMark/>
          </w:tcPr>
          <w:p w14:paraId="40E40018"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r>
      <w:tr w:rsidR="00336E6F" w:rsidRPr="007E2527" w14:paraId="122E98E9"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29591A9F"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5A5F0D78"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121</w:t>
            </w:r>
          </w:p>
        </w:tc>
        <w:tc>
          <w:tcPr>
            <w:tcW w:w="960" w:type="dxa"/>
            <w:tcBorders>
              <w:top w:val="nil"/>
              <w:left w:val="nil"/>
              <w:bottom w:val="nil"/>
              <w:right w:val="single" w:sz="4" w:space="0" w:color="auto"/>
            </w:tcBorders>
            <w:shd w:val="clear" w:color="000000" w:fill="FFFFFF"/>
            <w:noWrap/>
            <w:vAlign w:val="bottom"/>
            <w:hideMark/>
          </w:tcPr>
          <w:p w14:paraId="0B9487EB"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25.4%</w:t>
            </w:r>
          </w:p>
        </w:tc>
        <w:tc>
          <w:tcPr>
            <w:tcW w:w="960" w:type="dxa"/>
            <w:tcBorders>
              <w:top w:val="nil"/>
              <w:left w:val="nil"/>
              <w:bottom w:val="nil"/>
              <w:right w:val="nil"/>
            </w:tcBorders>
            <w:shd w:val="clear" w:color="000000" w:fill="FFFFFF"/>
            <w:noWrap/>
            <w:vAlign w:val="bottom"/>
            <w:hideMark/>
          </w:tcPr>
          <w:p w14:paraId="5C2EF53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85</w:t>
            </w:r>
          </w:p>
        </w:tc>
        <w:tc>
          <w:tcPr>
            <w:tcW w:w="960" w:type="dxa"/>
            <w:tcBorders>
              <w:top w:val="nil"/>
              <w:left w:val="nil"/>
              <w:bottom w:val="nil"/>
              <w:right w:val="nil"/>
            </w:tcBorders>
            <w:shd w:val="clear" w:color="000000" w:fill="FFFFFF"/>
            <w:noWrap/>
            <w:vAlign w:val="bottom"/>
            <w:hideMark/>
          </w:tcPr>
          <w:p w14:paraId="1083588B"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29.4%</w:t>
            </w:r>
          </w:p>
        </w:tc>
        <w:tc>
          <w:tcPr>
            <w:tcW w:w="960" w:type="dxa"/>
            <w:tcBorders>
              <w:top w:val="nil"/>
              <w:left w:val="single" w:sz="4" w:space="0" w:color="auto"/>
              <w:bottom w:val="nil"/>
              <w:right w:val="nil"/>
            </w:tcBorders>
            <w:shd w:val="clear" w:color="000000" w:fill="FFFFFF"/>
            <w:noWrap/>
            <w:vAlign w:val="bottom"/>
            <w:hideMark/>
          </w:tcPr>
          <w:p w14:paraId="19E87A21"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203</w:t>
            </w:r>
          </w:p>
        </w:tc>
        <w:tc>
          <w:tcPr>
            <w:tcW w:w="960" w:type="dxa"/>
            <w:tcBorders>
              <w:top w:val="nil"/>
              <w:left w:val="nil"/>
              <w:bottom w:val="nil"/>
              <w:right w:val="single" w:sz="4" w:space="0" w:color="auto"/>
            </w:tcBorders>
            <w:shd w:val="clear" w:color="000000" w:fill="FFFFFF"/>
            <w:noWrap/>
            <w:vAlign w:val="bottom"/>
            <w:hideMark/>
          </w:tcPr>
          <w:p w14:paraId="06A20F38"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55.2%</w:t>
            </w:r>
          </w:p>
        </w:tc>
      </w:tr>
      <w:tr w:rsidR="00336E6F" w:rsidRPr="007E2527" w14:paraId="37AC047D"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20ACD3A6"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21405934"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356</w:t>
            </w:r>
          </w:p>
        </w:tc>
        <w:tc>
          <w:tcPr>
            <w:tcW w:w="960" w:type="dxa"/>
            <w:tcBorders>
              <w:top w:val="nil"/>
              <w:left w:val="nil"/>
              <w:bottom w:val="nil"/>
              <w:right w:val="single" w:sz="4" w:space="0" w:color="auto"/>
            </w:tcBorders>
            <w:shd w:val="clear" w:color="000000" w:fill="FFFFFF"/>
            <w:noWrap/>
            <w:vAlign w:val="bottom"/>
            <w:hideMark/>
          </w:tcPr>
          <w:p w14:paraId="3CAAE7D3"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74.6%</w:t>
            </w:r>
          </w:p>
        </w:tc>
        <w:tc>
          <w:tcPr>
            <w:tcW w:w="960" w:type="dxa"/>
            <w:tcBorders>
              <w:top w:val="nil"/>
              <w:left w:val="nil"/>
              <w:bottom w:val="nil"/>
              <w:right w:val="nil"/>
            </w:tcBorders>
            <w:shd w:val="clear" w:color="000000" w:fill="FFFFFF"/>
            <w:noWrap/>
            <w:vAlign w:val="bottom"/>
            <w:hideMark/>
          </w:tcPr>
          <w:p w14:paraId="038C4B85"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204</w:t>
            </w:r>
          </w:p>
        </w:tc>
        <w:tc>
          <w:tcPr>
            <w:tcW w:w="960" w:type="dxa"/>
            <w:tcBorders>
              <w:top w:val="nil"/>
              <w:left w:val="nil"/>
              <w:bottom w:val="nil"/>
              <w:right w:val="nil"/>
            </w:tcBorders>
            <w:shd w:val="clear" w:color="000000" w:fill="FFFFFF"/>
            <w:noWrap/>
            <w:vAlign w:val="bottom"/>
            <w:hideMark/>
          </w:tcPr>
          <w:p w14:paraId="3839D3D5"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70.6%</w:t>
            </w:r>
          </w:p>
        </w:tc>
        <w:tc>
          <w:tcPr>
            <w:tcW w:w="960" w:type="dxa"/>
            <w:tcBorders>
              <w:top w:val="nil"/>
              <w:left w:val="single" w:sz="4" w:space="0" w:color="auto"/>
              <w:bottom w:val="nil"/>
              <w:right w:val="nil"/>
            </w:tcBorders>
            <w:shd w:val="clear" w:color="000000" w:fill="FFFFFF"/>
            <w:noWrap/>
            <w:vAlign w:val="bottom"/>
            <w:hideMark/>
          </w:tcPr>
          <w:p w14:paraId="1D8053CB"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165</w:t>
            </w:r>
          </w:p>
        </w:tc>
        <w:tc>
          <w:tcPr>
            <w:tcW w:w="960" w:type="dxa"/>
            <w:tcBorders>
              <w:top w:val="nil"/>
              <w:left w:val="nil"/>
              <w:bottom w:val="nil"/>
              <w:right w:val="single" w:sz="4" w:space="0" w:color="auto"/>
            </w:tcBorders>
            <w:shd w:val="clear" w:color="000000" w:fill="FFFFFF"/>
            <w:noWrap/>
            <w:vAlign w:val="bottom"/>
            <w:hideMark/>
          </w:tcPr>
          <w:p w14:paraId="5F1B5C2D"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44.8%</w:t>
            </w:r>
          </w:p>
        </w:tc>
      </w:tr>
      <w:tr w:rsidR="00336E6F" w:rsidRPr="007E2527" w14:paraId="3E57F61A" w14:textId="77777777" w:rsidTr="00336E6F">
        <w:trPr>
          <w:trHeight w:val="300"/>
        </w:trPr>
        <w:tc>
          <w:tcPr>
            <w:tcW w:w="2608" w:type="dxa"/>
            <w:tcBorders>
              <w:top w:val="dotted" w:sz="4" w:space="0" w:color="auto"/>
              <w:left w:val="single" w:sz="4" w:space="0" w:color="auto"/>
              <w:bottom w:val="nil"/>
              <w:right w:val="nil"/>
            </w:tcBorders>
            <w:shd w:val="clear" w:color="000000" w:fill="FFFFFF"/>
            <w:noWrap/>
            <w:vAlign w:val="bottom"/>
            <w:hideMark/>
          </w:tcPr>
          <w:p w14:paraId="5D34F697" w14:textId="77777777" w:rsidR="00336E6F" w:rsidRPr="00336E6F" w:rsidRDefault="00336E6F" w:rsidP="00336E6F">
            <w:pPr>
              <w:spacing w:after="0" w:line="240" w:lineRule="auto"/>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Academic Hub</w:t>
            </w:r>
          </w:p>
        </w:tc>
        <w:tc>
          <w:tcPr>
            <w:tcW w:w="960" w:type="dxa"/>
            <w:tcBorders>
              <w:top w:val="dotted" w:sz="4" w:space="0" w:color="auto"/>
              <w:left w:val="single" w:sz="4" w:space="0" w:color="auto"/>
              <w:bottom w:val="nil"/>
              <w:right w:val="nil"/>
            </w:tcBorders>
            <w:shd w:val="clear" w:color="000000" w:fill="FFFFFF"/>
            <w:noWrap/>
            <w:vAlign w:val="bottom"/>
            <w:hideMark/>
          </w:tcPr>
          <w:p w14:paraId="53E4EE20"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single" w:sz="4" w:space="0" w:color="auto"/>
            </w:tcBorders>
            <w:shd w:val="clear" w:color="000000" w:fill="FFFFFF"/>
            <w:noWrap/>
            <w:vAlign w:val="bottom"/>
            <w:hideMark/>
          </w:tcPr>
          <w:p w14:paraId="1090115A"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nil"/>
              <w:bottom w:val="nil"/>
              <w:right w:val="nil"/>
            </w:tcBorders>
            <w:shd w:val="clear" w:color="000000" w:fill="FFFFFF"/>
            <w:noWrap/>
            <w:vAlign w:val="bottom"/>
            <w:hideMark/>
          </w:tcPr>
          <w:p w14:paraId="01F6675E"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nil"/>
            </w:tcBorders>
            <w:shd w:val="clear" w:color="000000" w:fill="FFFFFF"/>
            <w:noWrap/>
            <w:vAlign w:val="bottom"/>
            <w:hideMark/>
          </w:tcPr>
          <w:p w14:paraId="64E82111"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single" w:sz="4" w:space="0" w:color="auto"/>
              <w:bottom w:val="nil"/>
              <w:right w:val="nil"/>
            </w:tcBorders>
            <w:shd w:val="clear" w:color="000000" w:fill="FFFFFF"/>
            <w:noWrap/>
            <w:vAlign w:val="bottom"/>
            <w:hideMark/>
          </w:tcPr>
          <w:p w14:paraId="3849718E"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871</w:t>
            </w:r>
          </w:p>
        </w:tc>
        <w:tc>
          <w:tcPr>
            <w:tcW w:w="960" w:type="dxa"/>
            <w:tcBorders>
              <w:top w:val="dotted" w:sz="4" w:space="0" w:color="auto"/>
              <w:left w:val="nil"/>
              <w:bottom w:val="nil"/>
              <w:right w:val="single" w:sz="4" w:space="0" w:color="auto"/>
            </w:tcBorders>
            <w:shd w:val="clear" w:color="000000" w:fill="FFFFFF"/>
            <w:noWrap/>
            <w:vAlign w:val="bottom"/>
            <w:hideMark/>
          </w:tcPr>
          <w:p w14:paraId="74962009"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r>
      <w:tr w:rsidR="00336E6F" w:rsidRPr="007E2527" w14:paraId="0DB8B678"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4F890E99"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5801E48A"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5BA95D9E"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B796E4A"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4C88B1F9"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32073ED"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617</w:t>
            </w:r>
          </w:p>
        </w:tc>
        <w:tc>
          <w:tcPr>
            <w:tcW w:w="960" w:type="dxa"/>
            <w:tcBorders>
              <w:top w:val="nil"/>
              <w:left w:val="nil"/>
              <w:bottom w:val="nil"/>
              <w:right w:val="single" w:sz="4" w:space="0" w:color="auto"/>
            </w:tcBorders>
            <w:shd w:val="clear" w:color="000000" w:fill="FFFFFF"/>
            <w:noWrap/>
            <w:vAlign w:val="bottom"/>
            <w:hideMark/>
          </w:tcPr>
          <w:p w14:paraId="7F0C1619"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70.8%</w:t>
            </w:r>
          </w:p>
        </w:tc>
      </w:tr>
      <w:tr w:rsidR="00336E6F" w:rsidRPr="007E2527" w14:paraId="3AB9D1CC"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023CD6F7"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730F6C23"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31B47394"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72C2BEB8"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41B7D66"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1DA682E8"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254</w:t>
            </w:r>
          </w:p>
        </w:tc>
        <w:tc>
          <w:tcPr>
            <w:tcW w:w="960" w:type="dxa"/>
            <w:tcBorders>
              <w:top w:val="nil"/>
              <w:left w:val="nil"/>
              <w:bottom w:val="nil"/>
              <w:right w:val="single" w:sz="4" w:space="0" w:color="auto"/>
            </w:tcBorders>
            <w:shd w:val="clear" w:color="000000" w:fill="FFFFFF"/>
            <w:noWrap/>
            <w:vAlign w:val="bottom"/>
            <w:hideMark/>
          </w:tcPr>
          <w:p w14:paraId="17F8B163"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29.2%</w:t>
            </w:r>
          </w:p>
        </w:tc>
      </w:tr>
      <w:tr w:rsidR="00336E6F" w:rsidRPr="007E2527" w14:paraId="7FA35206" w14:textId="77777777" w:rsidTr="00336E6F">
        <w:trPr>
          <w:trHeight w:val="300"/>
        </w:trPr>
        <w:tc>
          <w:tcPr>
            <w:tcW w:w="2608" w:type="dxa"/>
            <w:tcBorders>
              <w:top w:val="dotted" w:sz="4" w:space="0" w:color="auto"/>
              <w:left w:val="single" w:sz="4" w:space="0" w:color="auto"/>
              <w:bottom w:val="nil"/>
              <w:right w:val="nil"/>
            </w:tcBorders>
            <w:shd w:val="clear" w:color="000000" w:fill="FFFFFF"/>
            <w:noWrap/>
            <w:vAlign w:val="bottom"/>
            <w:hideMark/>
          </w:tcPr>
          <w:p w14:paraId="05B246BF" w14:textId="20D8A195" w:rsidR="00336E6F" w:rsidRPr="00336E6F" w:rsidRDefault="00336E6F" w:rsidP="00336E6F">
            <w:pPr>
              <w:spacing w:after="0" w:line="240" w:lineRule="auto"/>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xml:space="preserve">Finance &amp; Operations </w:t>
            </w:r>
          </w:p>
        </w:tc>
        <w:tc>
          <w:tcPr>
            <w:tcW w:w="960" w:type="dxa"/>
            <w:tcBorders>
              <w:top w:val="dotted" w:sz="4" w:space="0" w:color="auto"/>
              <w:left w:val="single" w:sz="4" w:space="0" w:color="auto"/>
              <w:bottom w:val="nil"/>
              <w:right w:val="nil"/>
            </w:tcBorders>
            <w:shd w:val="clear" w:color="000000" w:fill="FFFFFF"/>
            <w:noWrap/>
            <w:vAlign w:val="bottom"/>
            <w:hideMark/>
          </w:tcPr>
          <w:p w14:paraId="2350B361"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69FE473C"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5AFFAF13"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1DEC436C"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0BE33FB5"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1051</w:t>
            </w:r>
          </w:p>
        </w:tc>
        <w:tc>
          <w:tcPr>
            <w:tcW w:w="960" w:type="dxa"/>
            <w:tcBorders>
              <w:top w:val="dotted" w:sz="4" w:space="0" w:color="auto"/>
              <w:left w:val="nil"/>
              <w:bottom w:val="nil"/>
              <w:right w:val="single" w:sz="4" w:space="0" w:color="auto"/>
            </w:tcBorders>
            <w:shd w:val="clear" w:color="000000" w:fill="FFFFFF"/>
            <w:noWrap/>
            <w:vAlign w:val="bottom"/>
            <w:hideMark/>
          </w:tcPr>
          <w:p w14:paraId="280FC272"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r>
      <w:tr w:rsidR="00336E6F" w:rsidRPr="007E2527" w14:paraId="74880B7E"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378E9C61"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7511F3CD"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CC2F303"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DF19786"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84EDCEC"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347E43A5"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427</w:t>
            </w:r>
          </w:p>
        </w:tc>
        <w:tc>
          <w:tcPr>
            <w:tcW w:w="960" w:type="dxa"/>
            <w:tcBorders>
              <w:top w:val="nil"/>
              <w:left w:val="nil"/>
              <w:bottom w:val="nil"/>
              <w:right w:val="single" w:sz="4" w:space="0" w:color="auto"/>
            </w:tcBorders>
            <w:shd w:val="clear" w:color="000000" w:fill="FFFFFF"/>
            <w:noWrap/>
            <w:vAlign w:val="bottom"/>
            <w:hideMark/>
          </w:tcPr>
          <w:p w14:paraId="6AF5D8B8"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40.6%</w:t>
            </w:r>
          </w:p>
        </w:tc>
      </w:tr>
      <w:tr w:rsidR="00336E6F" w:rsidRPr="007E2527" w14:paraId="246C86B5"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222DDC55"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546A7096"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126DFDD1"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20AEEDCE"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71E5B81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14D5779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624</w:t>
            </w:r>
          </w:p>
        </w:tc>
        <w:tc>
          <w:tcPr>
            <w:tcW w:w="960" w:type="dxa"/>
            <w:tcBorders>
              <w:top w:val="nil"/>
              <w:left w:val="nil"/>
              <w:bottom w:val="nil"/>
              <w:right w:val="single" w:sz="4" w:space="0" w:color="auto"/>
            </w:tcBorders>
            <w:shd w:val="clear" w:color="000000" w:fill="FFFFFF"/>
            <w:noWrap/>
            <w:vAlign w:val="bottom"/>
            <w:hideMark/>
          </w:tcPr>
          <w:p w14:paraId="5C5ADA10"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59.4%</w:t>
            </w:r>
          </w:p>
        </w:tc>
      </w:tr>
      <w:tr w:rsidR="00336E6F" w:rsidRPr="007E2527" w14:paraId="4F3D5358" w14:textId="77777777" w:rsidTr="00336E6F">
        <w:trPr>
          <w:trHeight w:val="300"/>
        </w:trPr>
        <w:tc>
          <w:tcPr>
            <w:tcW w:w="2608" w:type="dxa"/>
            <w:tcBorders>
              <w:top w:val="dotted" w:sz="4" w:space="0" w:color="auto"/>
              <w:left w:val="single" w:sz="4" w:space="0" w:color="auto"/>
              <w:bottom w:val="nil"/>
              <w:right w:val="nil"/>
            </w:tcBorders>
            <w:shd w:val="clear" w:color="000000" w:fill="FFFFFF"/>
            <w:noWrap/>
            <w:vAlign w:val="bottom"/>
            <w:hideMark/>
          </w:tcPr>
          <w:p w14:paraId="7278A0FF" w14:textId="77777777" w:rsidR="00336E6F" w:rsidRPr="00336E6F" w:rsidRDefault="00336E6F" w:rsidP="00336E6F">
            <w:pPr>
              <w:spacing w:after="0" w:line="240" w:lineRule="auto"/>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People Services</w:t>
            </w:r>
          </w:p>
        </w:tc>
        <w:tc>
          <w:tcPr>
            <w:tcW w:w="960" w:type="dxa"/>
            <w:tcBorders>
              <w:top w:val="dotted" w:sz="4" w:space="0" w:color="auto"/>
              <w:left w:val="single" w:sz="4" w:space="0" w:color="auto"/>
              <w:bottom w:val="nil"/>
              <w:right w:val="nil"/>
            </w:tcBorders>
            <w:shd w:val="clear" w:color="000000" w:fill="FFFFFF"/>
            <w:noWrap/>
            <w:vAlign w:val="bottom"/>
            <w:hideMark/>
          </w:tcPr>
          <w:p w14:paraId="18C54F46"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647EF4FD"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75896F77"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3486151A"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16E45D71"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111</w:t>
            </w:r>
          </w:p>
        </w:tc>
        <w:tc>
          <w:tcPr>
            <w:tcW w:w="960" w:type="dxa"/>
            <w:tcBorders>
              <w:top w:val="dotted" w:sz="4" w:space="0" w:color="auto"/>
              <w:left w:val="nil"/>
              <w:bottom w:val="nil"/>
              <w:right w:val="single" w:sz="4" w:space="0" w:color="auto"/>
            </w:tcBorders>
            <w:shd w:val="clear" w:color="000000" w:fill="FFFFFF"/>
            <w:noWrap/>
            <w:vAlign w:val="bottom"/>
            <w:hideMark/>
          </w:tcPr>
          <w:p w14:paraId="51E1671B" w14:textId="77777777" w:rsidR="00336E6F" w:rsidRPr="00336E6F" w:rsidRDefault="00336E6F" w:rsidP="00336E6F">
            <w:pPr>
              <w:spacing w:after="0" w:line="240" w:lineRule="auto"/>
              <w:jc w:val="right"/>
              <w:rPr>
                <w:rFonts w:asciiTheme="minorHAnsi" w:eastAsia="Times New Roman" w:hAnsiTheme="minorHAnsi" w:cs="Times New Roman"/>
                <w:b/>
                <w:bCs/>
                <w:color w:val="000000"/>
                <w:kern w:val="0"/>
                <w:szCs w:val="22"/>
                <w:lang w:eastAsia="en-GB"/>
                <w14:ligatures w14:val="none"/>
              </w:rPr>
            </w:pPr>
            <w:r w:rsidRPr="00336E6F">
              <w:rPr>
                <w:rFonts w:asciiTheme="minorHAnsi" w:eastAsia="Times New Roman" w:hAnsiTheme="minorHAnsi" w:cs="Times New Roman"/>
                <w:b/>
                <w:bCs/>
                <w:color w:val="000000"/>
                <w:kern w:val="0"/>
                <w:szCs w:val="22"/>
                <w:lang w:eastAsia="en-GB"/>
                <w14:ligatures w14:val="none"/>
              </w:rPr>
              <w:t>100%</w:t>
            </w:r>
          </w:p>
        </w:tc>
      </w:tr>
      <w:tr w:rsidR="00336E6F" w:rsidRPr="007E2527" w14:paraId="40E869B9" w14:textId="77777777" w:rsidTr="00336E6F">
        <w:trPr>
          <w:trHeight w:val="300"/>
        </w:trPr>
        <w:tc>
          <w:tcPr>
            <w:tcW w:w="2608" w:type="dxa"/>
            <w:tcBorders>
              <w:top w:val="nil"/>
              <w:left w:val="single" w:sz="4" w:space="0" w:color="auto"/>
              <w:bottom w:val="nil"/>
              <w:right w:val="nil"/>
            </w:tcBorders>
            <w:shd w:val="clear" w:color="000000" w:fill="FFFFFF"/>
            <w:noWrap/>
            <w:vAlign w:val="bottom"/>
            <w:hideMark/>
          </w:tcPr>
          <w:p w14:paraId="7EB33D51"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3D445146"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0EEC639"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3371960"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3D55935"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3ACC29A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90</w:t>
            </w:r>
          </w:p>
        </w:tc>
        <w:tc>
          <w:tcPr>
            <w:tcW w:w="960" w:type="dxa"/>
            <w:tcBorders>
              <w:top w:val="nil"/>
              <w:left w:val="nil"/>
              <w:bottom w:val="nil"/>
              <w:right w:val="single" w:sz="4" w:space="0" w:color="auto"/>
            </w:tcBorders>
            <w:shd w:val="clear" w:color="000000" w:fill="FFFFFF"/>
            <w:noWrap/>
            <w:vAlign w:val="bottom"/>
            <w:hideMark/>
          </w:tcPr>
          <w:p w14:paraId="4567F9D6"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81.1%</w:t>
            </w:r>
          </w:p>
        </w:tc>
      </w:tr>
      <w:tr w:rsidR="00336E6F" w:rsidRPr="007E2527" w14:paraId="0CBFBD78" w14:textId="77777777" w:rsidTr="00336E6F">
        <w:trPr>
          <w:trHeight w:val="315"/>
        </w:trPr>
        <w:tc>
          <w:tcPr>
            <w:tcW w:w="2608" w:type="dxa"/>
            <w:tcBorders>
              <w:top w:val="nil"/>
              <w:left w:val="single" w:sz="4" w:space="0" w:color="auto"/>
              <w:bottom w:val="double" w:sz="6" w:space="0" w:color="auto"/>
              <w:right w:val="nil"/>
            </w:tcBorders>
            <w:shd w:val="clear" w:color="000000" w:fill="FFFFFF"/>
            <w:noWrap/>
            <w:vAlign w:val="bottom"/>
            <w:hideMark/>
          </w:tcPr>
          <w:p w14:paraId="2F2CB606" w14:textId="77777777" w:rsidR="00336E6F" w:rsidRPr="00336E6F" w:rsidRDefault="00336E6F" w:rsidP="00336E6F">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double" w:sz="6" w:space="0" w:color="auto"/>
              <w:right w:val="nil"/>
            </w:tcBorders>
            <w:shd w:val="clear" w:color="000000" w:fill="FFFFFF"/>
            <w:noWrap/>
            <w:vAlign w:val="bottom"/>
            <w:hideMark/>
          </w:tcPr>
          <w:p w14:paraId="614FD985"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single" w:sz="4" w:space="0" w:color="auto"/>
            </w:tcBorders>
            <w:shd w:val="clear" w:color="000000" w:fill="FFFFFF"/>
            <w:noWrap/>
            <w:vAlign w:val="bottom"/>
            <w:hideMark/>
          </w:tcPr>
          <w:p w14:paraId="4F58BF3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1AADBE5D"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166CAD89"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double" w:sz="6" w:space="0" w:color="auto"/>
              <w:right w:val="nil"/>
            </w:tcBorders>
            <w:shd w:val="clear" w:color="000000" w:fill="FFFFFF"/>
            <w:noWrap/>
            <w:vAlign w:val="bottom"/>
            <w:hideMark/>
          </w:tcPr>
          <w:p w14:paraId="624A19A3"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double" w:sz="6" w:space="0" w:color="auto"/>
              <w:right w:val="single" w:sz="4" w:space="0" w:color="auto"/>
            </w:tcBorders>
            <w:shd w:val="clear" w:color="000000" w:fill="FFFFFF"/>
            <w:noWrap/>
            <w:vAlign w:val="bottom"/>
            <w:hideMark/>
          </w:tcPr>
          <w:p w14:paraId="4FC67D3F" w14:textId="77777777" w:rsidR="00336E6F" w:rsidRPr="00336E6F" w:rsidRDefault="00336E6F" w:rsidP="00336E6F">
            <w:pPr>
              <w:spacing w:after="0" w:line="240" w:lineRule="auto"/>
              <w:jc w:val="right"/>
              <w:rPr>
                <w:rFonts w:asciiTheme="minorHAnsi" w:eastAsia="Times New Roman" w:hAnsiTheme="minorHAnsi" w:cs="Times New Roman"/>
                <w:color w:val="000000"/>
                <w:kern w:val="0"/>
                <w:szCs w:val="22"/>
                <w:lang w:eastAsia="en-GB"/>
                <w14:ligatures w14:val="none"/>
              </w:rPr>
            </w:pPr>
            <w:r w:rsidRPr="00336E6F">
              <w:rPr>
                <w:rFonts w:asciiTheme="minorHAnsi" w:eastAsia="Times New Roman" w:hAnsiTheme="minorHAnsi" w:cs="Times New Roman"/>
                <w:color w:val="000000"/>
                <w:kern w:val="0"/>
                <w:szCs w:val="22"/>
                <w:lang w:eastAsia="en-GB"/>
                <w14:ligatures w14:val="none"/>
              </w:rPr>
              <w:t>18.9%</w:t>
            </w:r>
          </w:p>
        </w:tc>
      </w:tr>
    </w:tbl>
    <w:p w14:paraId="5FC73770" w14:textId="77777777" w:rsidR="00D80070" w:rsidRPr="007E2527" w:rsidRDefault="00D80070" w:rsidP="00037CAE">
      <w:pPr>
        <w:rPr>
          <w:rFonts w:asciiTheme="minorHAnsi" w:hAnsiTheme="minorHAnsi"/>
          <w:b/>
          <w:bCs/>
          <w:szCs w:val="22"/>
        </w:rPr>
      </w:pPr>
    </w:p>
    <w:p w14:paraId="01DD7375" w14:textId="77777777" w:rsidR="00D80070" w:rsidRPr="007E2527" w:rsidRDefault="00D80070" w:rsidP="00037CAE">
      <w:pPr>
        <w:rPr>
          <w:rFonts w:asciiTheme="minorHAnsi" w:hAnsiTheme="minorHAnsi"/>
          <w:b/>
          <w:bCs/>
          <w:szCs w:val="22"/>
        </w:rPr>
      </w:pPr>
    </w:p>
    <w:p w14:paraId="310A07A3" w14:textId="77777777" w:rsidR="00D80070" w:rsidRPr="007E2527" w:rsidRDefault="00D80070" w:rsidP="00037CAE">
      <w:pPr>
        <w:rPr>
          <w:rFonts w:asciiTheme="minorHAnsi" w:hAnsiTheme="minorHAnsi"/>
          <w:b/>
          <w:bCs/>
          <w:szCs w:val="22"/>
        </w:rPr>
      </w:pPr>
    </w:p>
    <w:p w14:paraId="22114A8B" w14:textId="77777777" w:rsidR="00D80070" w:rsidRPr="007E2527" w:rsidRDefault="00D80070" w:rsidP="00037CAE">
      <w:pPr>
        <w:rPr>
          <w:rFonts w:asciiTheme="minorHAnsi" w:hAnsiTheme="minorHAnsi"/>
          <w:b/>
          <w:bCs/>
          <w:szCs w:val="22"/>
        </w:rPr>
      </w:pPr>
    </w:p>
    <w:p w14:paraId="2C8205E5" w14:textId="77777777" w:rsidR="00D80070" w:rsidRPr="007E2527" w:rsidRDefault="00D80070" w:rsidP="00037CAE">
      <w:pPr>
        <w:rPr>
          <w:rFonts w:asciiTheme="minorHAnsi" w:hAnsiTheme="minorHAnsi"/>
          <w:b/>
          <w:bCs/>
          <w:szCs w:val="22"/>
        </w:rPr>
      </w:pPr>
    </w:p>
    <w:p w14:paraId="3F605DE2" w14:textId="77CF4B48" w:rsidR="00722EAD" w:rsidRPr="007E2527" w:rsidRDefault="008C1EEF" w:rsidP="00722EAD">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sex and mode of employment, 2025 (Full-time n=4,856; Part-time n=1,385)</w:t>
      </w:r>
    </w:p>
    <w:tbl>
      <w:tblPr>
        <w:tblW w:w="5484" w:type="dxa"/>
        <w:tblLayout w:type="fixed"/>
        <w:tblLook w:val="04A0" w:firstRow="1" w:lastRow="0" w:firstColumn="1" w:lastColumn="0" w:noHBand="0" w:noVBand="1"/>
      </w:tblPr>
      <w:tblGrid>
        <w:gridCol w:w="1644"/>
        <w:gridCol w:w="960"/>
        <w:gridCol w:w="960"/>
        <w:gridCol w:w="960"/>
        <w:gridCol w:w="960"/>
      </w:tblGrid>
      <w:tr w:rsidR="00D415D6" w:rsidRPr="00D415D6" w14:paraId="6F10D529" w14:textId="77777777" w:rsidTr="003420A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4E041C68" w14:textId="77777777" w:rsidR="00D415D6" w:rsidRPr="00D415D6" w:rsidRDefault="00D415D6" w:rsidP="00D415D6">
            <w:pPr>
              <w:spacing w:after="0" w:line="240" w:lineRule="auto"/>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EC2B34D" w14:textId="77777777" w:rsidR="00D415D6" w:rsidRPr="00D415D6" w:rsidRDefault="00D415D6" w:rsidP="00D415D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Full-time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5E654B91" w14:textId="77777777" w:rsidR="00D415D6" w:rsidRPr="00D415D6" w:rsidRDefault="00D415D6" w:rsidP="00D415D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Part-time</w:t>
            </w:r>
          </w:p>
        </w:tc>
      </w:tr>
      <w:tr w:rsidR="00D415D6" w:rsidRPr="00D415D6" w14:paraId="5B01837A" w14:textId="77777777" w:rsidTr="003420A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73CE7DC7" w14:textId="77777777" w:rsidR="00D415D6" w:rsidRPr="00D415D6" w:rsidRDefault="00D415D6" w:rsidP="00D415D6">
            <w:pPr>
              <w:spacing w:after="0" w:line="240" w:lineRule="auto"/>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53BC2D1C"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51B61B6"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6807B74"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A0CE030"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w:t>
            </w:r>
          </w:p>
        </w:tc>
      </w:tr>
      <w:tr w:rsidR="00D415D6" w:rsidRPr="00D415D6" w14:paraId="61FE29E1"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641DCAD7" w14:textId="77777777" w:rsidR="00D415D6" w:rsidRPr="00D415D6" w:rsidRDefault="00D415D6" w:rsidP="00D415D6">
            <w:pPr>
              <w:spacing w:after="0" w:line="240" w:lineRule="auto"/>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65FB8D0B"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2430</w:t>
            </w:r>
          </w:p>
        </w:tc>
        <w:tc>
          <w:tcPr>
            <w:tcW w:w="960" w:type="dxa"/>
            <w:tcBorders>
              <w:top w:val="nil"/>
              <w:left w:val="nil"/>
              <w:bottom w:val="nil"/>
              <w:right w:val="single" w:sz="4" w:space="0" w:color="auto"/>
            </w:tcBorders>
            <w:shd w:val="clear" w:color="000000" w:fill="FFFFFF"/>
            <w:noWrap/>
            <w:vAlign w:val="bottom"/>
            <w:hideMark/>
          </w:tcPr>
          <w:p w14:paraId="7E5ED142"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50.0%</w:t>
            </w:r>
          </w:p>
        </w:tc>
        <w:tc>
          <w:tcPr>
            <w:tcW w:w="960" w:type="dxa"/>
            <w:tcBorders>
              <w:top w:val="nil"/>
              <w:left w:val="nil"/>
              <w:bottom w:val="nil"/>
              <w:right w:val="nil"/>
            </w:tcBorders>
            <w:shd w:val="clear" w:color="000000" w:fill="FFFFFF"/>
            <w:noWrap/>
            <w:vAlign w:val="bottom"/>
            <w:hideMark/>
          </w:tcPr>
          <w:p w14:paraId="168ED142"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1008</w:t>
            </w:r>
          </w:p>
        </w:tc>
        <w:tc>
          <w:tcPr>
            <w:tcW w:w="960" w:type="dxa"/>
            <w:tcBorders>
              <w:top w:val="nil"/>
              <w:left w:val="nil"/>
              <w:bottom w:val="nil"/>
              <w:right w:val="single" w:sz="4" w:space="0" w:color="auto"/>
            </w:tcBorders>
            <w:shd w:val="clear" w:color="000000" w:fill="FFFFFF"/>
            <w:noWrap/>
            <w:vAlign w:val="bottom"/>
            <w:hideMark/>
          </w:tcPr>
          <w:p w14:paraId="7FFE8340"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72.8%</w:t>
            </w:r>
          </w:p>
        </w:tc>
      </w:tr>
      <w:tr w:rsidR="00D415D6" w:rsidRPr="00D415D6" w14:paraId="191B2E5F"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6E9991D9" w14:textId="77777777" w:rsidR="00D415D6" w:rsidRPr="00D415D6" w:rsidRDefault="00D415D6" w:rsidP="00D415D6">
            <w:pPr>
              <w:spacing w:after="0" w:line="240" w:lineRule="auto"/>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147D2E5E"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2426</w:t>
            </w:r>
          </w:p>
        </w:tc>
        <w:tc>
          <w:tcPr>
            <w:tcW w:w="960" w:type="dxa"/>
            <w:tcBorders>
              <w:top w:val="nil"/>
              <w:left w:val="nil"/>
              <w:bottom w:val="nil"/>
              <w:right w:val="single" w:sz="4" w:space="0" w:color="auto"/>
            </w:tcBorders>
            <w:shd w:val="clear" w:color="000000" w:fill="FFFFFF"/>
            <w:noWrap/>
            <w:vAlign w:val="bottom"/>
            <w:hideMark/>
          </w:tcPr>
          <w:p w14:paraId="21687B6E"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50.0%</w:t>
            </w:r>
          </w:p>
        </w:tc>
        <w:tc>
          <w:tcPr>
            <w:tcW w:w="960" w:type="dxa"/>
            <w:tcBorders>
              <w:top w:val="nil"/>
              <w:left w:val="nil"/>
              <w:bottom w:val="nil"/>
              <w:right w:val="nil"/>
            </w:tcBorders>
            <w:shd w:val="clear" w:color="000000" w:fill="FFFFFF"/>
            <w:noWrap/>
            <w:vAlign w:val="bottom"/>
            <w:hideMark/>
          </w:tcPr>
          <w:p w14:paraId="4053F60A"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377</w:t>
            </w:r>
          </w:p>
        </w:tc>
        <w:tc>
          <w:tcPr>
            <w:tcW w:w="960" w:type="dxa"/>
            <w:tcBorders>
              <w:top w:val="nil"/>
              <w:left w:val="nil"/>
              <w:bottom w:val="nil"/>
              <w:right w:val="single" w:sz="4" w:space="0" w:color="auto"/>
            </w:tcBorders>
            <w:shd w:val="clear" w:color="000000" w:fill="FFFFFF"/>
            <w:noWrap/>
            <w:vAlign w:val="bottom"/>
            <w:hideMark/>
          </w:tcPr>
          <w:p w14:paraId="7012B79E"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27.2%</w:t>
            </w:r>
          </w:p>
        </w:tc>
      </w:tr>
      <w:tr w:rsidR="00D415D6" w:rsidRPr="00D415D6" w14:paraId="05B6EB2F"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42CEC3A9" w14:textId="77777777" w:rsidR="00D415D6" w:rsidRPr="00D415D6" w:rsidRDefault="00D415D6" w:rsidP="00D415D6">
            <w:pPr>
              <w:spacing w:after="0" w:line="240" w:lineRule="auto"/>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134F95F"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4856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84F7639"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B7731D6"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6BFC360"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100%</w:t>
            </w:r>
          </w:p>
        </w:tc>
      </w:tr>
    </w:tbl>
    <w:p w14:paraId="79141FDE" w14:textId="77777777" w:rsidR="008C1EEF" w:rsidRDefault="008C1EEF" w:rsidP="008C1EEF">
      <w:pPr>
        <w:rPr>
          <w:rFonts w:asciiTheme="minorHAnsi" w:hAnsiTheme="minorHAnsi"/>
          <w:b/>
          <w:bCs/>
          <w:szCs w:val="22"/>
        </w:rPr>
      </w:pPr>
    </w:p>
    <w:p w14:paraId="06222EB6" w14:textId="77777777" w:rsidR="003420A9" w:rsidRPr="007E2527" w:rsidRDefault="003420A9" w:rsidP="008C1EEF">
      <w:pPr>
        <w:rPr>
          <w:rFonts w:asciiTheme="minorHAnsi" w:hAnsiTheme="minorHAnsi"/>
          <w:b/>
          <w:bCs/>
          <w:szCs w:val="22"/>
        </w:rPr>
      </w:pPr>
    </w:p>
    <w:p w14:paraId="66F15A49" w14:textId="1D72CA2A" w:rsidR="008C1EEF" w:rsidRPr="007E2527" w:rsidRDefault="008C1EEF" w:rsidP="008C1EEF">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sex and grade, 2025 (n=2,860)</w:t>
      </w:r>
    </w:p>
    <w:tbl>
      <w:tblPr>
        <w:tblW w:w="11244" w:type="dxa"/>
        <w:tblLayout w:type="fixed"/>
        <w:tblLook w:val="04A0" w:firstRow="1" w:lastRow="0" w:firstColumn="1" w:lastColumn="0" w:noHBand="0" w:noVBand="1"/>
      </w:tblPr>
      <w:tblGrid>
        <w:gridCol w:w="1644"/>
        <w:gridCol w:w="960"/>
        <w:gridCol w:w="960"/>
        <w:gridCol w:w="960"/>
        <w:gridCol w:w="960"/>
        <w:gridCol w:w="960"/>
        <w:gridCol w:w="960"/>
        <w:gridCol w:w="960"/>
        <w:gridCol w:w="960"/>
        <w:gridCol w:w="960"/>
        <w:gridCol w:w="960"/>
      </w:tblGrid>
      <w:tr w:rsidR="00D415D6" w:rsidRPr="00D415D6" w14:paraId="431515CB" w14:textId="77777777" w:rsidTr="003420A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27E9F1F3" w14:textId="77777777" w:rsidR="00D415D6" w:rsidRPr="00D415D6" w:rsidRDefault="00D415D6" w:rsidP="00D415D6">
            <w:pPr>
              <w:spacing w:after="0" w:line="240" w:lineRule="auto"/>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54F3CCFF" w14:textId="77777777" w:rsidR="00D415D6" w:rsidRPr="00D415D6" w:rsidRDefault="00D415D6" w:rsidP="00D415D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Grade E</w:t>
            </w:r>
          </w:p>
        </w:tc>
        <w:tc>
          <w:tcPr>
            <w:tcW w:w="1920" w:type="dxa"/>
            <w:gridSpan w:val="2"/>
            <w:tcBorders>
              <w:top w:val="single" w:sz="4" w:space="0" w:color="auto"/>
              <w:left w:val="nil"/>
              <w:bottom w:val="nil"/>
              <w:right w:val="nil"/>
            </w:tcBorders>
            <w:shd w:val="clear" w:color="000000" w:fill="FFFFFF"/>
            <w:noWrap/>
            <w:vAlign w:val="bottom"/>
            <w:hideMark/>
          </w:tcPr>
          <w:p w14:paraId="280C24AF" w14:textId="77777777" w:rsidR="00D415D6" w:rsidRPr="00D415D6" w:rsidRDefault="00D415D6" w:rsidP="00D415D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4E82370" w14:textId="77777777" w:rsidR="00D415D6" w:rsidRPr="00D415D6" w:rsidRDefault="00D415D6" w:rsidP="00D415D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08A4860A" w14:textId="77777777" w:rsidR="00D415D6" w:rsidRPr="00D415D6" w:rsidRDefault="00D415D6" w:rsidP="00D415D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AB6D4F9" w14:textId="77777777" w:rsidR="00D415D6" w:rsidRPr="00D415D6" w:rsidRDefault="00D415D6" w:rsidP="00D415D6">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Grade I</w:t>
            </w:r>
          </w:p>
        </w:tc>
      </w:tr>
      <w:tr w:rsidR="00D415D6" w:rsidRPr="007E2527" w14:paraId="322CACC3" w14:textId="77777777" w:rsidTr="003420A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1AF1F593" w14:textId="77777777" w:rsidR="00D415D6" w:rsidRPr="00D415D6" w:rsidRDefault="00D415D6" w:rsidP="00D415D6">
            <w:pPr>
              <w:spacing w:after="0" w:line="240" w:lineRule="auto"/>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4F66C04C"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3EC10C8"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24C9516"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F002AF5"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47CDB29"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4F0A2CA"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EA1F2A1"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5E5DCC3"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E52E940"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DCB0FDF" w14:textId="77777777" w:rsidR="00D415D6" w:rsidRPr="00D415D6" w:rsidRDefault="00D415D6" w:rsidP="00D415D6">
            <w:pPr>
              <w:spacing w:after="0" w:line="240" w:lineRule="auto"/>
              <w:jc w:val="center"/>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w:t>
            </w:r>
          </w:p>
        </w:tc>
      </w:tr>
      <w:tr w:rsidR="00D415D6" w:rsidRPr="007E2527" w14:paraId="01650CF8"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76EC8B01" w14:textId="77777777" w:rsidR="00D415D6" w:rsidRPr="00D415D6" w:rsidRDefault="00D415D6" w:rsidP="00D415D6">
            <w:pPr>
              <w:spacing w:after="0" w:line="240" w:lineRule="auto"/>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6B9DA138"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9</w:t>
            </w:r>
          </w:p>
        </w:tc>
        <w:tc>
          <w:tcPr>
            <w:tcW w:w="960" w:type="dxa"/>
            <w:tcBorders>
              <w:top w:val="nil"/>
              <w:left w:val="nil"/>
              <w:bottom w:val="nil"/>
              <w:right w:val="single" w:sz="4" w:space="0" w:color="auto"/>
            </w:tcBorders>
            <w:shd w:val="clear" w:color="000000" w:fill="FFFFFF"/>
            <w:noWrap/>
            <w:vAlign w:val="bottom"/>
            <w:hideMark/>
          </w:tcPr>
          <w:p w14:paraId="193EC4ED"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34.6%</w:t>
            </w:r>
          </w:p>
        </w:tc>
        <w:tc>
          <w:tcPr>
            <w:tcW w:w="960" w:type="dxa"/>
            <w:tcBorders>
              <w:top w:val="nil"/>
              <w:left w:val="nil"/>
              <w:bottom w:val="nil"/>
              <w:right w:val="nil"/>
            </w:tcBorders>
            <w:shd w:val="clear" w:color="000000" w:fill="FFFFFF"/>
            <w:noWrap/>
            <w:vAlign w:val="bottom"/>
            <w:hideMark/>
          </w:tcPr>
          <w:p w14:paraId="18157B03"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518</w:t>
            </w:r>
          </w:p>
        </w:tc>
        <w:tc>
          <w:tcPr>
            <w:tcW w:w="960" w:type="dxa"/>
            <w:tcBorders>
              <w:top w:val="nil"/>
              <w:left w:val="nil"/>
              <w:bottom w:val="nil"/>
              <w:right w:val="single" w:sz="4" w:space="0" w:color="auto"/>
            </w:tcBorders>
            <w:shd w:val="clear" w:color="000000" w:fill="FFFFFF"/>
            <w:noWrap/>
            <w:vAlign w:val="bottom"/>
            <w:hideMark/>
          </w:tcPr>
          <w:p w14:paraId="0B1CDD70"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54.7%</w:t>
            </w:r>
          </w:p>
        </w:tc>
        <w:tc>
          <w:tcPr>
            <w:tcW w:w="960" w:type="dxa"/>
            <w:tcBorders>
              <w:top w:val="nil"/>
              <w:left w:val="nil"/>
              <w:bottom w:val="nil"/>
              <w:right w:val="nil"/>
            </w:tcBorders>
            <w:shd w:val="clear" w:color="000000" w:fill="FFFFFF"/>
            <w:noWrap/>
            <w:vAlign w:val="bottom"/>
            <w:hideMark/>
          </w:tcPr>
          <w:p w14:paraId="6D67BFC4"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326</w:t>
            </w:r>
          </w:p>
        </w:tc>
        <w:tc>
          <w:tcPr>
            <w:tcW w:w="960" w:type="dxa"/>
            <w:tcBorders>
              <w:top w:val="nil"/>
              <w:left w:val="nil"/>
              <w:bottom w:val="nil"/>
              <w:right w:val="single" w:sz="4" w:space="0" w:color="auto"/>
            </w:tcBorders>
            <w:shd w:val="clear" w:color="000000" w:fill="FFFFFF"/>
            <w:noWrap/>
            <w:vAlign w:val="bottom"/>
            <w:hideMark/>
          </w:tcPr>
          <w:p w14:paraId="4034B73E"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51.3%</w:t>
            </w:r>
          </w:p>
        </w:tc>
        <w:tc>
          <w:tcPr>
            <w:tcW w:w="960" w:type="dxa"/>
            <w:tcBorders>
              <w:top w:val="nil"/>
              <w:left w:val="nil"/>
              <w:bottom w:val="nil"/>
              <w:right w:val="nil"/>
            </w:tcBorders>
            <w:shd w:val="clear" w:color="000000" w:fill="FFFFFF"/>
            <w:noWrap/>
            <w:vAlign w:val="bottom"/>
            <w:hideMark/>
          </w:tcPr>
          <w:p w14:paraId="416694DF"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224</w:t>
            </w:r>
          </w:p>
        </w:tc>
        <w:tc>
          <w:tcPr>
            <w:tcW w:w="960" w:type="dxa"/>
            <w:tcBorders>
              <w:top w:val="nil"/>
              <w:left w:val="nil"/>
              <w:bottom w:val="nil"/>
              <w:right w:val="single" w:sz="4" w:space="0" w:color="auto"/>
            </w:tcBorders>
            <w:shd w:val="clear" w:color="000000" w:fill="FFFFFF"/>
            <w:noWrap/>
            <w:vAlign w:val="bottom"/>
            <w:hideMark/>
          </w:tcPr>
          <w:p w14:paraId="176A1691"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43.8%</w:t>
            </w:r>
          </w:p>
        </w:tc>
        <w:tc>
          <w:tcPr>
            <w:tcW w:w="960" w:type="dxa"/>
            <w:tcBorders>
              <w:top w:val="nil"/>
              <w:left w:val="nil"/>
              <w:bottom w:val="nil"/>
              <w:right w:val="nil"/>
            </w:tcBorders>
            <w:shd w:val="clear" w:color="000000" w:fill="FFFFFF"/>
            <w:noWrap/>
            <w:vAlign w:val="bottom"/>
            <w:hideMark/>
          </w:tcPr>
          <w:p w14:paraId="5BF06D33"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290</w:t>
            </w:r>
          </w:p>
        </w:tc>
        <w:tc>
          <w:tcPr>
            <w:tcW w:w="960" w:type="dxa"/>
            <w:tcBorders>
              <w:top w:val="nil"/>
              <w:left w:val="nil"/>
              <w:bottom w:val="nil"/>
              <w:right w:val="single" w:sz="4" w:space="0" w:color="auto"/>
            </w:tcBorders>
            <w:shd w:val="clear" w:color="000000" w:fill="FFFFFF"/>
            <w:noWrap/>
            <w:vAlign w:val="bottom"/>
            <w:hideMark/>
          </w:tcPr>
          <w:p w14:paraId="319A2408"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39.2%</w:t>
            </w:r>
          </w:p>
        </w:tc>
      </w:tr>
      <w:tr w:rsidR="00D415D6" w:rsidRPr="007E2527" w14:paraId="46CE8BDD"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1CAF3334" w14:textId="77777777" w:rsidR="00D415D6" w:rsidRPr="00D415D6" w:rsidRDefault="00D415D6" w:rsidP="00D415D6">
            <w:pPr>
              <w:spacing w:after="0" w:line="240" w:lineRule="auto"/>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084C12B5"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17</w:t>
            </w:r>
          </w:p>
        </w:tc>
        <w:tc>
          <w:tcPr>
            <w:tcW w:w="960" w:type="dxa"/>
            <w:tcBorders>
              <w:top w:val="nil"/>
              <w:left w:val="nil"/>
              <w:bottom w:val="nil"/>
              <w:right w:val="single" w:sz="4" w:space="0" w:color="auto"/>
            </w:tcBorders>
            <w:shd w:val="clear" w:color="000000" w:fill="FFFFFF"/>
            <w:noWrap/>
            <w:vAlign w:val="bottom"/>
            <w:hideMark/>
          </w:tcPr>
          <w:p w14:paraId="69766D4D"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65.4%</w:t>
            </w:r>
          </w:p>
        </w:tc>
        <w:tc>
          <w:tcPr>
            <w:tcW w:w="960" w:type="dxa"/>
            <w:tcBorders>
              <w:top w:val="nil"/>
              <w:left w:val="nil"/>
              <w:bottom w:val="nil"/>
              <w:right w:val="nil"/>
            </w:tcBorders>
            <w:shd w:val="clear" w:color="000000" w:fill="FFFFFF"/>
            <w:noWrap/>
            <w:vAlign w:val="bottom"/>
            <w:hideMark/>
          </w:tcPr>
          <w:p w14:paraId="7F4C065D"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429</w:t>
            </w:r>
          </w:p>
        </w:tc>
        <w:tc>
          <w:tcPr>
            <w:tcW w:w="960" w:type="dxa"/>
            <w:tcBorders>
              <w:top w:val="nil"/>
              <w:left w:val="nil"/>
              <w:bottom w:val="nil"/>
              <w:right w:val="single" w:sz="4" w:space="0" w:color="auto"/>
            </w:tcBorders>
            <w:shd w:val="clear" w:color="000000" w:fill="FFFFFF"/>
            <w:noWrap/>
            <w:vAlign w:val="bottom"/>
            <w:hideMark/>
          </w:tcPr>
          <w:p w14:paraId="229D08C9"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45.3%</w:t>
            </w:r>
          </w:p>
        </w:tc>
        <w:tc>
          <w:tcPr>
            <w:tcW w:w="960" w:type="dxa"/>
            <w:tcBorders>
              <w:top w:val="nil"/>
              <w:left w:val="nil"/>
              <w:bottom w:val="nil"/>
              <w:right w:val="nil"/>
            </w:tcBorders>
            <w:shd w:val="clear" w:color="000000" w:fill="FFFFFF"/>
            <w:noWrap/>
            <w:vAlign w:val="bottom"/>
            <w:hideMark/>
          </w:tcPr>
          <w:p w14:paraId="7D66C92E"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310</w:t>
            </w:r>
          </w:p>
        </w:tc>
        <w:tc>
          <w:tcPr>
            <w:tcW w:w="960" w:type="dxa"/>
            <w:tcBorders>
              <w:top w:val="nil"/>
              <w:left w:val="nil"/>
              <w:bottom w:val="nil"/>
              <w:right w:val="single" w:sz="4" w:space="0" w:color="auto"/>
            </w:tcBorders>
            <w:shd w:val="clear" w:color="000000" w:fill="FFFFFF"/>
            <w:noWrap/>
            <w:vAlign w:val="bottom"/>
            <w:hideMark/>
          </w:tcPr>
          <w:p w14:paraId="6B40D275"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48.7%</w:t>
            </w:r>
          </w:p>
        </w:tc>
        <w:tc>
          <w:tcPr>
            <w:tcW w:w="960" w:type="dxa"/>
            <w:tcBorders>
              <w:top w:val="nil"/>
              <w:left w:val="nil"/>
              <w:bottom w:val="nil"/>
              <w:right w:val="nil"/>
            </w:tcBorders>
            <w:shd w:val="clear" w:color="000000" w:fill="FFFFFF"/>
            <w:noWrap/>
            <w:vAlign w:val="bottom"/>
            <w:hideMark/>
          </w:tcPr>
          <w:p w14:paraId="30D6D04F"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287</w:t>
            </w:r>
          </w:p>
        </w:tc>
        <w:tc>
          <w:tcPr>
            <w:tcW w:w="960" w:type="dxa"/>
            <w:tcBorders>
              <w:top w:val="nil"/>
              <w:left w:val="nil"/>
              <w:bottom w:val="nil"/>
              <w:right w:val="single" w:sz="4" w:space="0" w:color="auto"/>
            </w:tcBorders>
            <w:shd w:val="clear" w:color="000000" w:fill="FFFFFF"/>
            <w:noWrap/>
            <w:vAlign w:val="bottom"/>
            <w:hideMark/>
          </w:tcPr>
          <w:p w14:paraId="3C023FA4"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56.2%</w:t>
            </w:r>
          </w:p>
        </w:tc>
        <w:tc>
          <w:tcPr>
            <w:tcW w:w="960" w:type="dxa"/>
            <w:tcBorders>
              <w:top w:val="nil"/>
              <w:left w:val="nil"/>
              <w:bottom w:val="nil"/>
              <w:right w:val="nil"/>
            </w:tcBorders>
            <w:shd w:val="clear" w:color="000000" w:fill="FFFFFF"/>
            <w:noWrap/>
            <w:vAlign w:val="bottom"/>
            <w:hideMark/>
          </w:tcPr>
          <w:p w14:paraId="3D50415B"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450</w:t>
            </w:r>
          </w:p>
        </w:tc>
        <w:tc>
          <w:tcPr>
            <w:tcW w:w="960" w:type="dxa"/>
            <w:tcBorders>
              <w:top w:val="nil"/>
              <w:left w:val="nil"/>
              <w:bottom w:val="nil"/>
              <w:right w:val="single" w:sz="4" w:space="0" w:color="auto"/>
            </w:tcBorders>
            <w:shd w:val="clear" w:color="000000" w:fill="FFFFFF"/>
            <w:noWrap/>
            <w:vAlign w:val="bottom"/>
            <w:hideMark/>
          </w:tcPr>
          <w:p w14:paraId="4AE82489" w14:textId="77777777" w:rsidR="00D415D6" w:rsidRPr="00D415D6" w:rsidRDefault="00D415D6" w:rsidP="00D415D6">
            <w:pPr>
              <w:spacing w:after="0" w:line="240" w:lineRule="auto"/>
              <w:jc w:val="right"/>
              <w:rPr>
                <w:rFonts w:asciiTheme="minorHAnsi" w:eastAsia="Times New Roman" w:hAnsiTheme="minorHAnsi" w:cs="Times New Roman"/>
                <w:color w:val="000000"/>
                <w:kern w:val="0"/>
                <w:szCs w:val="22"/>
                <w:lang w:eastAsia="en-GB"/>
                <w14:ligatures w14:val="none"/>
              </w:rPr>
            </w:pPr>
            <w:r w:rsidRPr="00D415D6">
              <w:rPr>
                <w:rFonts w:asciiTheme="minorHAnsi" w:eastAsia="Times New Roman" w:hAnsiTheme="minorHAnsi" w:cs="Times New Roman"/>
                <w:color w:val="000000"/>
                <w:kern w:val="0"/>
                <w:szCs w:val="22"/>
                <w:lang w:eastAsia="en-GB"/>
                <w14:ligatures w14:val="none"/>
              </w:rPr>
              <w:t>60.8%</w:t>
            </w:r>
          </w:p>
        </w:tc>
      </w:tr>
      <w:tr w:rsidR="00D415D6" w:rsidRPr="007E2527" w14:paraId="1A6BD0C8"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7CD86CEE" w14:textId="77777777" w:rsidR="00D415D6" w:rsidRPr="00D415D6" w:rsidRDefault="00D415D6" w:rsidP="00D415D6">
            <w:pPr>
              <w:spacing w:after="0" w:line="240" w:lineRule="auto"/>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5D7E9E3"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26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7347405"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253B364"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947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015D96B"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142D2C3"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636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B9C441A"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4ED7B4D"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511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5A01B5A"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A46387E"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740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2F209BA" w14:textId="77777777" w:rsidR="00D415D6" w:rsidRPr="00D415D6" w:rsidRDefault="00D415D6" w:rsidP="00D415D6">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415D6">
              <w:rPr>
                <w:rFonts w:asciiTheme="minorHAnsi" w:eastAsia="Times New Roman" w:hAnsiTheme="minorHAnsi" w:cs="Times New Roman"/>
                <w:b/>
                <w:bCs/>
                <w:color w:val="000000"/>
                <w:kern w:val="0"/>
                <w:szCs w:val="22"/>
                <w:lang w:eastAsia="en-GB"/>
                <w14:ligatures w14:val="none"/>
              </w:rPr>
              <w:t>100%</w:t>
            </w:r>
          </w:p>
        </w:tc>
      </w:tr>
    </w:tbl>
    <w:p w14:paraId="22A6E5C7" w14:textId="77777777" w:rsidR="00D415D6" w:rsidRDefault="00D415D6" w:rsidP="008C1EEF">
      <w:pPr>
        <w:rPr>
          <w:rFonts w:asciiTheme="minorHAnsi" w:hAnsiTheme="minorHAnsi"/>
          <w:b/>
          <w:bCs/>
          <w:szCs w:val="22"/>
        </w:rPr>
      </w:pPr>
    </w:p>
    <w:p w14:paraId="3CC595C4" w14:textId="77777777" w:rsidR="003420A9" w:rsidRDefault="003420A9" w:rsidP="008C1EEF">
      <w:pPr>
        <w:rPr>
          <w:rFonts w:asciiTheme="minorHAnsi" w:hAnsiTheme="minorHAnsi"/>
          <w:b/>
          <w:bCs/>
          <w:szCs w:val="22"/>
        </w:rPr>
      </w:pPr>
    </w:p>
    <w:p w14:paraId="7DCA9781" w14:textId="77777777" w:rsidR="003420A9" w:rsidRDefault="003420A9" w:rsidP="008C1EEF">
      <w:pPr>
        <w:rPr>
          <w:rFonts w:asciiTheme="minorHAnsi" w:hAnsiTheme="minorHAnsi"/>
          <w:b/>
          <w:bCs/>
          <w:szCs w:val="22"/>
        </w:rPr>
      </w:pPr>
    </w:p>
    <w:p w14:paraId="3DFE2733" w14:textId="77777777" w:rsidR="003420A9" w:rsidRDefault="003420A9" w:rsidP="008C1EEF">
      <w:pPr>
        <w:rPr>
          <w:rFonts w:asciiTheme="minorHAnsi" w:hAnsiTheme="minorHAnsi"/>
          <w:b/>
          <w:bCs/>
          <w:szCs w:val="22"/>
        </w:rPr>
      </w:pPr>
    </w:p>
    <w:p w14:paraId="6125D486" w14:textId="77777777" w:rsidR="003420A9" w:rsidRDefault="003420A9" w:rsidP="008C1EEF">
      <w:pPr>
        <w:rPr>
          <w:rFonts w:asciiTheme="minorHAnsi" w:hAnsiTheme="minorHAnsi"/>
          <w:b/>
          <w:bCs/>
          <w:szCs w:val="22"/>
        </w:rPr>
      </w:pPr>
    </w:p>
    <w:p w14:paraId="3971CC30" w14:textId="77777777" w:rsidR="003420A9" w:rsidRDefault="003420A9" w:rsidP="008C1EEF">
      <w:pPr>
        <w:rPr>
          <w:rFonts w:asciiTheme="minorHAnsi" w:hAnsiTheme="minorHAnsi"/>
          <w:b/>
          <w:bCs/>
          <w:szCs w:val="22"/>
        </w:rPr>
      </w:pPr>
    </w:p>
    <w:p w14:paraId="3BE58CC0" w14:textId="77777777" w:rsidR="003420A9" w:rsidRPr="007E2527" w:rsidRDefault="003420A9" w:rsidP="008C1EEF">
      <w:pPr>
        <w:rPr>
          <w:rFonts w:asciiTheme="minorHAnsi" w:hAnsiTheme="minorHAnsi"/>
          <w:b/>
          <w:bCs/>
          <w:szCs w:val="22"/>
        </w:rPr>
      </w:pPr>
    </w:p>
    <w:p w14:paraId="560B357E" w14:textId="77777777" w:rsidR="00034E9A" w:rsidRPr="007E2527" w:rsidRDefault="00034E9A" w:rsidP="008C1EEF">
      <w:pPr>
        <w:rPr>
          <w:rFonts w:asciiTheme="minorHAnsi" w:hAnsiTheme="minorHAnsi"/>
          <w:b/>
          <w:bCs/>
          <w:szCs w:val="22"/>
        </w:rPr>
      </w:pPr>
    </w:p>
    <w:p w14:paraId="0CE792DD" w14:textId="01539111" w:rsidR="00034E9A" w:rsidRPr="007E2527" w:rsidRDefault="00034E9A" w:rsidP="00034E9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sex and grade, 2025 (n=3,381)</w:t>
      </w:r>
    </w:p>
    <w:tbl>
      <w:tblPr>
        <w:tblW w:w="11244" w:type="dxa"/>
        <w:tblLayout w:type="fixed"/>
        <w:tblLook w:val="04A0" w:firstRow="1" w:lastRow="0" w:firstColumn="1" w:lastColumn="0" w:noHBand="0" w:noVBand="1"/>
      </w:tblPr>
      <w:tblGrid>
        <w:gridCol w:w="1644"/>
        <w:gridCol w:w="960"/>
        <w:gridCol w:w="960"/>
        <w:gridCol w:w="960"/>
        <w:gridCol w:w="960"/>
        <w:gridCol w:w="960"/>
        <w:gridCol w:w="960"/>
        <w:gridCol w:w="960"/>
        <w:gridCol w:w="960"/>
        <w:gridCol w:w="960"/>
        <w:gridCol w:w="960"/>
      </w:tblGrid>
      <w:tr w:rsidR="00720294" w:rsidRPr="00720294" w14:paraId="55C74655" w14:textId="77777777" w:rsidTr="003420A9">
        <w:trPr>
          <w:trHeight w:val="300"/>
        </w:trPr>
        <w:tc>
          <w:tcPr>
            <w:tcW w:w="1644" w:type="dxa"/>
            <w:tcBorders>
              <w:top w:val="single" w:sz="4" w:space="0" w:color="auto"/>
              <w:left w:val="single" w:sz="4" w:space="0" w:color="auto"/>
              <w:bottom w:val="nil"/>
              <w:right w:val="nil"/>
            </w:tcBorders>
            <w:shd w:val="clear" w:color="000000" w:fill="FFFFFF"/>
            <w:noWrap/>
            <w:vAlign w:val="bottom"/>
            <w:hideMark/>
          </w:tcPr>
          <w:p w14:paraId="252CBC50" w14:textId="77777777" w:rsidR="00720294" w:rsidRPr="00720294" w:rsidRDefault="00720294" w:rsidP="00720294">
            <w:pPr>
              <w:spacing w:after="0" w:line="240" w:lineRule="auto"/>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041181D"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A</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C46DC37"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B</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57AEEFD"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82F44EA"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D</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8739928"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E</w:t>
            </w:r>
          </w:p>
        </w:tc>
      </w:tr>
      <w:tr w:rsidR="00720294" w:rsidRPr="007E2527" w14:paraId="7A02D67C" w14:textId="77777777" w:rsidTr="003420A9">
        <w:trPr>
          <w:trHeight w:val="300"/>
        </w:trPr>
        <w:tc>
          <w:tcPr>
            <w:tcW w:w="1644" w:type="dxa"/>
            <w:tcBorders>
              <w:top w:val="nil"/>
              <w:left w:val="single" w:sz="4" w:space="0" w:color="auto"/>
              <w:bottom w:val="single" w:sz="4" w:space="0" w:color="auto"/>
              <w:right w:val="nil"/>
            </w:tcBorders>
            <w:shd w:val="clear" w:color="000000" w:fill="FFFFFF"/>
            <w:noWrap/>
            <w:vAlign w:val="bottom"/>
            <w:hideMark/>
          </w:tcPr>
          <w:p w14:paraId="58E20A90" w14:textId="77777777" w:rsidR="00720294" w:rsidRPr="00720294" w:rsidRDefault="00720294" w:rsidP="00720294">
            <w:pPr>
              <w:spacing w:after="0" w:line="240" w:lineRule="auto"/>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72BC0E6D"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3825CD1"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B2F8316"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8C4AF91"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C903FF2"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4F1DA78"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D56DFE0"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8D74348"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53CEFC1"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DC6ADB4"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r>
      <w:tr w:rsidR="00720294" w:rsidRPr="007E2527" w14:paraId="5209F2A0"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59EB5C3D" w14:textId="77777777" w:rsidR="00720294" w:rsidRPr="00720294" w:rsidRDefault="00720294" w:rsidP="00720294">
            <w:pPr>
              <w:spacing w:after="0" w:line="240" w:lineRule="auto"/>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353E807B"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154</w:t>
            </w:r>
          </w:p>
        </w:tc>
        <w:tc>
          <w:tcPr>
            <w:tcW w:w="960" w:type="dxa"/>
            <w:tcBorders>
              <w:top w:val="nil"/>
              <w:left w:val="nil"/>
              <w:bottom w:val="nil"/>
              <w:right w:val="single" w:sz="4" w:space="0" w:color="auto"/>
            </w:tcBorders>
            <w:shd w:val="clear" w:color="000000" w:fill="FFFFFF"/>
            <w:noWrap/>
            <w:vAlign w:val="bottom"/>
            <w:hideMark/>
          </w:tcPr>
          <w:p w14:paraId="39D3ACE0"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53.8%</w:t>
            </w:r>
          </w:p>
        </w:tc>
        <w:tc>
          <w:tcPr>
            <w:tcW w:w="960" w:type="dxa"/>
            <w:tcBorders>
              <w:top w:val="nil"/>
              <w:left w:val="nil"/>
              <w:bottom w:val="nil"/>
              <w:right w:val="nil"/>
            </w:tcBorders>
            <w:shd w:val="clear" w:color="000000" w:fill="FFFFFF"/>
            <w:noWrap/>
            <w:vAlign w:val="bottom"/>
            <w:hideMark/>
          </w:tcPr>
          <w:p w14:paraId="089BDE14"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single" w:sz="4" w:space="0" w:color="auto"/>
            </w:tcBorders>
            <w:shd w:val="clear" w:color="000000" w:fill="FFFFFF"/>
            <w:noWrap/>
            <w:vAlign w:val="bottom"/>
            <w:hideMark/>
          </w:tcPr>
          <w:p w14:paraId="5EA34A6E"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33.6%</w:t>
            </w:r>
          </w:p>
        </w:tc>
        <w:tc>
          <w:tcPr>
            <w:tcW w:w="960" w:type="dxa"/>
            <w:tcBorders>
              <w:top w:val="nil"/>
              <w:left w:val="nil"/>
              <w:bottom w:val="nil"/>
              <w:right w:val="nil"/>
            </w:tcBorders>
            <w:shd w:val="clear" w:color="000000" w:fill="FFFFFF"/>
            <w:noWrap/>
            <w:vAlign w:val="bottom"/>
            <w:hideMark/>
          </w:tcPr>
          <w:p w14:paraId="396B3B66"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260</w:t>
            </w:r>
          </w:p>
        </w:tc>
        <w:tc>
          <w:tcPr>
            <w:tcW w:w="960" w:type="dxa"/>
            <w:tcBorders>
              <w:top w:val="nil"/>
              <w:left w:val="nil"/>
              <w:bottom w:val="nil"/>
              <w:right w:val="single" w:sz="4" w:space="0" w:color="auto"/>
            </w:tcBorders>
            <w:shd w:val="clear" w:color="000000" w:fill="FFFFFF"/>
            <w:noWrap/>
            <w:vAlign w:val="bottom"/>
            <w:hideMark/>
          </w:tcPr>
          <w:p w14:paraId="61D27EEF"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67.5%</w:t>
            </w:r>
          </w:p>
        </w:tc>
        <w:tc>
          <w:tcPr>
            <w:tcW w:w="960" w:type="dxa"/>
            <w:tcBorders>
              <w:top w:val="nil"/>
              <w:left w:val="nil"/>
              <w:bottom w:val="nil"/>
              <w:right w:val="nil"/>
            </w:tcBorders>
            <w:shd w:val="clear" w:color="000000" w:fill="FFFFFF"/>
            <w:noWrap/>
            <w:vAlign w:val="bottom"/>
            <w:hideMark/>
          </w:tcPr>
          <w:p w14:paraId="635C9095"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430</w:t>
            </w:r>
          </w:p>
        </w:tc>
        <w:tc>
          <w:tcPr>
            <w:tcW w:w="960" w:type="dxa"/>
            <w:tcBorders>
              <w:top w:val="nil"/>
              <w:left w:val="nil"/>
              <w:bottom w:val="nil"/>
              <w:right w:val="single" w:sz="4" w:space="0" w:color="auto"/>
            </w:tcBorders>
            <w:shd w:val="clear" w:color="000000" w:fill="FFFFFF"/>
            <w:noWrap/>
            <w:vAlign w:val="bottom"/>
            <w:hideMark/>
          </w:tcPr>
          <w:p w14:paraId="71238456"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71.9%</w:t>
            </w:r>
          </w:p>
        </w:tc>
        <w:tc>
          <w:tcPr>
            <w:tcW w:w="960" w:type="dxa"/>
            <w:tcBorders>
              <w:top w:val="nil"/>
              <w:left w:val="nil"/>
              <w:bottom w:val="nil"/>
              <w:right w:val="nil"/>
            </w:tcBorders>
            <w:shd w:val="clear" w:color="000000" w:fill="FFFFFF"/>
            <w:noWrap/>
            <w:vAlign w:val="bottom"/>
            <w:hideMark/>
          </w:tcPr>
          <w:p w14:paraId="7A98B9C5"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375</w:t>
            </w:r>
          </w:p>
        </w:tc>
        <w:tc>
          <w:tcPr>
            <w:tcW w:w="960" w:type="dxa"/>
            <w:tcBorders>
              <w:top w:val="nil"/>
              <w:left w:val="nil"/>
              <w:bottom w:val="nil"/>
              <w:right w:val="single" w:sz="4" w:space="0" w:color="auto"/>
            </w:tcBorders>
            <w:shd w:val="clear" w:color="000000" w:fill="FFFFFF"/>
            <w:noWrap/>
            <w:vAlign w:val="bottom"/>
            <w:hideMark/>
          </w:tcPr>
          <w:p w14:paraId="501BB560"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59.8%</w:t>
            </w:r>
          </w:p>
        </w:tc>
      </w:tr>
      <w:tr w:rsidR="00720294" w:rsidRPr="007E2527" w14:paraId="0872ACB6"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62ADBA4A" w14:textId="77777777" w:rsidR="00720294" w:rsidRPr="00720294" w:rsidRDefault="00720294" w:rsidP="00720294">
            <w:pPr>
              <w:spacing w:after="0" w:line="240" w:lineRule="auto"/>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3DD0A4BD"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132</w:t>
            </w:r>
          </w:p>
        </w:tc>
        <w:tc>
          <w:tcPr>
            <w:tcW w:w="960" w:type="dxa"/>
            <w:tcBorders>
              <w:top w:val="nil"/>
              <w:left w:val="nil"/>
              <w:bottom w:val="nil"/>
              <w:right w:val="single" w:sz="4" w:space="0" w:color="auto"/>
            </w:tcBorders>
            <w:shd w:val="clear" w:color="000000" w:fill="FFFFFF"/>
            <w:noWrap/>
            <w:vAlign w:val="bottom"/>
            <w:hideMark/>
          </w:tcPr>
          <w:p w14:paraId="084CCA2B"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46.2%</w:t>
            </w:r>
          </w:p>
        </w:tc>
        <w:tc>
          <w:tcPr>
            <w:tcW w:w="960" w:type="dxa"/>
            <w:tcBorders>
              <w:top w:val="nil"/>
              <w:left w:val="nil"/>
              <w:bottom w:val="nil"/>
              <w:right w:val="nil"/>
            </w:tcBorders>
            <w:shd w:val="clear" w:color="000000" w:fill="FFFFFF"/>
            <w:noWrap/>
            <w:vAlign w:val="bottom"/>
            <w:hideMark/>
          </w:tcPr>
          <w:p w14:paraId="04F48F7E"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83</w:t>
            </w:r>
          </w:p>
        </w:tc>
        <w:tc>
          <w:tcPr>
            <w:tcW w:w="960" w:type="dxa"/>
            <w:tcBorders>
              <w:top w:val="nil"/>
              <w:left w:val="nil"/>
              <w:bottom w:val="nil"/>
              <w:right w:val="single" w:sz="4" w:space="0" w:color="auto"/>
            </w:tcBorders>
            <w:shd w:val="clear" w:color="000000" w:fill="FFFFFF"/>
            <w:noWrap/>
            <w:vAlign w:val="bottom"/>
            <w:hideMark/>
          </w:tcPr>
          <w:p w14:paraId="35318D45"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66.4%</w:t>
            </w:r>
          </w:p>
        </w:tc>
        <w:tc>
          <w:tcPr>
            <w:tcW w:w="960" w:type="dxa"/>
            <w:tcBorders>
              <w:top w:val="nil"/>
              <w:left w:val="nil"/>
              <w:bottom w:val="nil"/>
              <w:right w:val="nil"/>
            </w:tcBorders>
            <w:shd w:val="clear" w:color="000000" w:fill="FFFFFF"/>
            <w:noWrap/>
            <w:vAlign w:val="bottom"/>
            <w:hideMark/>
          </w:tcPr>
          <w:p w14:paraId="49056842"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125</w:t>
            </w:r>
          </w:p>
        </w:tc>
        <w:tc>
          <w:tcPr>
            <w:tcW w:w="960" w:type="dxa"/>
            <w:tcBorders>
              <w:top w:val="nil"/>
              <w:left w:val="nil"/>
              <w:bottom w:val="nil"/>
              <w:right w:val="single" w:sz="4" w:space="0" w:color="auto"/>
            </w:tcBorders>
            <w:shd w:val="clear" w:color="000000" w:fill="FFFFFF"/>
            <w:noWrap/>
            <w:vAlign w:val="bottom"/>
            <w:hideMark/>
          </w:tcPr>
          <w:p w14:paraId="6F7D7DCC"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32.5%</w:t>
            </w:r>
          </w:p>
        </w:tc>
        <w:tc>
          <w:tcPr>
            <w:tcW w:w="960" w:type="dxa"/>
            <w:tcBorders>
              <w:top w:val="nil"/>
              <w:left w:val="nil"/>
              <w:bottom w:val="nil"/>
              <w:right w:val="nil"/>
            </w:tcBorders>
            <w:shd w:val="clear" w:color="000000" w:fill="FFFFFF"/>
            <w:noWrap/>
            <w:vAlign w:val="bottom"/>
            <w:hideMark/>
          </w:tcPr>
          <w:p w14:paraId="3C4FE270"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168</w:t>
            </w:r>
          </w:p>
        </w:tc>
        <w:tc>
          <w:tcPr>
            <w:tcW w:w="960" w:type="dxa"/>
            <w:tcBorders>
              <w:top w:val="nil"/>
              <w:left w:val="nil"/>
              <w:bottom w:val="nil"/>
              <w:right w:val="single" w:sz="4" w:space="0" w:color="auto"/>
            </w:tcBorders>
            <w:shd w:val="clear" w:color="000000" w:fill="FFFFFF"/>
            <w:noWrap/>
            <w:vAlign w:val="bottom"/>
            <w:hideMark/>
          </w:tcPr>
          <w:p w14:paraId="5FAEA8BE"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28.1%</w:t>
            </w:r>
          </w:p>
        </w:tc>
        <w:tc>
          <w:tcPr>
            <w:tcW w:w="960" w:type="dxa"/>
            <w:tcBorders>
              <w:top w:val="nil"/>
              <w:left w:val="nil"/>
              <w:bottom w:val="nil"/>
              <w:right w:val="nil"/>
            </w:tcBorders>
            <w:shd w:val="clear" w:color="000000" w:fill="FFFFFF"/>
            <w:noWrap/>
            <w:vAlign w:val="bottom"/>
            <w:hideMark/>
          </w:tcPr>
          <w:p w14:paraId="4A8C7ADB"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252</w:t>
            </w:r>
          </w:p>
        </w:tc>
        <w:tc>
          <w:tcPr>
            <w:tcW w:w="960" w:type="dxa"/>
            <w:tcBorders>
              <w:top w:val="nil"/>
              <w:left w:val="nil"/>
              <w:bottom w:val="nil"/>
              <w:right w:val="single" w:sz="4" w:space="0" w:color="auto"/>
            </w:tcBorders>
            <w:shd w:val="clear" w:color="000000" w:fill="FFFFFF"/>
            <w:noWrap/>
            <w:vAlign w:val="bottom"/>
            <w:hideMark/>
          </w:tcPr>
          <w:p w14:paraId="0A520ABD"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40.2%</w:t>
            </w:r>
          </w:p>
        </w:tc>
      </w:tr>
      <w:tr w:rsidR="00720294" w:rsidRPr="007E2527" w14:paraId="66C06AA2"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32587080" w14:textId="77777777" w:rsidR="00720294" w:rsidRPr="00720294" w:rsidRDefault="00720294" w:rsidP="00720294">
            <w:pPr>
              <w:spacing w:after="0" w:line="240" w:lineRule="auto"/>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05E0A2B0"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286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5CDF8A8"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9C8F9C9"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125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E2342B3"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9C2AD16"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76F995"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B51CC1A"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598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C0FEEC5"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A47AFA4"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627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B2A09A3"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r>
    </w:tbl>
    <w:p w14:paraId="3E3156DF" w14:textId="77777777" w:rsidR="00720294" w:rsidRPr="007E2527" w:rsidRDefault="00720294" w:rsidP="00720294">
      <w:pPr>
        <w:rPr>
          <w:rFonts w:asciiTheme="minorHAnsi" w:hAnsiTheme="minorHAnsi"/>
          <w:b/>
          <w:bCs/>
          <w:szCs w:val="22"/>
        </w:rPr>
      </w:pPr>
    </w:p>
    <w:tbl>
      <w:tblPr>
        <w:tblW w:w="9324" w:type="dxa"/>
        <w:tblLayout w:type="fixed"/>
        <w:tblLook w:val="04A0" w:firstRow="1" w:lastRow="0" w:firstColumn="1" w:lastColumn="0" w:noHBand="0" w:noVBand="1"/>
      </w:tblPr>
      <w:tblGrid>
        <w:gridCol w:w="1644"/>
        <w:gridCol w:w="960"/>
        <w:gridCol w:w="960"/>
        <w:gridCol w:w="960"/>
        <w:gridCol w:w="960"/>
        <w:gridCol w:w="960"/>
        <w:gridCol w:w="960"/>
        <w:gridCol w:w="960"/>
        <w:gridCol w:w="960"/>
      </w:tblGrid>
      <w:tr w:rsidR="00720294" w:rsidRPr="00720294" w14:paraId="7F7F7283" w14:textId="77777777" w:rsidTr="003420A9">
        <w:trPr>
          <w:trHeight w:val="300"/>
        </w:trPr>
        <w:tc>
          <w:tcPr>
            <w:tcW w:w="1644" w:type="dxa"/>
            <w:tcBorders>
              <w:top w:val="single" w:sz="4" w:space="0" w:color="auto"/>
              <w:left w:val="single" w:sz="4" w:space="0" w:color="auto"/>
              <w:bottom w:val="nil"/>
              <w:right w:val="single" w:sz="4" w:space="0" w:color="auto"/>
            </w:tcBorders>
            <w:shd w:val="clear" w:color="000000" w:fill="FFFFFF"/>
            <w:noWrap/>
            <w:vAlign w:val="bottom"/>
            <w:hideMark/>
          </w:tcPr>
          <w:p w14:paraId="3BDCC5B0" w14:textId="77777777" w:rsidR="00720294" w:rsidRPr="00720294" w:rsidRDefault="00720294" w:rsidP="00720294">
            <w:pPr>
              <w:spacing w:after="0" w:line="240" w:lineRule="auto"/>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nil"/>
            </w:tcBorders>
            <w:shd w:val="clear" w:color="000000" w:fill="FFFFFF"/>
            <w:noWrap/>
            <w:vAlign w:val="bottom"/>
            <w:hideMark/>
          </w:tcPr>
          <w:p w14:paraId="1F98CFB9"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465BD6E"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0E20FAE8"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24656DF" w14:textId="77777777" w:rsidR="00720294" w:rsidRPr="00720294" w:rsidRDefault="00720294" w:rsidP="00720294">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Grade I</w:t>
            </w:r>
          </w:p>
        </w:tc>
      </w:tr>
      <w:tr w:rsidR="00720294" w:rsidRPr="007E2527" w14:paraId="56DB18E9" w14:textId="77777777" w:rsidTr="003420A9">
        <w:trPr>
          <w:trHeight w:val="300"/>
        </w:trPr>
        <w:tc>
          <w:tcPr>
            <w:tcW w:w="1644" w:type="dxa"/>
            <w:tcBorders>
              <w:top w:val="nil"/>
              <w:left w:val="single" w:sz="4" w:space="0" w:color="auto"/>
              <w:bottom w:val="single" w:sz="4" w:space="0" w:color="auto"/>
              <w:right w:val="single" w:sz="4" w:space="0" w:color="auto"/>
            </w:tcBorders>
            <w:shd w:val="clear" w:color="000000" w:fill="FFFFFF"/>
            <w:noWrap/>
            <w:vAlign w:val="bottom"/>
            <w:hideMark/>
          </w:tcPr>
          <w:p w14:paraId="5759130F" w14:textId="77777777" w:rsidR="00720294" w:rsidRPr="00720294" w:rsidRDefault="00720294" w:rsidP="00720294">
            <w:pPr>
              <w:spacing w:after="0" w:line="240" w:lineRule="auto"/>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0F3D0FE0"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496CDA8"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85C723C"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2D973739"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D2E4DDE"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146DEE0E"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58524F99"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8C4897B" w14:textId="77777777" w:rsidR="00720294" w:rsidRPr="00720294" w:rsidRDefault="00720294" w:rsidP="00720294">
            <w:pPr>
              <w:spacing w:after="0" w:line="240" w:lineRule="auto"/>
              <w:jc w:val="center"/>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w:t>
            </w:r>
          </w:p>
        </w:tc>
      </w:tr>
      <w:tr w:rsidR="00720294" w:rsidRPr="007E2527" w14:paraId="025EE1BC"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2E578BB2" w14:textId="77777777" w:rsidR="00720294" w:rsidRPr="00720294" w:rsidRDefault="00720294" w:rsidP="00720294">
            <w:pPr>
              <w:spacing w:after="0" w:line="240" w:lineRule="auto"/>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Female</w:t>
            </w:r>
          </w:p>
        </w:tc>
        <w:tc>
          <w:tcPr>
            <w:tcW w:w="960" w:type="dxa"/>
            <w:tcBorders>
              <w:top w:val="nil"/>
              <w:left w:val="single" w:sz="4" w:space="0" w:color="auto"/>
              <w:bottom w:val="nil"/>
              <w:right w:val="nil"/>
            </w:tcBorders>
            <w:shd w:val="clear" w:color="000000" w:fill="FFFFFF"/>
            <w:noWrap/>
            <w:vAlign w:val="bottom"/>
            <w:hideMark/>
          </w:tcPr>
          <w:p w14:paraId="6F96F877"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506</w:t>
            </w:r>
          </w:p>
        </w:tc>
        <w:tc>
          <w:tcPr>
            <w:tcW w:w="960" w:type="dxa"/>
            <w:tcBorders>
              <w:top w:val="nil"/>
              <w:left w:val="nil"/>
              <w:bottom w:val="nil"/>
              <w:right w:val="single" w:sz="4" w:space="0" w:color="auto"/>
            </w:tcBorders>
            <w:shd w:val="clear" w:color="000000" w:fill="FFFFFF"/>
            <w:noWrap/>
            <w:vAlign w:val="bottom"/>
            <w:hideMark/>
          </w:tcPr>
          <w:p w14:paraId="0DC6CE0B"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61.1%</w:t>
            </w:r>
          </w:p>
        </w:tc>
        <w:tc>
          <w:tcPr>
            <w:tcW w:w="960" w:type="dxa"/>
            <w:tcBorders>
              <w:top w:val="nil"/>
              <w:left w:val="nil"/>
              <w:bottom w:val="nil"/>
              <w:right w:val="nil"/>
            </w:tcBorders>
            <w:shd w:val="clear" w:color="000000" w:fill="FFFFFF"/>
            <w:noWrap/>
            <w:vAlign w:val="bottom"/>
            <w:hideMark/>
          </w:tcPr>
          <w:p w14:paraId="1EDB2330"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216</w:t>
            </w:r>
          </w:p>
        </w:tc>
        <w:tc>
          <w:tcPr>
            <w:tcW w:w="960" w:type="dxa"/>
            <w:tcBorders>
              <w:top w:val="nil"/>
              <w:left w:val="nil"/>
              <w:bottom w:val="nil"/>
              <w:right w:val="nil"/>
            </w:tcBorders>
            <w:shd w:val="clear" w:color="000000" w:fill="FFFFFF"/>
            <w:noWrap/>
            <w:vAlign w:val="bottom"/>
            <w:hideMark/>
          </w:tcPr>
          <w:p w14:paraId="57E19BD6"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55.7%</w:t>
            </w:r>
          </w:p>
        </w:tc>
        <w:tc>
          <w:tcPr>
            <w:tcW w:w="960" w:type="dxa"/>
            <w:tcBorders>
              <w:top w:val="nil"/>
              <w:left w:val="single" w:sz="4" w:space="0" w:color="auto"/>
              <w:bottom w:val="nil"/>
              <w:right w:val="nil"/>
            </w:tcBorders>
            <w:shd w:val="clear" w:color="000000" w:fill="FFFFFF"/>
            <w:noWrap/>
            <w:vAlign w:val="bottom"/>
            <w:hideMark/>
          </w:tcPr>
          <w:p w14:paraId="052451D0"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58</w:t>
            </w:r>
          </w:p>
        </w:tc>
        <w:tc>
          <w:tcPr>
            <w:tcW w:w="960" w:type="dxa"/>
            <w:tcBorders>
              <w:top w:val="nil"/>
              <w:left w:val="nil"/>
              <w:bottom w:val="nil"/>
              <w:right w:val="single" w:sz="4" w:space="0" w:color="auto"/>
            </w:tcBorders>
            <w:shd w:val="clear" w:color="000000" w:fill="FFFFFF"/>
            <w:noWrap/>
            <w:vAlign w:val="bottom"/>
            <w:hideMark/>
          </w:tcPr>
          <w:p w14:paraId="5D634FB5"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61.1%</w:t>
            </w:r>
          </w:p>
        </w:tc>
        <w:tc>
          <w:tcPr>
            <w:tcW w:w="960" w:type="dxa"/>
            <w:tcBorders>
              <w:top w:val="nil"/>
              <w:left w:val="nil"/>
              <w:bottom w:val="nil"/>
              <w:right w:val="nil"/>
            </w:tcBorders>
            <w:shd w:val="clear" w:color="000000" w:fill="FFFFFF"/>
            <w:noWrap/>
            <w:vAlign w:val="bottom"/>
            <w:hideMark/>
          </w:tcPr>
          <w:p w14:paraId="45F5C6F8"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single" w:sz="4" w:space="0" w:color="auto"/>
            </w:tcBorders>
            <w:shd w:val="clear" w:color="000000" w:fill="FFFFFF"/>
            <w:noWrap/>
            <w:vAlign w:val="bottom"/>
            <w:hideMark/>
          </w:tcPr>
          <w:p w14:paraId="00DEE75F"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61.2%</w:t>
            </w:r>
          </w:p>
        </w:tc>
      </w:tr>
      <w:tr w:rsidR="00720294" w:rsidRPr="007E2527" w14:paraId="3D779C9C" w14:textId="77777777" w:rsidTr="003420A9">
        <w:trPr>
          <w:trHeight w:val="300"/>
        </w:trPr>
        <w:tc>
          <w:tcPr>
            <w:tcW w:w="1644" w:type="dxa"/>
            <w:tcBorders>
              <w:top w:val="nil"/>
              <w:left w:val="single" w:sz="4" w:space="0" w:color="auto"/>
              <w:bottom w:val="nil"/>
              <w:right w:val="nil"/>
            </w:tcBorders>
            <w:shd w:val="clear" w:color="000000" w:fill="FFFFFF"/>
            <w:noWrap/>
            <w:vAlign w:val="bottom"/>
            <w:hideMark/>
          </w:tcPr>
          <w:p w14:paraId="0D06A1F3" w14:textId="77777777" w:rsidR="00720294" w:rsidRPr="00720294" w:rsidRDefault="00720294" w:rsidP="00720294">
            <w:pPr>
              <w:spacing w:after="0" w:line="240" w:lineRule="auto"/>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Male</w:t>
            </w:r>
          </w:p>
        </w:tc>
        <w:tc>
          <w:tcPr>
            <w:tcW w:w="960" w:type="dxa"/>
            <w:tcBorders>
              <w:top w:val="nil"/>
              <w:left w:val="single" w:sz="4" w:space="0" w:color="auto"/>
              <w:bottom w:val="nil"/>
              <w:right w:val="nil"/>
            </w:tcBorders>
            <w:shd w:val="clear" w:color="000000" w:fill="FFFFFF"/>
            <w:noWrap/>
            <w:vAlign w:val="bottom"/>
            <w:hideMark/>
          </w:tcPr>
          <w:p w14:paraId="527F8C2D"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322</w:t>
            </w:r>
          </w:p>
        </w:tc>
        <w:tc>
          <w:tcPr>
            <w:tcW w:w="960" w:type="dxa"/>
            <w:tcBorders>
              <w:top w:val="nil"/>
              <w:left w:val="nil"/>
              <w:bottom w:val="nil"/>
              <w:right w:val="single" w:sz="4" w:space="0" w:color="auto"/>
            </w:tcBorders>
            <w:shd w:val="clear" w:color="000000" w:fill="FFFFFF"/>
            <w:noWrap/>
            <w:vAlign w:val="bottom"/>
            <w:hideMark/>
          </w:tcPr>
          <w:p w14:paraId="023181F3"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38.9%</w:t>
            </w:r>
          </w:p>
        </w:tc>
        <w:tc>
          <w:tcPr>
            <w:tcW w:w="960" w:type="dxa"/>
            <w:tcBorders>
              <w:top w:val="nil"/>
              <w:left w:val="nil"/>
              <w:bottom w:val="nil"/>
              <w:right w:val="nil"/>
            </w:tcBorders>
            <w:shd w:val="clear" w:color="000000" w:fill="FFFFFF"/>
            <w:noWrap/>
            <w:vAlign w:val="bottom"/>
            <w:hideMark/>
          </w:tcPr>
          <w:p w14:paraId="4052FB5A"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172</w:t>
            </w:r>
          </w:p>
        </w:tc>
        <w:tc>
          <w:tcPr>
            <w:tcW w:w="960" w:type="dxa"/>
            <w:tcBorders>
              <w:top w:val="nil"/>
              <w:left w:val="nil"/>
              <w:bottom w:val="nil"/>
              <w:right w:val="nil"/>
            </w:tcBorders>
            <w:shd w:val="clear" w:color="000000" w:fill="FFFFFF"/>
            <w:noWrap/>
            <w:vAlign w:val="bottom"/>
            <w:hideMark/>
          </w:tcPr>
          <w:p w14:paraId="4A818EC1"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44.3%</w:t>
            </w:r>
          </w:p>
        </w:tc>
        <w:tc>
          <w:tcPr>
            <w:tcW w:w="960" w:type="dxa"/>
            <w:tcBorders>
              <w:top w:val="nil"/>
              <w:left w:val="single" w:sz="4" w:space="0" w:color="auto"/>
              <w:bottom w:val="nil"/>
              <w:right w:val="nil"/>
            </w:tcBorders>
            <w:shd w:val="clear" w:color="000000" w:fill="FFFFFF"/>
            <w:noWrap/>
            <w:vAlign w:val="bottom"/>
            <w:hideMark/>
          </w:tcPr>
          <w:p w14:paraId="674E5189"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37</w:t>
            </w:r>
          </w:p>
        </w:tc>
        <w:tc>
          <w:tcPr>
            <w:tcW w:w="960" w:type="dxa"/>
            <w:tcBorders>
              <w:top w:val="nil"/>
              <w:left w:val="nil"/>
              <w:bottom w:val="nil"/>
              <w:right w:val="single" w:sz="4" w:space="0" w:color="auto"/>
            </w:tcBorders>
            <w:shd w:val="clear" w:color="000000" w:fill="FFFFFF"/>
            <w:noWrap/>
            <w:vAlign w:val="bottom"/>
            <w:hideMark/>
          </w:tcPr>
          <w:p w14:paraId="429AE34A"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38.9%</w:t>
            </w:r>
          </w:p>
        </w:tc>
        <w:tc>
          <w:tcPr>
            <w:tcW w:w="960" w:type="dxa"/>
            <w:tcBorders>
              <w:top w:val="nil"/>
              <w:left w:val="nil"/>
              <w:bottom w:val="nil"/>
              <w:right w:val="nil"/>
            </w:tcBorders>
            <w:shd w:val="clear" w:color="000000" w:fill="FFFFFF"/>
            <w:noWrap/>
            <w:vAlign w:val="bottom"/>
            <w:hideMark/>
          </w:tcPr>
          <w:p w14:paraId="4B0E64A6"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02381B2F" w14:textId="77777777" w:rsidR="00720294" w:rsidRPr="00720294" w:rsidRDefault="00720294" w:rsidP="00720294">
            <w:pPr>
              <w:spacing w:after="0" w:line="240" w:lineRule="auto"/>
              <w:jc w:val="right"/>
              <w:rPr>
                <w:rFonts w:asciiTheme="minorHAnsi" w:eastAsia="Times New Roman" w:hAnsiTheme="minorHAnsi" w:cs="Times New Roman"/>
                <w:color w:val="000000"/>
                <w:kern w:val="0"/>
                <w:szCs w:val="22"/>
                <w:lang w:eastAsia="en-GB"/>
                <w14:ligatures w14:val="none"/>
              </w:rPr>
            </w:pPr>
            <w:r w:rsidRPr="00720294">
              <w:rPr>
                <w:rFonts w:asciiTheme="minorHAnsi" w:eastAsia="Times New Roman" w:hAnsiTheme="minorHAnsi" w:cs="Times New Roman"/>
                <w:color w:val="000000"/>
                <w:kern w:val="0"/>
                <w:szCs w:val="22"/>
                <w:lang w:eastAsia="en-GB"/>
                <w14:ligatures w14:val="none"/>
              </w:rPr>
              <w:t>38.8%</w:t>
            </w:r>
          </w:p>
        </w:tc>
      </w:tr>
      <w:tr w:rsidR="00720294" w:rsidRPr="007E2527" w14:paraId="6379A6FC" w14:textId="77777777" w:rsidTr="003420A9">
        <w:trPr>
          <w:trHeight w:val="315"/>
        </w:trPr>
        <w:tc>
          <w:tcPr>
            <w:tcW w:w="1644" w:type="dxa"/>
            <w:tcBorders>
              <w:top w:val="dotted" w:sz="4" w:space="0" w:color="auto"/>
              <w:left w:val="single" w:sz="4" w:space="0" w:color="auto"/>
              <w:bottom w:val="double" w:sz="6" w:space="0" w:color="auto"/>
              <w:right w:val="nil"/>
            </w:tcBorders>
            <w:shd w:val="clear" w:color="000000" w:fill="FFFFFF"/>
            <w:noWrap/>
            <w:vAlign w:val="bottom"/>
            <w:hideMark/>
          </w:tcPr>
          <w:p w14:paraId="30BFF1E7" w14:textId="77777777" w:rsidR="00720294" w:rsidRPr="00720294" w:rsidRDefault="00720294" w:rsidP="00720294">
            <w:pPr>
              <w:spacing w:after="0" w:line="240" w:lineRule="auto"/>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4EB0049B"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828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1AD9868"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BBCAF6B"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388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0A242FB"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BF09058"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6DE4ECB"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9819EE1"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49</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B91578" w14:textId="77777777" w:rsidR="00720294" w:rsidRPr="00720294" w:rsidRDefault="00720294" w:rsidP="00720294">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20294">
              <w:rPr>
                <w:rFonts w:asciiTheme="minorHAnsi" w:eastAsia="Times New Roman" w:hAnsiTheme="minorHAnsi" w:cs="Times New Roman"/>
                <w:b/>
                <w:bCs/>
                <w:color w:val="000000"/>
                <w:kern w:val="0"/>
                <w:szCs w:val="22"/>
                <w:lang w:eastAsia="en-GB"/>
                <w14:ligatures w14:val="none"/>
              </w:rPr>
              <w:t>100%</w:t>
            </w:r>
          </w:p>
        </w:tc>
      </w:tr>
    </w:tbl>
    <w:p w14:paraId="79D5E154" w14:textId="6BF5D90B" w:rsidR="00AD459D" w:rsidRPr="007E2527" w:rsidRDefault="00AD459D">
      <w:pPr>
        <w:rPr>
          <w:rFonts w:asciiTheme="minorHAnsi" w:hAnsiTheme="minorHAnsi"/>
          <w:b/>
          <w:bCs/>
          <w:szCs w:val="22"/>
        </w:rPr>
      </w:pPr>
    </w:p>
    <w:p w14:paraId="0D7C1A6E" w14:textId="77777777" w:rsidR="007E4739" w:rsidRPr="007E2527" w:rsidRDefault="007E4739">
      <w:pPr>
        <w:rPr>
          <w:rFonts w:asciiTheme="minorHAnsi" w:hAnsiTheme="minorHAnsi"/>
          <w:b/>
          <w:bCs/>
          <w:szCs w:val="22"/>
        </w:rPr>
      </w:pPr>
    </w:p>
    <w:p w14:paraId="053BF5C3" w14:textId="77777777" w:rsidR="00D415D6" w:rsidRPr="007E2527" w:rsidRDefault="00D415D6">
      <w:pPr>
        <w:rPr>
          <w:rFonts w:asciiTheme="minorHAnsi" w:hAnsiTheme="minorHAnsi"/>
          <w:b/>
          <w:bCs/>
          <w:szCs w:val="22"/>
        </w:rPr>
      </w:pPr>
    </w:p>
    <w:p w14:paraId="4E6BF63C" w14:textId="77777777" w:rsidR="007E4739" w:rsidRPr="007E2527" w:rsidRDefault="007E4739">
      <w:pPr>
        <w:rPr>
          <w:rFonts w:asciiTheme="minorHAnsi" w:hAnsiTheme="minorHAnsi"/>
          <w:b/>
          <w:bCs/>
          <w:szCs w:val="22"/>
        </w:rPr>
      </w:pPr>
    </w:p>
    <w:p w14:paraId="0074CA7F" w14:textId="77777777" w:rsidR="007E4739" w:rsidRPr="007E2527" w:rsidRDefault="007E4739">
      <w:pPr>
        <w:rPr>
          <w:rFonts w:asciiTheme="minorHAnsi" w:hAnsiTheme="minorHAnsi"/>
          <w:b/>
          <w:bCs/>
          <w:szCs w:val="22"/>
        </w:rPr>
      </w:pPr>
    </w:p>
    <w:p w14:paraId="7516EF28" w14:textId="77777777" w:rsidR="007E4739" w:rsidRPr="007E2527" w:rsidRDefault="007E4739">
      <w:pPr>
        <w:rPr>
          <w:rFonts w:asciiTheme="minorHAnsi" w:hAnsiTheme="minorHAnsi"/>
          <w:b/>
          <w:bCs/>
          <w:szCs w:val="22"/>
        </w:rPr>
      </w:pPr>
    </w:p>
    <w:p w14:paraId="6E1D1ED6" w14:textId="77777777" w:rsidR="007E4739" w:rsidRPr="007E2527" w:rsidRDefault="007E4739">
      <w:pPr>
        <w:rPr>
          <w:rFonts w:asciiTheme="minorHAnsi" w:hAnsiTheme="minorHAnsi"/>
          <w:b/>
          <w:bCs/>
          <w:szCs w:val="22"/>
        </w:rPr>
      </w:pPr>
    </w:p>
    <w:p w14:paraId="00E2330C" w14:textId="77777777" w:rsidR="007E4739" w:rsidRPr="007E2527" w:rsidRDefault="007E4739">
      <w:pPr>
        <w:rPr>
          <w:rFonts w:asciiTheme="minorHAnsi" w:hAnsiTheme="minorHAnsi"/>
          <w:b/>
          <w:bCs/>
          <w:szCs w:val="22"/>
        </w:rPr>
      </w:pPr>
    </w:p>
    <w:p w14:paraId="54BA0F58" w14:textId="77777777" w:rsidR="007E4739" w:rsidRPr="007E2527" w:rsidRDefault="007E4739">
      <w:pPr>
        <w:rPr>
          <w:rFonts w:asciiTheme="minorHAnsi" w:hAnsiTheme="minorHAnsi"/>
          <w:b/>
          <w:bCs/>
          <w:szCs w:val="22"/>
        </w:rPr>
      </w:pPr>
    </w:p>
    <w:p w14:paraId="6865B634" w14:textId="77777777" w:rsidR="007E4739" w:rsidRPr="007E2527" w:rsidRDefault="007E4739">
      <w:pPr>
        <w:rPr>
          <w:rFonts w:asciiTheme="minorHAnsi" w:hAnsiTheme="minorHAnsi"/>
          <w:b/>
          <w:bCs/>
          <w:szCs w:val="22"/>
        </w:rPr>
      </w:pPr>
    </w:p>
    <w:p w14:paraId="78FD2126" w14:textId="2BEB843E" w:rsidR="00AD459D" w:rsidRPr="003420A9" w:rsidRDefault="00AD459D" w:rsidP="00D415D6">
      <w:pPr>
        <w:pStyle w:val="ListParagraph"/>
        <w:numPr>
          <w:ilvl w:val="1"/>
          <w:numId w:val="11"/>
        </w:numPr>
        <w:rPr>
          <w:rFonts w:asciiTheme="minorHAnsi" w:hAnsiTheme="minorHAnsi"/>
          <w:color w:val="0B769F" w:themeColor="accent4" w:themeShade="BF"/>
          <w:sz w:val="28"/>
          <w:szCs w:val="28"/>
        </w:rPr>
      </w:pPr>
      <w:r w:rsidRPr="003420A9">
        <w:rPr>
          <w:rFonts w:asciiTheme="minorHAnsi" w:hAnsiTheme="minorHAnsi"/>
          <w:color w:val="0B769F" w:themeColor="accent4" w:themeShade="BF"/>
          <w:sz w:val="28"/>
          <w:szCs w:val="28"/>
        </w:rPr>
        <w:lastRenderedPageBreak/>
        <w:t>Sex</w:t>
      </w:r>
      <w:r w:rsidR="003920DB" w:rsidRPr="003420A9">
        <w:rPr>
          <w:rFonts w:asciiTheme="minorHAnsi" w:hAnsiTheme="minorHAnsi"/>
          <w:color w:val="0B769F" w:themeColor="accent4" w:themeShade="BF"/>
          <w:sz w:val="28"/>
          <w:szCs w:val="28"/>
        </w:rPr>
        <w:t>ual Orientation</w:t>
      </w:r>
    </w:p>
    <w:p w14:paraId="769EDDC7" w14:textId="77777777" w:rsidR="00DF3041" w:rsidRPr="007E2527" w:rsidRDefault="00DF3041" w:rsidP="00DF3041">
      <w:pPr>
        <w:pStyle w:val="ListParagraph"/>
        <w:rPr>
          <w:rFonts w:asciiTheme="minorHAnsi" w:hAnsiTheme="minorHAnsi"/>
          <w:color w:val="0B769F" w:themeColor="accent4" w:themeShade="BF"/>
          <w:szCs w:val="22"/>
        </w:rPr>
      </w:pPr>
    </w:p>
    <w:p w14:paraId="21ED9E4D" w14:textId="1C6E45F2" w:rsidR="00AD459D" w:rsidRPr="007E2527" w:rsidRDefault="003920DB" w:rsidP="00AD459D">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sexual orientation over time, 2019-2025</w:t>
      </w:r>
    </w:p>
    <w:tbl>
      <w:tblPr>
        <w:tblW w:w="12998" w:type="dxa"/>
        <w:tblLayout w:type="fixed"/>
        <w:tblLook w:val="04A0" w:firstRow="1" w:lastRow="0" w:firstColumn="1" w:lastColumn="0" w:noHBand="0" w:noVBand="1"/>
      </w:tblPr>
      <w:tblGrid>
        <w:gridCol w:w="2438"/>
        <w:gridCol w:w="960"/>
        <w:gridCol w:w="960"/>
        <w:gridCol w:w="960"/>
        <w:gridCol w:w="960"/>
        <w:gridCol w:w="960"/>
        <w:gridCol w:w="960"/>
        <w:gridCol w:w="960"/>
        <w:gridCol w:w="960"/>
        <w:gridCol w:w="960"/>
        <w:gridCol w:w="960"/>
        <w:gridCol w:w="960"/>
      </w:tblGrid>
      <w:tr w:rsidR="003420A9" w:rsidRPr="007E4739" w14:paraId="640A4B43" w14:textId="77777777" w:rsidTr="003420A9">
        <w:trPr>
          <w:trHeight w:val="300"/>
        </w:trPr>
        <w:tc>
          <w:tcPr>
            <w:tcW w:w="2438" w:type="dxa"/>
            <w:tcBorders>
              <w:top w:val="single" w:sz="4" w:space="0" w:color="auto"/>
              <w:left w:val="single" w:sz="4" w:space="0" w:color="auto"/>
              <w:bottom w:val="nil"/>
              <w:right w:val="nil"/>
            </w:tcBorders>
            <w:shd w:val="clear" w:color="000000" w:fill="FFFFFF"/>
            <w:noWrap/>
            <w:vAlign w:val="bottom"/>
            <w:hideMark/>
          </w:tcPr>
          <w:p w14:paraId="0731C144" w14:textId="77777777" w:rsidR="007E4739" w:rsidRPr="007E4739" w:rsidRDefault="007E4739" w:rsidP="007E4739">
            <w:pPr>
              <w:spacing w:after="0" w:line="240" w:lineRule="auto"/>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 </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1AD010B1" w14:textId="77777777" w:rsidR="007E4739" w:rsidRPr="007E4739" w:rsidRDefault="007E4739" w:rsidP="007E473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2019</w:t>
            </w:r>
          </w:p>
        </w:tc>
        <w:tc>
          <w:tcPr>
            <w:tcW w:w="960" w:type="dxa"/>
            <w:tcBorders>
              <w:top w:val="single" w:sz="4" w:space="0" w:color="auto"/>
              <w:left w:val="nil"/>
              <w:bottom w:val="nil"/>
              <w:right w:val="nil"/>
            </w:tcBorders>
            <w:shd w:val="clear" w:color="000000" w:fill="FFFFFF"/>
            <w:noWrap/>
            <w:vAlign w:val="bottom"/>
            <w:hideMark/>
          </w:tcPr>
          <w:p w14:paraId="3B1D189D" w14:textId="77777777" w:rsidR="007E4739" w:rsidRPr="007E4739" w:rsidRDefault="007E4739" w:rsidP="007E473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2020</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14:paraId="66460F5B" w14:textId="77777777" w:rsidR="007E4739" w:rsidRPr="007E4739" w:rsidRDefault="007E4739" w:rsidP="007E473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2021</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28C80B79" w14:textId="77777777" w:rsidR="007E4739" w:rsidRPr="007E4739" w:rsidRDefault="007E4739" w:rsidP="007E473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2022</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D6CECA3" w14:textId="77777777" w:rsidR="007E4739" w:rsidRPr="007E4739" w:rsidRDefault="007E4739" w:rsidP="007E473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2023</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76BEEE39" w14:textId="77777777" w:rsidR="007E4739" w:rsidRPr="007E4739" w:rsidRDefault="007E4739" w:rsidP="007E473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2024</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5C5E5B7" w14:textId="77777777" w:rsidR="007E4739" w:rsidRPr="007E4739" w:rsidRDefault="007E4739" w:rsidP="007E473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2025</w:t>
            </w:r>
          </w:p>
        </w:tc>
      </w:tr>
      <w:tr w:rsidR="007E4739" w:rsidRPr="007E2527" w14:paraId="2E901D99" w14:textId="77777777" w:rsidTr="003420A9">
        <w:trPr>
          <w:trHeight w:val="300"/>
        </w:trPr>
        <w:tc>
          <w:tcPr>
            <w:tcW w:w="2438" w:type="dxa"/>
            <w:tcBorders>
              <w:top w:val="nil"/>
              <w:left w:val="single" w:sz="4" w:space="0" w:color="auto"/>
              <w:bottom w:val="single" w:sz="4" w:space="0" w:color="auto"/>
              <w:right w:val="nil"/>
            </w:tcBorders>
            <w:shd w:val="clear" w:color="000000" w:fill="FFFFFF"/>
            <w:noWrap/>
            <w:vAlign w:val="bottom"/>
            <w:hideMark/>
          </w:tcPr>
          <w:p w14:paraId="79F62280" w14:textId="77777777" w:rsidR="007E4739" w:rsidRPr="007E4739" w:rsidRDefault="007E4739" w:rsidP="007E4739">
            <w:pPr>
              <w:spacing w:after="0" w:line="240" w:lineRule="auto"/>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2968E8B"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4E7690E"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0CB5E99F"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9D040B2"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054EAE88"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368A3DEC"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0764825"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4BAA33D"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7150EF0"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DEAD45E"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4E2096B" w14:textId="77777777" w:rsidR="007E4739" w:rsidRPr="007E4739" w:rsidRDefault="007E4739" w:rsidP="007E4739">
            <w:pPr>
              <w:spacing w:after="0" w:line="240" w:lineRule="auto"/>
              <w:jc w:val="center"/>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w:t>
            </w:r>
          </w:p>
        </w:tc>
      </w:tr>
      <w:tr w:rsidR="007E4739" w:rsidRPr="007E2527" w14:paraId="1F303CDF" w14:textId="77777777" w:rsidTr="003420A9">
        <w:trPr>
          <w:trHeight w:val="300"/>
        </w:trPr>
        <w:tc>
          <w:tcPr>
            <w:tcW w:w="2438" w:type="dxa"/>
            <w:tcBorders>
              <w:top w:val="nil"/>
              <w:left w:val="single" w:sz="4" w:space="0" w:color="auto"/>
              <w:bottom w:val="nil"/>
              <w:right w:val="nil"/>
            </w:tcBorders>
            <w:shd w:val="clear" w:color="000000" w:fill="FFFFFF"/>
            <w:noWrap/>
            <w:vAlign w:val="bottom"/>
            <w:hideMark/>
          </w:tcPr>
          <w:p w14:paraId="69CC343F" w14:textId="77777777" w:rsidR="007E4739" w:rsidRPr="007E4739" w:rsidRDefault="007E4739" w:rsidP="007E4739">
            <w:pPr>
              <w:spacing w:after="0" w:line="240" w:lineRule="auto"/>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Heterosexual</w:t>
            </w:r>
          </w:p>
        </w:tc>
        <w:tc>
          <w:tcPr>
            <w:tcW w:w="960" w:type="dxa"/>
            <w:tcBorders>
              <w:top w:val="nil"/>
              <w:left w:val="single" w:sz="4" w:space="0" w:color="auto"/>
              <w:bottom w:val="nil"/>
              <w:right w:val="single" w:sz="4" w:space="0" w:color="auto"/>
            </w:tcBorders>
            <w:shd w:val="clear" w:color="000000" w:fill="FFFFFF"/>
            <w:noWrap/>
            <w:vAlign w:val="bottom"/>
            <w:hideMark/>
          </w:tcPr>
          <w:p w14:paraId="59FD4188"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24.7%</w:t>
            </w:r>
          </w:p>
        </w:tc>
        <w:tc>
          <w:tcPr>
            <w:tcW w:w="960" w:type="dxa"/>
            <w:tcBorders>
              <w:top w:val="nil"/>
              <w:left w:val="nil"/>
              <w:bottom w:val="nil"/>
              <w:right w:val="nil"/>
            </w:tcBorders>
            <w:shd w:val="clear" w:color="000000" w:fill="FFFFFF"/>
            <w:noWrap/>
            <w:vAlign w:val="bottom"/>
            <w:hideMark/>
          </w:tcPr>
          <w:p w14:paraId="63C7E6C8"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26.0%</w:t>
            </w:r>
          </w:p>
        </w:tc>
        <w:tc>
          <w:tcPr>
            <w:tcW w:w="960" w:type="dxa"/>
            <w:tcBorders>
              <w:top w:val="nil"/>
              <w:left w:val="single" w:sz="4" w:space="0" w:color="auto"/>
              <w:bottom w:val="nil"/>
              <w:right w:val="single" w:sz="4" w:space="0" w:color="auto"/>
            </w:tcBorders>
            <w:shd w:val="clear" w:color="000000" w:fill="FFFFFF"/>
            <w:noWrap/>
            <w:vAlign w:val="bottom"/>
            <w:hideMark/>
          </w:tcPr>
          <w:p w14:paraId="06ED6179"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29.3%</w:t>
            </w:r>
          </w:p>
        </w:tc>
        <w:tc>
          <w:tcPr>
            <w:tcW w:w="960" w:type="dxa"/>
            <w:tcBorders>
              <w:top w:val="nil"/>
              <w:left w:val="nil"/>
              <w:bottom w:val="nil"/>
              <w:right w:val="nil"/>
            </w:tcBorders>
            <w:shd w:val="clear" w:color="000000" w:fill="FFFFFF"/>
            <w:noWrap/>
            <w:vAlign w:val="bottom"/>
            <w:hideMark/>
          </w:tcPr>
          <w:p w14:paraId="5BC11820"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2155</w:t>
            </w:r>
          </w:p>
        </w:tc>
        <w:tc>
          <w:tcPr>
            <w:tcW w:w="960" w:type="dxa"/>
            <w:tcBorders>
              <w:top w:val="nil"/>
              <w:left w:val="nil"/>
              <w:bottom w:val="nil"/>
              <w:right w:val="nil"/>
            </w:tcBorders>
            <w:shd w:val="clear" w:color="000000" w:fill="FFFFFF"/>
            <w:noWrap/>
            <w:vAlign w:val="bottom"/>
            <w:hideMark/>
          </w:tcPr>
          <w:p w14:paraId="19C7742C"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33.6%</w:t>
            </w:r>
          </w:p>
        </w:tc>
        <w:tc>
          <w:tcPr>
            <w:tcW w:w="960" w:type="dxa"/>
            <w:tcBorders>
              <w:top w:val="nil"/>
              <w:left w:val="single" w:sz="4" w:space="0" w:color="auto"/>
              <w:bottom w:val="nil"/>
              <w:right w:val="nil"/>
            </w:tcBorders>
            <w:shd w:val="clear" w:color="000000" w:fill="FFFFFF"/>
            <w:noWrap/>
            <w:vAlign w:val="bottom"/>
            <w:hideMark/>
          </w:tcPr>
          <w:p w14:paraId="13C068B8"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2463</w:t>
            </w:r>
          </w:p>
        </w:tc>
        <w:tc>
          <w:tcPr>
            <w:tcW w:w="960" w:type="dxa"/>
            <w:tcBorders>
              <w:top w:val="nil"/>
              <w:left w:val="nil"/>
              <w:bottom w:val="nil"/>
              <w:right w:val="single" w:sz="4" w:space="0" w:color="auto"/>
            </w:tcBorders>
            <w:shd w:val="clear" w:color="000000" w:fill="FFFFFF"/>
            <w:noWrap/>
            <w:vAlign w:val="bottom"/>
            <w:hideMark/>
          </w:tcPr>
          <w:p w14:paraId="577E1F2D"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38.5%</w:t>
            </w:r>
          </w:p>
        </w:tc>
        <w:tc>
          <w:tcPr>
            <w:tcW w:w="960" w:type="dxa"/>
            <w:tcBorders>
              <w:top w:val="nil"/>
              <w:left w:val="nil"/>
              <w:bottom w:val="nil"/>
              <w:right w:val="nil"/>
            </w:tcBorders>
            <w:shd w:val="clear" w:color="000000" w:fill="FFFFFF"/>
            <w:noWrap/>
            <w:vAlign w:val="bottom"/>
            <w:hideMark/>
          </w:tcPr>
          <w:p w14:paraId="1C7EF45D"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2788</w:t>
            </w:r>
          </w:p>
        </w:tc>
        <w:tc>
          <w:tcPr>
            <w:tcW w:w="960" w:type="dxa"/>
            <w:tcBorders>
              <w:top w:val="nil"/>
              <w:left w:val="nil"/>
              <w:bottom w:val="nil"/>
              <w:right w:val="single" w:sz="4" w:space="0" w:color="auto"/>
            </w:tcBorders>
            <w:shd w:val="clear" w:color="000000" w:fill="FFFFFF"/>
            <w:noWrap/>
            <w:vAlign w:val="bottom"/>
            <w:hideMark/>
          </w:tcPr>
          <w:p w14:paraId="4D7166A8"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42.4%</w:t>
            </w:r>
          </w:p>
        </w:tc>
        <w:tc>
          <w:tcPr>
            <w:tcW w:w="960" w:type="dxa"/>
            <w:tcBorders>
              <w:top w:val="nil"/>
              <w:left w:val="nil"/>
              <w:bottom w:val="nil"/>
              <w:right w:val="nil"/>
            </w:tcBorders>
            <w:shd w:val="clear" w:color="000000" w:fill="FFFFFF"/>
            <w:noWrap/>
            <w:vAlign w:val="bottom"/>
            <w:hideMark/>
          </w:tcPr>
          <w:p w14:paraId="127C10D4"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2812</w:t>
            </w:r>
          </w:p>
        </w:tc>
        <w:tc>
          <w:tcPr>
            <w:tcW w:w="960" w:type="dxa"/>
            <w:tcBorders>
              <w:top w:val="nil"/>
              <w:left w:val="nil"/>
              <w:bottom w:val="nil"/>
              <w:right w:val="single" w:sz="4" w:space="0" w:color="auto"/>
            </w:tcBorders>
            <w:shd w:val="clear" w:color="000000" w:fill="FFFFFF"/>
            <w:noWrap/>
            <w:vAlign w:val="bottom"/>
            <w:hideMark/>
          </w:tcPr>
          <w:p w14:paraId="3C9E47AB"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45.1%</w:t>
            </w:r>
          </w:p>
        </w:tc>
      </w:tr>
      <w:tr w:rsidR="007E4739" w:rsidRPr="007E2527" w14:paraId="015205D7" w14:textId="77777777" w:rsidTr="003420A9">
        <w:trPr>
          <w:trHeight w:val="300"/>
        </w:trPr>
        <w:tc>
          <w:tcPr>
            <w:tcW w:w="2438" w:type="dxa"/>
            <w:tcBorders>
              <w:top w:val="nil"/>
              <w:left w:val="single" w:sz="4" w:space="0" w:color="auto"/>
              <w:bottom w:val="nil"/>
              <w:right w:val="nil"/>
            </w:tcBorders>
            <w:shd w:val="clear" w:color="000000" w:fill="FFFFFF"/>
            <w:noWrap/>
            <w:vAlign w:val="bottom"/>
            <w:hideMark/>
          </w:tcPr>
          <w:p w14:paraId="189BF102" w14:textId="77777777" w:rsidR="007E4739" w:rsidRPr="007E4739" w:rsidRDefault="007E4739" w:rsidP="007E4739">
            <w:pPr>
              <w:spacing w:after="0" w:line="240" w:lineRule="auto"/>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LGB+</w:t>
            </w:r>
          </w:p>
        </w:tc>
        <w:tc>
          <w:tcPr>
            <w:tcW w:w="960" w:type="dxa"/>
            <w:tcBorders>
              <w:top w:val="nil"/>
              <w:left w:val="single" w:sz="4" w:space="0" w:color="auto"/>
              <w:bottom w:val="nil"/>
              <w:right w:val="single" w:sz="4" w:space="0" w:color="auto"/>
            </w:tcBorders>
            <w:shd w:val="clear" w:color="000000" w:fill="FFFFFF"/>
            <w:noWrap/>
            <w:vAlign w:val="bottom"/>
            <w:hideMark/>
          </w:tcPr>
          <w:p w14:paraId="3179A3D5"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1.8%</w:t>
            </w:r>
          </w:p>
        </w:tc>
        <w:tc>
          <w:tcPr>
            <w:tcW w:w="960" w:type="dxa"/>
            <w:tcBorders>
              <w:top w:val="nil"/>
              <w:left w:val="nil"/>
              <w:bottom w:val="nil"/>
              <w:right w:val="nil"/>
            </w:tcBorders>
            <w:shd w:val="clear" w:color="000000" w:fill="FFFFFF"/>
            <w:noWrap/>
            <w:vAlign w:val="bottom"/>
            <w:hideMark/>
          </w:tcPr>
          <w:p w14:paraId="228EEE82"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2.2%</w:t>
            </w:r>
          </w:p>
        </w:tc>
        <w:tc>
          <w:tcPr>
            <w:tcW w:w="960" w:type="dxa"/>
            <w:tcBorders>
              <w:top w:val="nil"/>
              <w:left w:val="single" w:sz="4" w:space="0" w:color="auto"/>
              <w:bottom w:val="nil"/>
              <w:right w:val="single" w:sz="4" w:space="0" w:color="auto"/>
            </w:tcBorders>
            <w:shd w:val="clear" w:color="000000" w:fill="FFFFFF"/>
            <w:noWrap/>
            <w:vAlign w:val="bottom"/>
            <w:hideMark/>
          </w:tcPr>
          <w:p w14:paraId="6060B9AE"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2.5%</w:t>
            </w:r>
          </w:p>
        </w:tc>
        <w:tc>
          <w:tcPr>
            <w:tcW w:w="960" w:type="dxa"/>
            <w:tcBorders>
              <w:top w:val="nil"/>
              <w:left w:val="nil"/>
              <w:bottom w:val="nil"/>
              <w:right w:val="nil"/>
            </w:tcBorders>
            <w:shd w:val="clear" w:color="000000" w:fill="FFFFFF"/>
            <w:noWrap/>
            <w:vAlign w:val="bottom"/>
            <w:hideMark/>
          </w:tcPr>
          <w:p w14:paraId="79C03AD9"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226</w:t>
            </w:r>
          </w:p>
        </w:tc>
        <w:tc>
          <w:tcPr>
            <w:tcW w:w="960" w:type="dxa"/>
            <w:tcBorders>
              <w:top w:val="nil"/>
              <w:left w:val="nil"/>
              <w:bottom w:val="nil"/>
              <w:right w:val="nil"/>
            </w:tcBorders>
            <w:shd w:val="clear" w:color="000000" w:fill="FFFFFF"/>
            <w:noWrap/>
            <w:vAlign w:val="bottom"/>
            <w:hideMark/>
          </w:tcPr>
          <w:p w14:paraId="5E9E9396"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3.5%</w:t>
            </w:r>
          </w:p>
        </w:tc>
        <w:tc>
          <w:tcPr>
            <w:tcW w:w="960" w:type="dxa"/>
            <w:tcBorders>
              <w:top w:val="nil"/>
              <w:left w:val="single" w:sz="4" w:space="0" w:color="auto"/>
              <w:bottom w:val="nil"/>
              <w:right w:val="nil"/>
            </w:tcBorders>
            <w:shd w:val="clear" w:color="000000" w:fill="FFFFFF"/>
            <w:noWrap/>
            <w:vAlign w:val="bottom"/>
            <w:hideMark/>
          </w:tcPr>
          <w:p w14:paraId="0490CBF8"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289</w:t>
            </w:r>
          </w:p>
        </w:tc>
        <w:tc>
          <w:tcPr>
            <w:tcW w:w="960" w:type="dxa"/>
            <w:tcBorders>
              <w:top w:val="nil"/>
              <w:left w:val="nil"/>
              <w:bottom w:val="nil"/>
              <w:right w:val="single" w:sz="4" w:space="0" w:color="auto"/>
            </w:tcBorders>
            <w:shd w:val="clear" w:color="000000" w:fill="FFFFFF"/>
            <w:noWrap/>
            <w:vAlign w:val="bottom"/>
            <w:hideMark/>
          </w:tcPr>
          <w:p w14:paraId="41EDA0D7"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4.5%</w:t>
            </w:r>
          </w:p>
        </w:tc>
        <w:tc>
          <w:tcPr>
            <w:tcW w:w="960" w:type="dxa"/>
            <w:tcBorders>
              <w:top w:val="nil"/>
              <w:left w:val="nil"/>
              <w:bottom w:val="nil"/>
              <w:right w:val="nil"/>
            </w:tcBorders>
            <w:shd w:val="clear" w:color="000000" w:fill="FFFFFF"/>
            <w:noWrap/>
            <w:vAlign w:val="bottom"/>
            <w:hideMark/>
          </w:tcPr>
          <w:p w14:paraId="54403757"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345</w:t>
            </w:r>
          </w:p>
        </w:tc>
        <w:tc>
          <w:tcPr>
            <w:tcW w:w="960" w:type="dxa"/>
            <w:tcBorders>
              <w:top w:val="nil"/>
              <w:left w:val="nil"/>
              <w:bottom w:val="nil"/>
              <w:right w:val="single" w:sz="4" w:space="0" w:color="auto"/>
            </w:tcBorders>
            <w:shd w:val="clear" w:color="000000" w:fill="FFFFFF"/>
            <w:noWrap/>
            <w:vAlign w:val="bottom"/>
            <w:hideMark/>
          </w:tcPr>
          <w:p w14:paraId="3E97D946"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5.2%</w:t>
            </w:r>
          </w:p>
        </w:tc>
        <w:tc>
          <w:tcPr>
            <w:tcW w:w="960" w:type="dxa"/>
            <w:tcBorders>
              <w:top w:val="nil"/>
              <w:left w:val="nil"/>
              <w:bottom w:val="nil"/>
              <w:right w:val="nil"/>
            </w:tcBorders>
            <w:shd w:val="clear" w:color="000000" w:fill="FFFFFF"/>
            <w:noWrap/>
            <w:vAlign w:val="bottom"/>
            <w:hideMark/>
          </w:tcPr>
          <w:p w14:paraId="62773602"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337</w:t>
            </w:r>
          </w:p>
        </w:tc>
        <w:tc>
          <w:tcPr>
            <w:tcW w:w="960" w:type="dxa"/>
            <w:tcBorders>
              <w:top w:val="nil"/>
              <w:left w:val="nil"/>
              <w:bottom w:val="nil"/>
              <w:right w:val="single" w:sz="4" w:space="0" w:color="auto"/>
            </w:tcBorders>
            <w:shd w:val="clear" w:color="000000" w:fill="FFFFFF"/>
            <w:noWrap/>
            <w:vAlign w:val="bottom"/>
            <w:hideMark/>
          </w:tcPr>
          <w:p w14:paraId="125FD3EE"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5.4%</w:t>
            </w:r>
          </w:p>
        </w:tc>
      </w:tr>
      <w:tr w:rsidR="007E4739" w:rsidRPr="007E2527" w14:paraId="201F99BE" w14:textId="77777777" w:rsidTr="003420A9">
        <w:trPr>
          <w:trHeight w:val="300"/>
        </w:trPr>
        <w:tc>
          <w:tcPr>
            <w:tcW w:w="2438" w:type="dxa"/>
            <w:tcBorders>
              <w:top w:val="nil"/>
              <w:left w:val="single" w:sz="4" w:space="0" w:color="auto"/>
              <w:bottom w:val="nil"/>
              <w:right w:val="nil"/>
            </w:tcBorders>
            <w:shd w:val="clear" w:color="000000" w:fill="FFFFFF"/>
            <w:noWrap/>
            <w:vAlign w:val="bottom"/>
            <w:hideMark/>
          </w:tcPr>
          <w:p w14:paraId="42B6BB4F" w14:textId="77777777" w:rsidR="007E4739" w:rsidRPr="007E4739" w:rsidRDefault="007E4739" w:rsidP="007E4739">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Bisexual</w:t>
            </w:r>
          </w:p>
        </w:tc>
        <w:tc>
          <w:tcPr>
            <w:tcW w:w="960" w:type="dxa"/>
            <w:tcBorders>
              <w:top w:val="nil"/>
              <w:left w:val="single" w:sz="4" w:space="0" w:color="auto"/>
              <w:bottom w:val="nil"/>
              <w:right w:val="single" w:sz="4" w:space="0" w:color="auto"/>
            </w:tcBorders>
            <w:shd w:val="clear" w:color="000000" w:fill="FFFFFF"/>
            <w:noWrap/>
            <w:vAlign w:val="bottom"/>
            <w:hideMark/>
          </w:tcPr>
          <w:p w14:paraId="773C93FF"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0.6%</w:t>
            </w:r>
          </w:p>
        </w:tc>
        <w:tc>
          <w:tcPr>
            <w:tcW w:w="960" w:type="dxa"/>
            <w:tcBorders>
              <w:top w:val="nil"/>
              <w:left w:val="nil"/>
              <w:bottom w:val="nil"/>
              <w:right w:val="nil"/>
            </w:tcBorders>
            <w:shd w:val="clear" w:color="000000" w:fill="FFFFFF"/>
            <w:noWrap/>
            <w:vAlign w:val="bottom"/>
            <w:hideMark/>
          </w:tcPr>
          <w:p w14:paraId="6A06A22F"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0.8%</w:t>
            </w:r>
          </w:p>
        </w:tc>
        <w:tc>
          <w:tcPr>
            <w:tcW w:w="960" w:type="dxa"/>
            <w:tcBorders>
              <w:top w:val="nil"/>
              <w:left w:val="single" w:sz="4" w:space="0" w:color="auto"/>
              <w:bottom w:val="nil"/>
              <w:right w:val="single" w:sz="4" w:space="0" w:color="auto"/>
            </w:tcBorders>
            <w:shd w:val="clear" w:color="000000" w:fill="FFFFFF"/>
            <w:noWrap/>
            <w:vAlign w:val="bottom"/>
            <w:hideMark/>
          </w:tcPr>
          <w:p w14:paraId="1B88CB5B"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1.0%</w:t>
            </w:r>
          </w:p>
        </w:tc>
        <w:tc>
          <w:tcPr>
            <w:tcW w:w="960" w:type="dxa"/>
            <w:tcBorders>
              <w:top w:val="nil"/>
              <w:left w:val="nil"/>
              <w:bottom w:val="nil"/>
              <w:right w:val="nil"/>
            </w:tcBorders>
            <w:shd w:val="clear" w:color="000000" w:fill="FFFFFF"/>
            <w:noWrap/>
            <w:vAlign w:val="bottom"/>
            <w:hideMark/>
          </w:tcPr>
          <w:p w14:paraId="69EE1336"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98</w:t>
            </w:r>
          </w:p>
        </w:tc>
        <w:tc>
          <w:tcPr>
            <w:tcW w:w="960" w:type="dxa"/>
            <w:tcBorders>
              <w:top w:val="nil"/>
              <w:left w:val="nil"/>
              <w:bottom w:val="nil"/>
              <w:right w:val="nil"/>
            </w:tcBorders>
            <w:shd w:val="clear" w:color="000000" w:fill="FFFFFF"/>
            <w:noWrap/>
            <w:vAlign w:val="bottom"/>
            <w:hideMark/>
          </w:tcPr>
          <w:p w14:paraId="6D63DE73"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1.5%</w:t>
            </w:r>
          </w:p>
        </w:tc>
        <w:tc>
          <w:tcPr>
            <w:tcW w:w="960" w:type="dxa"/>
            <w:tcBorders>
              <w:top w:val="nil"/>
              <w:left w:val="single" w:sz="4" w:space="0" w:color="auto"/>
              <w:bottom w:val="nil"/>
              <w:right w:val="nil"/>
            </w:tcBorders>
            <w:shd w:val="clear" w:color="000000" w:fill="FFFFFF"/>
            <w:noWrap/>
            <w:vAlign w:val="bottom"/>
            <w:hideMark/>
          </w:tcPr>
          <w:p w14:paraId="2B59C7D5"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133</w:t>
            </w:r>
          </w:p>
        </w:tc>
        <w:tc>
          <w:tcPr>
            <w:tcW w:w="960" w:type="dxa"/>
            <w:tcBorders>
              <w:top w:val="nil"/>
              <w:left w:val="nil"/>
              <w:bottom w:val="nil"/>
              <w:right w:val="single" w:sz="4" w:space="0" w:color="auto"/>
            </w:tcBorders>
            <w:shd w:val="clear" w:color="000000" w:fill="FFFFFF"/>
            <w:noWrap/>
            <w:vAlign w:val="bottom"/>
            <w:hideMark/>
          </w:tcPr>
          <w:p w14:paraId="2E53F924"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6689ADD9"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175</w:t>
            </w:r>
          </w:p>
        </w:tc>
        <w:tc>
          <w:tcPr>
            <w:tcW w:w="960" w:type="dxa"/>
            <w:tcBorders>
              <w:top w:val="nil"/>
              <w:left w:val="nil"/>
              <w:bottom w:val="nil"/>
              <w:right w:val="single" w:sz="4" w:space="0" w:color="auto"/>
            </w:tcBorders>
            <w:shd w:val="clear" w:color="000000" w:fill="FFFFFF"/>
            <w:noWrap/>
            <w:vAlign w:val="bottom"/>
            <w:hideMark/>
          </w:tcPr>
          <w:p w14:paraId="4ADF3A85"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2.7%</w:t>
            </w:r>
          </w:p>
        </w:tc>
        <w:tc>
          <w:tcPr>
            <w:tcW w:w="960" w:type="dxa"/>
            <w:tcBorders>
              <w:top w:val="nil"/>
              <w:left w:val="nil"/>
              <w:bottom w:val="nil"/>
              <w:right w:val="nil"/>
            </w:tcBorders>
            <w:shd w:val="clear" w:color="000000" w:fill="FFFFFF"/>
            <w:noWrap/>
            <w:vAlign w:val="bottom"/>
            <w:hideMark/>
          </w:tcPr>
          <w:p w14:paraId="70D4CE3D"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169</w:t>
            </w:r>
          </w:p>
        </w:tc>
        <w:tc>
          <w:tcPr>
            <w:tcW w:w="960" w:type="dxa"/>
            <w:tcBorders>
              <w:top w:val="nil"/>
              <w:left w:val="nil"/>
              <w:bottom w:val="nil"/>
              <w:right w:val="single" w:sz="4" w:space="0" w:color="auto"/>
            </w:tcBorders>
            <w:shd w:val="clear" w:color="000000" w:fill="FFFFFF"/>
            <w:noWrap/>
            <w:vAlign w:val="bottom"/>
            <w:hideMark/>
          </w:tcPr>
          <w:p w14:paraId="2EF8F6C4"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2.7%</w:t>
            </w:r>
          </w:p>
        </w:tc>
      </w:tr>
      <w:tr w:rsidR="007E4739" w:rsidRPr="007E2527" w14:paraId="30B5E15A" w14:textId="77777777" w:rsidTr="003420A9">
        <w:trPr>
          <w:trHeight w:val="300"/>
        </w:trPr>
        <w:tc>
          <w:tcPr>
            <w:tcW w:w="2438" w:type="dxa"/>
            <w:tcBorders>
              <w:top w:val="nil"/>
              <w:left w:val="single" w:sz="4" w:space="0" w:color="auto"/>
              <w:bottom w:val="nil"/>
              <w:right w:val="nil"/>
            </w:tcBorders>
            <w:shd w:val="clear" w:color="000000" w:fill="FFFFFF"/>
            <w:noWrap/>
            <w:vAlign w:val="bottom"/>
            <w:hideMark/>
          </w:tcPr>
          <w:p w14:paraId="7759CE02" w14:textId="77777777" w:rsidR="007E4739" w:rsidRPr="007E4739" w:rsidRDefault="007E4739" w:rsidP="007E4739">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Gay or lesbian</w:t>
            </w:r>
          </w:p>
        </w:tc>
        <w:tc>
          <w:tcPr>
            <w:tcW w:w="960" w:type="dxa"/>
            <w:tcBorders>
              <w:top w:val="nil"/>
              <w:left w:val="single" w:sz="4" w:space="0" w:color="auto"/>
              <w:bottom w:val="nil"/>
              <w:right w:val="single" w:sz="4" w:space="0" w:color="auto"/>
            </w:tcBorders>
            <w:shd w:val="clear" w:color="000000" w:fill="FFFFFF"/>
            <w:noWrap/>
            <w:vAlign w:val="bottom"/>
            <w:hideMark/>
          </w:tcPr>
          <w:p w14:paraId="4B412793"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nil"/>
            </w:tcBorders>
            <w:shd w:val="clear" w:color="000000" w:fill="FFFFFF"/>
            <w:noWrap/>
            <w:vAlign w:val="bottom"/>
            <w:hideMark/>
          </w:tcPr>
          <w:p w14:paraId="1D980E31"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1.2%</w:t>
            </w:r>
          </w:p>
        </w:tc>
        <w:tc>
          <w:tcPr>
            <w:tcW w:w="960" w:type="dxa"/>
            <w:tcBorders>
              <w:top w:val="nil"/>
              <w:left w:val="single" w:sz="4" w:space="0" w:color="auto"/>
              <w:bottom w:val="nil"/>
              <w:right w:val="single" w:sz="4" w:space="0" w:color="auto"/>
            </w:tcBorders>
            <w:shd w:val="clear" w:color="000000" w:fill="FFFFFF"/>
            <w:noWrap/>
            <w:vAlign w:val="bottom"/>
            <w:hideMark/>
          </w:tcPr>
          <w:p w14:paraId="6D6534D5"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nil"/>
            </w:tcBorders>
            <w:shd w:val="clear" w:color="000000" w:fill="FFFFFF"/>
            <w:noWrap/>
            <w:vAlign w:val="bottom"/>
            <w:hideMark/>
          </w:tcPr>
          <w:p w14:paraId="5EA8B0B6"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112</w:t>
            </w:r>
          </w:p>
        </w:tc>
        <w:tc>
          <w:tcPr>
            <w:tcW w:w="960" w:type="dxa"/>
            <w:tcBorders>
              <w:top w:val="nil"/>
              <w:left w:val="nil"/>
              <w:bottom w:val="nil"/>
              <w:right w:val="nil"/>
            </w:tcBorders>
            <w:shd w:val="clear" w:color="000000" w:fill="FFFFFF"/>
            <w:noWrap/>
            <w:vAlign w:val="bottom"/>
            <w:hideMark/>
          </w:tcPr>
          <w:p w14:paraId="08900E29"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1.7%</w:t>
            </w:r>
          </w:p>
        </w:tc>
        <w:tc>
          <w:tcPr>
            <w:tcW w:w="960" w:type="dxa"/>
            <w:tcBorders>
              <w:top w:val="nil"/>
              <w:left w:val="single" w:sz="4" w:space="0" w:color="auto"/>
              <w:bottom w:val="nil"/>
              <w:right w:val="nil"/>
            </w:tcBorders>
            <w:shd w:val="clear" w:color="000000" w:fill="FFFFFF"/>
            <w:noWrap/>
            <w:vAlign w:val="bottom"/>
            <w:hideMark/>
          </w:tcPr>
          <w:p w14:paraId="197BFEC8"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135</w:t>
            </w:r>
          </w:p>
        </w:tc>
        <w:tc>
          <w:tcPr>
            <w:tcW w:w="960" w:type="dxa"/>
            <w:tcBorders>
              <w:top w:val="nil"/>
              <w:left w:val="nil"/>
              <w:bottom w:val="nil"/>
              <w:right w:val="single" w:sz="4" w:space="0" w:color="auto"/>
            </w:tcBorders>
            <w:shd w:val="clear" w:color="000000" w:fill="FFFFFF"/>
            <w:noWrap/>
            <w:vAlign w:val="bottom"/>
            <w:hideMark/>
          </w:tcPr>
          <w:p w14:paraId="44EA07DC"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613C6E84"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146</w:t>
            </w:r>
          </w:p>
        </w:tc>
        <w:tc>
          <w:tcPr>
            <w:tcW w:w="960" w:type="dxa"/>
            <w:tcBorders>
              <w:top w:val="nil"/>
              <w:left w:val="nil"/>
              <w:bottom w:val="nil"/>
              <w:right w:val="single" w:sz="4" w:space="0" w:color="auto"/>
            </w:tcBorders>
            <w:shd w:val="clear" w:color="000000" w:fill="FFFFFF"/>
            <w:noWrap/>
            <w:vAlign w:val="bottom"/>
            <w:hideMark/>
          </w:tcPr>
          <w:p w14:paraId="6668B7DC"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2.2%</w:t>
            </w:r>
          </w:p>
        </w:tc>
        <w:tc>
          <w:tcPr>
            <w:tcW w:w="960" w:type="dxa"/>
            <w:tcBorders>
              <w:top w:val="nil"/>
              <w:left w:val="nil"/>
              <w:bottom w:val="nil"/>
              <w:right w:val="nil"/>
            </w:tcBorders>
            <w:shd w:val="clear" w:color="000000" w:fill="FFFFFF"/>
            <w:noWrap/>
            <w:vAlign w:val="bottom"/>
            <w:hideMark/>
          </w:tcPr>
          <w:p w14:paraId="5A626111"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144</w:t>
            </w:r>
          </w:p>
        </w:tc>
        <w:tc>
          <w:tcPr>
            <w:tcW w:w="960" w:type="dxa"/>
            <w:tcBorders>
              <w:top w:val="nil"/>
              <w:left w:val="nil"/>
              <w:bottom w:val="nil"/>
              <w:right w:val="single" w:sz="4" w:space="0" w:color="auto"/>
            </w:tcBorders>
            <w:shd w:val="clear" w:color="000000" w:fill="FFFFFF"/>
            <w:noWrap/>
            <w:vAlign w:val="bottom"/>
            <w:hideMark/>
          </w:tcPr>
          <w:p w14:paraId="0B32A378"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2.3%</w:t>
            </w:r>
          </w:p>
        </w:tc>
      </w:tr>
      <w:tr w:rsidR="007E4739" w:rsidRPr="007E2527" w14:paraId="6D691EAA" w14:textId="77777777" w:rsidTr="003420A9">
        <w:trPr>
          <w:trHeight w:val="300"/>
        </w:trPr>
        <w:tc>
          <w:tcPr>
            <w:tcW w:w="2438" w:type="dxa"/>
            <w:tcBorders>
              <w:top w:val="nil"/>
              <w:left w:val="single" w:sz="4" w:space="0" w:color="auto"/>
              <w:bottom w:val="nil"/>
              <w:right w:val="nil"/>
            </w:tcBorders>
            <w:shd w:val="clear" w:color="000000" w:fill="FFFFFF"/>
            <w:noWrap/>
            <w:vAlign w:val="bottom"/>
            <w:hideMark/>
          </w:tcPr>
          <w:p w14:paraId="4C92FA5C" w14:textId="77777777" w:rsidR="007E4739" w:rsidRPr="007E4739" w:rsidRDefault="007E4739" w:rsidP="007E4739">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Another sexuality</w:t>
            </w:r>
          </w:p>
        </w:tc>
        <w:tc>
          <w:tcPr>
            <w:tcW w:w="960" w:type="dxa"/>
            <w:tcBorders>
              <w:top w:val="nil"/>
              <w:left w:val="single" w:sz="4" w:space="0" w:color="auto"/>
              <w:bottom w:val="nil"/>
              <w:right w:val="single" w:sz="4" w:space="0" w:color="auto"/>
            </w:tcBorders>
            <w:shd w:val="clear" w:color="000000" w:fill="FFFFFF"/>
            <w:noWrap/>
            <w:vAlign w:val="bottom"/>
            <w:hideMark/>
          </w:tcPr>
          <w:p w14:paraId="3D9B6BE5"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0.1%</w:t>
            </w:r>
          </w:p>
        </w:tc>
        <w:tc>
          <w:tcPr>
            <w:tcW w:w="960" w:type="dxa"/>
            <w:tcBorders>
              <w:top w:val="nil"/>
              <w:left w:val="nil"/>
              <w:bottom w:val="nil"/>
              <w:right w:val="nil"/>
            </w:tcBorders>
            <w:shd w:val="clear" w:color="000000" w:fill="FFFFFF"/>
            <w:noWrap/>
            <w:vAlign w:val="bottom"/>
            <w:hideMark/>
          </w:tcPr>
          <w:p w14:paraId="0E870D2E"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0.2%</w:t>
            </w:r>
          </w:p>
        </w:tc>
        <w:tc>
          <w:tcPr>
            <w:tcW w:w="960" w:type="dxa"/>
            <w:tcBorders>
              <w:top w:val="nil"/>
              <w:left w:val="single" w:sz="4" w:space="0" w:color="auto"/>
              <w:bottom w:val="nil"/>
              <w:right w:val="single" w:sz="4" w:space="0" w:color="auto"/>
            </w:tcBorders>
            <w:shd w:val="clear" w:color="000000" w:fill="FFFFFF"/>
            <w:noWrap/>
            <w:vAlign w:val="bottom"/>
            <w:hideMark/>
          </w:tcPr>
          <w:p w14:paraId="6E116125"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0.2%</w:t>
            </w:r>
          </w:p>
        </w:tc>
        <w:tc>
          <w:tcPr>
            <w:tcW w:w="960" w:type="dxa"/>
            <w:tcBorders>
              <w:top w:val="nil"/>
              <w:left w:val="nil"/>
              <w:bottom w:val="nil"/>
              <w:right w:val="nil"/>
            </w:tcBorders>
            <w:shd w:val="clear" w:color="000000" w:fill="FFFFFF"/>
            <w:noWrap/>
            <w:vAlign w:val="bottom"/>
            <w:hideMark/>
          </w:tcPr>
          <w:p w14:paraId="2BC8B491"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nil"/>
            </w:tcBorders>
            <w:shd w:val="clear" w:color="000000" w:fill="FFFFFF"/>
            <w:noWrap/>
            <w:vAlign w:val="bottom"/>
            <w:hideMark/>
          </w:tcPr>
          <w:p w14:paraId="4DC3D659"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0.2%</w:t>
            </w:r>
          </w:p>
        </w:tc>
        <w:tc>
          <w:tcPr>
            <w:tcW w:w="960" w:type="dxa"/>
            <w:tcBorders>
              <w:top w:val="nil"/>
              <w:left w:val="single" w:sz="4" w:space="0" w:color="auto"/>
              <w:bottom w:val="nil"/>
              <w:right w:val="nil"/>
            </w:tcBorders>
            <w:shd w:val="clear" w:color="000000" w:fill="FFFFFF"/>
            <w:noWrap/>
            <w:vAlign w:val="bottom"/>
            <w:hideMark/>
          </w:tcPr>
          <w:p w14:paraId="6D02EC98"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single" w:sz="4" w:space="0" w:color="auto"/>
            </w:tcBorders>
            <w:shd w:val="clear" w:color="000000" w:fill="FFFFFF"/>
            <w:noWrap/>
            <w:vAlign w:val="bottom"/>
            <w:hideMark/>
          </w:tcPr>
          <w:p w14:paraId="243B8260"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0.3%</w:t>
            </w:r>
          </w:p>
        </w:tc>
        <w:tc>
          <w:tcPr>
            <w:tcW w:w="960" w:type="dxa"/>
            <w:tcBorders>
              <w:top w:val="nil"/>
              <w:left w:val="nil"/>
              <w:bottom w:val="nil"/>
              <w:right w:val="nil"/>
            </w:tcBorders>
            <w:shd w:val="clear" w:color="000000" w:fill="FFFFFF"/>
            <w:noWrap/>
            <w:vAlign w:val="bottom"/>
            <w:hideMark/>
          </w:tcPr>
          <w:p w14:paraId="1A0559CB"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single" w:sz="4" w:space="0" w:color="auto"/>
            </w:tcBorders>
            <w:shd w:val="clear" w:color="000000" w:fill="FFFFFF"/>
            <w:noWrap/>
            <w:vAlign w:val="bottom"/>
            <w:hideMark/>
          </w:tcPr>
          <w:p w14:paraId="5A528E12"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0.4%</w:t>
            </w:r>
          </w:p>
        </w:tc>
        <w:tc>
          <w:tcPr>
            <w:tcW w:w="960" w:type="dxa"/>
            <w:tcBorders>
              <w:top w:val="nil"/>
              <w:left w:val="nil"/>
              <w:bottom w:val="nil"/>
              <w:right w:val="nil"/>
            </w:tcBorders>
            <w:shd w:val="clear" w:color="000000" w:fill="FFFFFF"/>
            <w:noWrap/>
            <w:vAlign w:val="bottom"/>
            <w:hideMark/>
          </w:tcPr>
          <w:p w14:paraId="2C2133C3"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single" w:sz="4" w:space="0" w:color="auto"/>
            </w:tcBorders>
            <w:shd w:val="clear" w:color="000000" w:fill="FFFFFF"/>
            <w:noWrap/>
            <w:vAlign w:val="bottom"/>
            <w:hideMark/>
          </w:tcPr>
          <w:p w14:paraId="10CB96E9" w14:textId="77777777" w:rsidR="007E4739" w:rsidRPr="007E4739" w:rsidRDefault="007E4739" w:rsidP="007E4739">
            <w:pPr>
              <w:spacing w:after="0" w:line="240" w:lineRule="auto"/>
              <w:jc w:val="right"/>
              <w:rPr>
                <w:rFonts w:asciiTheme="minorHAnsi" w:eastAsia="Times New Roman" w:hAnsiTheme="minorHAnsi" w:cs="Times New Roman"/>
                <w:color w:val="000000"/>
                <w:kern w:val="0"/>
                <w:szCs w:val="22"/>
                <w:lang w:eastAsia="en-GB"/>
                <w14:ligatures w14:val="none"/>
              </w:rPr>
            </w:pPr>
            <w:r w:rsidRPr="007E4739">
              <w:rPr>
                <w:rFonts w:asciiTheme="minorHAnsi" w:eastAsia="Times New Roman" w:hAnsiTheme="minorHAnsi" w:cs="Times New Roman"/>
                <w:color w:val="000000"/>
                <w:kern w:val="0"/>
                <w:szCs w:val="22"/>
                <w:lang w:eastAsia="en-GB"/>
                <w14:ligatures w14:val="none"/>
              </w:rPr>
              <w:t>0.4%</w:t>
            </w:r>
          </w:p>
        </w:tc>
      </w:tr>
      <w:tr w:rsidR="007E4739" w:rsidRPr="007E2527" w14:paraId="381089AD" w14:textId="77777777" w:rsidTr="003420A9">
        <w:trPr>
          <w:trHeight w:val="300"/>
        </w:trPr>
        <w:tc>
          <w:tcPr>
            <w:tcW w:w="2438" w:type="dxa"/>
            <w:tcBorders>
              <w:top w:val="nil"/>
              <w:left w:val="single" w:sz="4" w:space="0" w:color="auto"/>
              <w:bottom w:val="nil"/>
              <w:right w:val="nil"/>
            </w:tcBorders>
            <w:shd w:val="clear" w:color="000000" w:fill="FFFFFF"/>
            <w:noWrap/>
            <w:vAlign w:val="bottom"/>
            <w:hideMark/>
          </w:tcPr>
          <w:p w14:paraId="74CA5E89" w14:textId="77777777" w:rsidR="007E4739" w:rsidRPr="007E4739" w:rsidRDefault="007E4739" w:rsidP="007E4739">
            <w:pPr>
              <w:spacing w:after="0" w:line="240" w:lineRule="auto"/>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Prefer not to say</w:t>
            </w:r>
          </w:p>
        </w:tc>
        <w:tc>
          <w:tcPr>
            <w:tcW w:w="960" w:type="dxa"/>
            <w:tcBorders>
              <w:top w:val="nil"/>
              <w:left w:val="single" w:sz="4" w:space="0" w:color="auto"/>
              <w:bottom w:val="nil"/>
              <w:right w:val="single" w:sz="4" w:space="0" w:color="auto"/>
            </w:tcBorders>
            <w:shd w:val="clear" w:color="000000" w:fill="FFFFFF"/>
            <w:noWrap/>
            <w:vAlign w:val="bottom"/>
            <w:hideMark/>
          </w:tcPr>
          <w:p w14:paraId="12999480"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2.2%</w:t>
            </w:r>
          </w:p>
        </w:tc>
        <w:tc>
          <w:tcPr>
            <w:tcW w:w="960" w:type="dxa"/>
            <w:tcBorders>
              <w:top w:val="nil"/>
              <w:left w:val="nil"/>
              <w:bottom w:val="nil"/>
              <w:right w:val="nil"/>
            </w:tcBorders>
            <w:shd w:val="clear" w:color="000000" w:fill="FFFFFF"/>
            <w:noWrap/>
            <w:vAlign w:val="bottom"/>
            <w:hideMark/>
          </w:tcPr>
          <w:p w14:paraId="28E2A72D"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2.7%</w:t>
            </w:r>
          </w:p>
        </w:tc>
        <w:tc>
          <w:tcPr>
            <w:tcW w:w="960" w:type="dxa"/>
            <w:tcBorders>
              <w:top w:val="nil"/>
              <w:left w:val="single" w:sz="4" w:space="0" w:color="auto"/>
              <w:bottom w:val="nil"/>
              <w:right w:val="single" w:sz="4" w:space="0" w:color="auto"/>
            </w:tcBorders>
            <w:shd w:val="clear" w:color="000000" w:fill="FFFFFF"/>
            <w:noWrap/>
            <w:vAlign w:val="bottom"/>
            <w:hideMark/>
          </w:tcPr>
          <w:p w14:paraId="1A34376D"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3.5%</w:t>
            </w:r>
          </w:p>
        </w:tc>
        <w:tc>
          <w:tcPr>
            <w:tcW w:w="960" w:type="dxa"/>
            <w:tcBorders>
              <w:top w:val="nil"/>
              <w:left w:val="nil"/>
              <w:bottom w:val="nil"/>
              <w:right w:val="nil"/>
            </w:tcBorders>
            <w:shd w:val="clear" w:color="000000" w:fill="FFFFFF"/>
            <w:noWrap/>
            <w:vAlign w:val="bottom"/>
            <w:hideMark/>
          </w:tcPr>
          <w:p w14:paraId="603F0E69"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311</w:t>
            </w:r>
          </w:p>
        </w:tc>
        <w:tc>
          <w:tcPr>
            <w:tcW w:w="960" w:type="dxa"/>
            <w:tcBorders>
              <w:top w:val="nil"/>
              <w:left w:val="nil"/>
              <w:bottom w:val="nil"/>
              <w:right w:val="nil"/>
            </w:tcBorders>
            <w:shd w:val="clear" w:color="000000" w:fill="FFFFFF"/>
            <w:noWrap/>
            <w:vAlign w:val="bottom"/>
            <w:hideMark/>
          </w:tcPr>
          <w:p w14:paraId="6E18CCBA"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4.8%</w:t>
            </w:r>
          </w:p>
        </w:tc>
        <w:tc>
          <w:tcPr>
            <w:tcW w:w="960" w:type="dxa"/>
            <w:tcBorders>
              <w:top w:val="nil"/>
              <w:left w:val="single" w:sz="4" w:space="0" w:color="auto"/>
              <w:bottom w:val="nil"/>
              <w:right w:val="nil"/>
            </w:tcBorders>
            <w:shd w:val="clear" w:color="000000" w:fill="FFFFFF"/>
            <w:noWrap/>
            <w:vAlign w:val="bottom"/>
            <w:hideMark/>
          </w:tcPr>
          <w:p w14:paraId="4872DBB4"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327</w:t>
            </w:r>
          </w:p>
        </w:tc>
        <w:tc>
          <w:tcPr>
            <w:tcW w:w="960" w:type="dxa"/>
            <w:tcBorders>
              <w:top w:val="nil"/>
              <w:left w:val="nil"/>
              <w:bottom w:val="nil"/>
              <w:right w:val="single" w:sz="4" w:space="0" w:color="auto"/>
            </w:tcBorders>
            <w:shd w:val="clear" w:color="000000" w:fill="FFFFFF"/>
            <w:noWrap/>
            <w:vAlign w:val="bottom"/>
            <w:hideMark/>
          </w:tcPr>
          <w:p w14:paraId="79636406"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5.1%</w:t>
            </w:r>
          </w:p>
        </w:tc>
        <w:tc>
          <w:tcPr>
            <w:tcW w:w="960" w:type="dxa"/>
            <w:tcBorders>
              <w:top w:val="nil"/>
              <w:left w:val="nil"/>
              <w:bottom w:val="nil"/>
              <w:right w:val="nil"/>
            </w:tcBorders>
            <w:shd w:val="clear" w:color="000000" w:fill="FFFFFF"/>
            <w:noWrap/>
            <w:vAlign w:val="bottom"/>
            <w:hideMark/>
          </w:tcPr>
          <w:p w14:paraId="75014000"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455</w:t>
            </w:r>
          </w:p>
        </w:tc>
        <w:tc>
          <w:tcPr>
            <w:tcW w:w="960" w:type="dxa"/>
            <w:tcBorders>
              <w:top w:val="nil"/>
              <w:left w:val="nil"/>
              <w:bottom w:val="nil"/>
              <w:right w:val="single" w:sz="4" w:space="0" w:color="auto"/>
            </w:tcBorders>
            <w:shd w:val="clear" w:color="000000" w:fill="FFFFFF"/>
            <w:noWrap/>
            <w:vAlign w:val="bottom"/>
            <w:hideMark/>
          </w:tcPr>
          <w:p w14:paraId="4C0129B9"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6.9%</w:t>
            </w:r>
          </w:p>
        </w:tc>
        <w:tc>
          <w:tcPr>
            <w:tcW w:w="960" w:type="dxa"/>
            <w:tcBorders>
              <w:top w:val="nil"/>
              <w:left w:val="nil"/>
              <w:bottom w:val="nil"/>
              <w:right w:val="nil"/>
            </w:tcBorders>
            <w:shd w:val="clear" w:color="000000" w:fill="FFFFFF"/>
            <w:noWrap/>
            <w:vAlign w:val="bottom"/>
            <w:hideMark/>
          </w:tcPr>
          <w:p w14:paraId="63AA836F"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3092</w:t>
            </w:r>
          </w:p>
        </w:tc>
        <w:tc>
          <w:tcPr>
            <w:tcW w:w="960" w:type="dxa"/>
            <w:tcBorders>
              <w:top w:val="nil"/>
              <w:left w:val="nil"/>
              <w:bottom w:val="nil"/>
              <w:right w:val="single" w:sz="4" w:space="0" w:color="auto"/>
            </w:tcBorders>
            <w:shd w:val="clear" w:color="000000" w:fill="FFFFFF"/>
            <w:noWrap/>
            <w:vAlign w:val="bottom"/>
            <w:hideMark/>
          </w:tcPr>
          <w:p w14:paraId="1F812260"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49.5%</w:t>
            </w:r>
          </w:p>
        </w:tc>
      </w:tr>
      <w:tr w:rsidR="007E4739" w:rsidRPr="007E2527" w14:paraId="756A9A12" w14:textId="77777777" w:rsidTr="003420A9">
        <w:trPr>
          <w:trHeight w:val="300"/>
        </w:trPr>
        <w:tc>
          <w:tcPr>
            <w:tcW w:w="2438" w:type="dxa"/>
            <w:tcBorders>
              <w:top w:val="nil"/>
              <w:left w:val="single" w:sz="4" w:space="0" w:color="auto"/>
              <w:bottom w:val="nil"/>
              <w:right w:val="nil"/>
            </w:tcBorders>
            <w:shd w:val="clear" w:color="000000" w:fill="FFFFFF"/>
            <w:noWrap/>
            <w:vAlign w:val="bottom"/>
            <w:hideMark/>
          </w:tcPr>
          <w:p w14:paraId="6D7E92A7" w14:textId="77777777" w:rsidR="007E4739" w:rsidRPr="007E4739" w:rsidRDefault="007E4739" w:rsidP="007E4739">
            <w:pPr>
              <w:spacing w:after="0" w:line="240" w:lineRule="auto"/>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No response provided</w:t>
            </w:r>
          </w:p>
        </w:tc>
        <w:tc>
          <w:tcPr>
            <w:tcW w:w="960" w:type="dxa"/>
            <w:tcBorders>
              <w:top w:val="nil"/>
              <w:left w:val="single" w:sz="4" w:space="0" w:color="auto"/>
              <w:bottom w:val="nil"/>
              <w:right w:val="single" w:sz="4" w:space="0" w:color="auto"/>
            </w:tcBorders>
            <w:shd w:val="clear" w:color="000000" w:fill="FFFFFF"/>
            <w:noWrap/>
            <w:vAlign w:val="bottom"/>
            <w:hideMark/>
          </w:tcPr>
          <w:p w14:paraId="2BCD0495"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71.3%</w:t>
            </w:r>
          </w:p>
        </w:tc>
        <w:tc>
          <w:tcPr>
            <w:tcW w:w="960" w:type="dxa"/>
            <w:tcBorders>
              <w:top w:val="nil"/>
              <w:left w:val="nil"/>
              <w:bottom w:val="nil"/>
              <w:right w:val="nil"/>
            </w:tcBorders>
            <w:shd w:val="clear" w:color="000000" w:fill="FFFFFF"/>
            <w:noWrap/>
            <w:vAlign w:val="bottom"/>
            <w:hideMark/>
          </w:tcPr>
          <w:p w14:paraId="7335A1F7"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69.1%</w:t>
            </w:r>
          </w:p>
        </w:tc>
        <w:tc>
          <w:tcPr>
            <w:tcW w:w="960" w:type="dxa"/>
            <w:tcBorders>
              <w:top w:val="nil"/>
              <w:left w:val="single" w:sz="4" w:space="0" w:color="auto"/>
              <w:bottom w:val="nil"/>
              <w:right w:val="single" w:sz="4" w:space="0" w:color="auto"/>
            </w:tcBorders>
            <w:shd w:val="clear" w:color="000000" w:fill="FFFFFF"/>
            <w:noWrap/>
            <w:vAlign w:val="bottom"/>
            <w:hideMark/>
          </w:tcPr>
          <w:p w14:paraId="6B9378C3"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64.7%</w:t>
            </w:r>
          </w:p>
        </w:tc>
        <w:tc>
          <w:tcPr>
            <w:tcW w:w="960" w:type="dxa"/>
            <w:tcBorders>
              <w:top w:val="nil"/>
              <w:left w:val="nil"/>
              <w:bottom w:val="nil"/>
              <w:right w:val="nil"/>
            </w:tcBorders>
            <w:shd w:val="clear" w:color="000000" w:fill="FFFFFF"/>
            <w:noWrap/>
            <w:vAlign w:val="bottom"/>
            <w:hideMark/>
          </w:tcPr>
          <w:p w14:paraId="138CD0BF"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3723</w:t>
            </w:r>
          </w:p>
        </w:tc>
        <w:tc>
          <w:tcPr>
            <w:tcW w:w="960" w:type="dxa"/>
            <w:tcBorders>
              <w:top w:val="nil"/>
              <w:left w:val="nil"/>
              <w:bottom w:val="nil"/>
              <w:right w:val="nil"/>
            </w:tcBorders>
            <w:shd w:val="clear" w:color="000000" w:fill="FFFFFF"/>
            <w:noWrap/>
            <w:vAlign w:val="bottom"/>
            <w:hideMark/>
          </w:tcPr>
          <w:p w14:paraId="1C30E543"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58.0%</w:t>
            </w:r>
          </w:p>
        </w:tc>
        <w:tc>
          <w:tcPr>
            <w:tcW w:w="960" w:type="dxa"/>
            <w:tcBorders>
              <w:top w:val="nil"/>
              <w:left w:val="single" w:sz="4" w:space="0" w:color="auto"/>
              <w:bottom w:val="nil"/>
              <w:right w:val="nil"/>
            </w:tcBorders>
            <w:shd w:val="clear" w:color="000000" w:fill="FFFFFF"/>
            <w:noWrap/>
            <w:vAlign w:val="bottom"/>
            <w:hideMark/>
          </w:tcPr>
          <w:p w14:paraId="1AD805D2"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3316</w:t>
            </w:r>
          </w:p>
        </w:tc>
        <w:tc>
          <w:tcPr>
            <w:tcW w:w="960" w:type="dxa"/>
            <w:tcBorders>
              <w:top w:val="nil"/>
              <w:left w:val="nil"/>
              <w:bottom w:val="nil"/>
              <w:right w:val="single" w:sz="4" w:space="0" w:color="auto"/>
            </w:tcBorders>
            <w:shd w:val="clear" w:color="000000" w:fill="FFFFFF"/>
            <w:noWrap/>
            <w:vAlign w:val="bottom"/>
            <w:hideMark/>
          </w:tcPr>
          <w:p w14:paraId="6C6411E4"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51.9%</w:t>
            </w:r>
          </w:p>
        </w:tc>
        <w:tc>
          <w:tcPr>
            <w:tcW w:w="960" w:type="dxa"/>
            <w:tcBorders>
              <w:top w:val="nil"/>
              <w:left w:val="nil"/>
              <w:bottom w:val="nil"/>
              <w:right w:val="nil"/>
            </w:tcBorders>
            <w:shd w:val="clear" w:color="000000" w:fill="FFFFFF"/>
            <w:noWrap/>
            <w:vAlign w:val="bottom"/>
            <w:hideMark/>
          </w:tcPr>
          <w:p w14:paraId="560F5867"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2986</w:t>
            </w:r>
          </w:p>
        </w:tc>
        <w:tc>
          <w:tcPr>
            <w:tcW w:w="960" w:type="dxa"/>
            <w:tcBorders>
              <w:top w:val="nil"/>
              <w:left w:val="nil"/>
              <w:bottom w:val="nil"/>
              <w:right w:val="single" w:sz="4" w:space="0" w:color="auto"/>
            </w:tcBorders>
            <w:shd w:val="clear" w:color="000000" w:fill="FFFFFF"/>
            <w:noWrap/>
            <w:vAlign w:val="bottom"/>
            <w:hideMark/>
          </w:tcPr>
          <w:p w14:paraId="25BF5BEF"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45.4%</w:t>
            </w:r>
          </w:p>
        </w:tc>
        <w:tc>
          <w:tcPr>
            <w:tcW w:w="960" w:type="dxa"/>
            <w:tcBorders>
              <w:top w:val="nil"/>
              <w:left w:val="nil"/>
              <w:bottom w:val="nil"/>
              <w:right w:val="nil"/>
            </w:tcBorders>
            <w:shd w:val="clear" w:color="000000" w:fill="FFFFFF"/>
            <w:noWrap/>
            <w:vAlign w:val="bottom"/>
            <w:hideMark/>
          </w:tcPr>
          <w:p w14:paraId="3936A49C"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0055C4C6"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 </w:t>
            </w:r>
          </w:p>
        </w:tc>
      </w:tr>
      <w:tr w:rsidR="007E4739" w:rsidRPr="007E2527" w14:paraId="023CB41E" w14:textId="77777777" w:rsidTr="003420A9">
        <w:trPr>
          <w:trHeight w:val="315"/>
        </w:trPr>
        <w:tc>
          <w:tcPr>
            <w:tcW w:w="2438" w:type="dxa"/>
            <w:tcBorders>
              <w:top w:val="dotted" w:sz="4" w:space="0" w:color="auto"/>
              <w:left w:val="single" w:sz="4" w:space="0" w:color="auto"/>
              <w:bottom w:val="double" w:sz="6" w:space="0" w:color="auto"/>
              <w:right w:val="nil"/>
            </w:tcBorders>
            <w:shd w:val="clear" w:color="000000" w:fill="FFFFFF"/>
            <w:noWrap/>
            <w:vAlign w:val="bottom"/>
            <w:hideMark/>
          </w:tcPr>
          <w:p w14:paraId="15A5A2F3" w14:textId="77777777" w:rsidR="007E4739" w:rsidRPr="007E4739" w:rsidRDefault="007E4739" w:rsidP="007E4739">
            <w:pPr>
              <w:spacing w:after="0" w:line="240" w:lineRule="auto"/>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0E68F043"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AD605B7"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2FA63358"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60C862C"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6415</w:t>
            </w:r>
          </w:p>
        </w:tc>
        <w:tc>
          <w:tcPr>
            <w:tcW w:w="960" w:type="dxa"/>
            <w:tcBorders>
              <w:top w:val="dotted" w:sz="4" w:space="0" w:color="auto"/>
              <w:left w:val="nil"/>
              <w:bottom w:val="double" w:sz="6" w:space="0" w:color="auto"/>
              <w:right w:val="nil"/>
            </w:tcBorders>
            <w:shd w:val="clear" w:color="000000" w:fill="FFFFFF"/>
            <w:noWrap/>
            <w:vAlign w:val="bottom"/>
            <w:hideMark/>
          </w:tcPr>
          <w:p w14:paraId="7983F93B"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6FD55ED"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6395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FD64AED"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B053A2A"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6574</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29555D1"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60A16CD"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6241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19BB8B" w14:textId="77777777" w:rsidR="007E4739" w:rsidRPr="007E4739" w:rsidRDefault="007E4739" w:rsidP="007E473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7E4739">
              <w:rPr>
                <w:rFonts w:asciiTheme="minorHAnsi" w:eastAsia="Times New Roman" w:hAnsiTheme="minorHAnsi" w:cs="Times New Roman"/>
                <w:b/>
                <w:bCs/>
                <w:color w:val="000000"/>
                <w:kern w:val="0"/>
                <w:szCs w:val="22"/>
                <w:lang w:eastAsia="en-GB"/>
                <w14:ligatures w14:val="none"/>
              </w:rPr>
              <w:t>100%</w:t>
            </w:r>
          </w:p>
        </w:tc>
      </w:tr>
    </w:tbl>
    <w:p w14:paraId="43ECC204" w14:textId="210BE92C" w:rsidR="00AD459D" w:rsidRPr="007E2527" w:rsidRDefault="00AD459D" w:rsidP="00034E9A">
      <w:pPr>
        <w:rPr>
          <w:rFonts w:asciiTheme="minorHAnsi" w:hAnsiTheme="minorHAnsi"/>
          <w:b/>
          <w:bCs/>
          <w:szCs w:val="22"/>
        </w:rPr>
      </w:pPr>
    </w:p>
    <w:p w14:paraId="3408DCFF" w14:textId="2B59D319" w:rsidR="003920DB" w:rsidRPr="007E2527" w:rsidRDefault="003920DB" w:rsidP="00034E9A">
      <w:pPr>
        <w:rPr>
          <w:rFonts w:asciiTheme="minorHAnsi" w:hAnsiTheme="minorHAnsi"/>
          <w:szCs w:val="22"/>
        </w:rPr>
      </w:pPr>
      <w:r w:rsidRPr="007E2527">
        <w:rPr>
          <w:rFonts w:asciiTheme="minorHAnsi" w:hAnsiTheme="minorHAnsi"/>
          <w:szCs w:val="22"/>
        </w:rPr>
        <w:t>Note. From 2023, HESA no longer includes 'Gay man' and 'Gay woman/Lesbian' as separate categories and now uses one category 'Gay or lesbian'. For comparison purposes, data previously categorised as 'Gay man' or 'Gay woman/Lesbian' has been merged into 'Gay or lesbian' in this table.</w:t>
      </w:r>
    </w:p>
    <w:p w14:paraId="11D72454" w14:textId="77777777" w:rsidR="003920DB" w:rsidRDefault="003920DB" w:rsidP="00FB6475">
      <w:pPr>
        <w:spacing w:after="0"/>
        <w:rPr>
          <w:rFonts w:asciiTheme="minorHAnsi" w:hAnsiTheme="minorHAnsi"/>
          <w:szCs w:val="22"/>
        </w:rPr>
      </w:pPr>
    </w:p>
    <w:p w14:paraId="4A0E8055" w14:textId="77777777" w:rsidR="003420A9" w:rsidRPr="007E2527" w:rsidRDefault="003420A9" w:rsidP="00034E9A">
      <w:pPr>
        <w:rPr>
          <w:rFonts w:asciiTheme="minorHAnsi" w:hAnsiTheme="minorHAnsi"/>
          <w:szCs w:val="22"/>
        </w:rPr>
      </w:pPr>
    </w:p>
    <w:p w14:paraId="6B88FEF9" w14:textId="2DEE7CF2" w:rsidR="003920DB" w:rsidRPr="007E2527" w:rsidRDefault="00AE5195" w:rsidP="00AE5195">
      <w:pPr>
        <w:pStyle w:val="ListParagraph"/>
        <w:numPr>
          <w:ilvl w:val="2"/>
          <w:numId w:val="11"/>
        </w:numPr>
        <w:rPr>
          <w:rFonts w:asciiTheme="minorHAnsi" w:hAnsiTheme="minorHAnsi"/>
          <w:b/>
          <w:bCs/>
          <w:szCs w:val="22"/>
        </w:rPr>
      </w:pPr>
      <w:r w:rsidRPr="007E2527">
        <w:rPr>
          <w:rFonts w:asciiTheme="minorHAnsi" w:hAnsiTheme="minorHAnsi"/>
          <w:b/>
          <w:bCs/>
          <w:szCs w:val="22"/>
        </w:rPr>
        <w:t>All colleagues by sexual orientation and occupation, 2025 (N=6,241)</w:t>
      </w:r>
    </w:p>
    <w:tbl>
      <w:tblPr>
        <w:tblW w:w="7517" w:type="dxa"/>
        <w:tblLayout w:type="fixed"/>
        <w:tblLook w:val="04A0" w:firstRow="1" w:lastRow="0" w:firstColumn="1" w:lastColumn="0" w:noHBand="0" w:noVBand="1"/>
      </w:tblPr>
      <w:tblGrid>
        <w:gridCol w:w="1757"/>
        <w:gridCol w:w="960"/>
        <w:gridCol w:w="960"/>
        <w:gridCol w:w="960"/>
        <w:gridCol w:w="960"/>
        <w:gridCol w:w="960"/>
        <w:gridCol w:w="960"/>
      </w:tblGrid>
      <w:tr w:rsidR="00D068D9" w:rsidRPr="00D068D9" w14:paraId="7DE7D602" w14:textId="77777777" w:rsidTr="003420A9">
        <w:trPr>
          <w:trHeight w:val="300"/>
        </w:trPr>
        <w:tc>
          <w:tcPr>
            <w:tcW w:w="1757" w:type="dxa"/>
            <w:tcBorders>
              <w:top w:val="single" w:sz="4" w:space="0" w:color="auto"/>
              <w:left w:val="single" w:sz="4" w:space="0" w:color="auto"/>
              <w:bottom w:val="nil"/>
              <w:right w:val="nil"/>
            </w:tcBorders>
            <w:shd w:val="clear" w:color="000000" w:fill="FFFFFF"/>
            <w:noWrap/>
            <w:vAlign w:val="bottom"/>
            <w:hideMark/>
          </w:tcPr>
          <w:p w14:paraId="17AD7F32" w14:textId="77777777" w:rsidR="00D068D9" w:rsidRPr="00D068D9" w:rsidRDefault="00D068D9" w:rsidP="00D068D9">
            <w:pPr>
              <w:spacing w:after="0" w:line="240" w:lineRule="auto"/>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5F55BD4" w14:textId="77777777" w:rsidR="00D068D9" w:rsidRPr="00D068D9" w:rsidRDefault="00D068D9" w:rsidP="00D068D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0D0DCD5" w14:textId="77777777" w:rsidR="00D068D9" w:rsidRPr="00D068D9" w:rsidRDefault="00D068D9" w:rsidP="00D068D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47B4CB4B" w14:textId="77777777" w:rsidR="00D068D9" w:rsidRPr="00D068D9" w:rsidRDefault="00D068D9" w:rsidP="00D068D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PS</w:t>
            </w:r>
          </w:p>
        </w:tc>
      </w:tr>
      <w:tr w:rsidR="003420A9" w:rsidRPr="00D068D9" w14:paraId="1065BD68" w14:textId="77777777" w:rsidTr="003420A9">
        <w:trPr>
          <w:trHeight w:val="300"/>
        </w:trPr>
        <w:tc>
          <w:tcPr>
            <w:tcW w:w="1757" w:type="dxa"/>
            <w:tcBorders>
              <w:top w:val="nil"/>
              <w:left w:val="single" w:sz="4" w:space="0" w:color="auto"/>
              <w:bottom w:val="single" w:sz="4" w:space="0" w:color="auto"/>
              <w:right w:val="nil"/>
            </w:tcBorders>
            <w:shd w:val="clear" w:color="000000" w:fill="FFFFFF"/>
            <w:noWrap/>
            <w:vAlign w:val="bottom"/>
            <w:hideMark/>
          </w:tcPr>
          <w:p w14:paraId="4209FBCB"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140D7856"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3CE29B2"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722832D"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20F5CAC"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262E7C3"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761DCF0"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r>
      <w:tr w:rsidR="003420A9" w:rsidRPr="00D068D9" w14:paraId="1FC9CA8F"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2A1FE692"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24DD33D3"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648</w:t>
            </w:r>
          </w:p>
        </w:tc>
        <w:tc>
          <w:tcPr>
            <w:tcW w:w="960" w:type="dxa"/>
            <w:tcBorders>
              <w:top w:val="nil"/>
              <w:left w:val="nil"/>
              <w:bottom w:val="nil"/>
              <w:right w:val="single" w:sz="4" w:space="0" w:color="auto"/>
            </w:tcBorders>
            <w:shd w:val="clear" w:color="000000" w:fill="FFFFFF"/>
            <w:noWrap/>
            <w:vAlign w:val="bottom"/>
            <w:hideMark/>
          </w:tcPr>
          <w:p w14:paraId="5519F5C0"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34.8%</w:t>
            </w:r>
          </w:p>
        </w:tc>
        <w:tc>
          <w:tcPr>
            <w:tcW w:w="960" w:type="dxa"/>
            <w:tcBorders>
              <w:top w:val="nil"/>
              <w:left w:val="nil"/>
              <w:bottom w:val="nil"/>
              <w:right w:val="nil"/>
            </w:tcBorders>
            <w:shd w:val="clear" w:color="000000" w:fill="FFFFFF"/>
            <w:noWrap/>
            <w:vAlign w:val="bottom"/>
            <w:hideMark/>
          </w:tcPr>
          <w:p w14:paraId="5FF5A742"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537</w:t>
            </w:r>
          </w:p>
        </w:tc>
        <w:tc>
          <w:tcPr>
            <w:tcW w:w="960" w:type="dxa"/>
            <w:tcBorders>
              <w:top w:val="nil"/>
              <w:left w:val="nil"/>
              <w:bottom w:val="nil"/>
              <w:right w:val="single" w:sz="4" w:space="0" w:color="auto"/>
            </w:tcBorders>
            <w:shd w:val="clear" w:color="000000" w:fill="FFFFFF"/>
            <w:noWrap/>
            <w:vAlign w:val="bottom"/>
            <w:hideMark/>
          </w:tcPr>
          <w:p w14:paraId="6E1E6704"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53.7%</w:t>
            </w:r>
          </w:p>
        </w:tc>
        <w:tc>
          <w:tcPr>
            <w:tcW w:w="960" w:type="dxa"/>
            <w:tcBorders>
              <w:top w:val="nil"/>
              <w:left w:val="nil"/>
              <w:bottom w:val="nil"/>
              <w:right w:val="nil"/>
            </w:tcBorders>
            <w:shd w:val="clear" w:color="000000" w:fill="FFFFFF"/>
            <w:noWrap/>
            <w:vAlign w:val="bottom"/>
            <w:hideMark/>
          </w:tcPr>
          <w:p w14:paraId="1F62EEB4"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1627</w:t>
            </w:r>
          </w:p>
        </w:tc>
        <w:tc>
          <w:tcPr>
            <w:tcW w:w="960" w:type="dxa"/>
            <w:tcBorders>
              <w:top w:val="nil"/>
              <w:left w:val="nil"/>
              <w:bottom w:val="nil"/>
              <w:right w:val="single" w:sz="4" w:space="0" w:color="auto"/>
            </w:tcBorders>
            <w:shd w:val="clear" w:color="000000" w:fill="FFFFFF"/>
            <w:noWrap/>
            <w:vAlign w:val="bottom"/>
            <w:hideMark/>
          </w:tcPr>
          <w:p w14:paraId="316C38BF"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48.1%</w:t>
            </w:r>
          </w:p>
        </w:tc>
      </w:tr>
      <w:tr w:rsidR="003420A9" w:rsidRPr="00D068D9" w14:paraId="7F5E65E4"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1B6C9B41"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308CD525"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78</w:t>
            </w:r>
          </w:p>
        </w:tc>
        <w:tc>
          <w:tcPr>
            <w:tcW w:w="960" w:type="dxa"/>
            <w:tcBorders>
              <w:top w:val="nil"/>
              <w:left w:val="nil"/>
              <w:bottom w:val="nil"/>
              <w:right w:val="single" w:sz="4" w:space="0" w:color="auto"/>
            </w:tcBorders>
            <w:shd w:val="clear" w:color="000000" w:fill="FFFFFF"/>
            <w:noWrap/>
            <w:vAlign w:val="bottom"/>
            <w:hideMark/>
          </w:tcPr>
          <w:p w14:paraId="25D9BFB0"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nil"/>
            </w:tcBorders>
            <w:shd w:val="clear" w:color="000000" w:fill="FFFFFF"/>
            <w:noWrap/>
            <w:vAlign w:val="bottom"/>
            <w:hideMark/>
          </w:tcPr>
          <w:p w14:paraId="2D9B9536"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85</w:t>
            </w:r>
          </w:p>
        </w:tc>
        <w:tc>
          <w:tcPr>
            <w:tcW w:w="960" w:type="dxa"/>
            <w:tcBorders>
              <w:top w:val="nil"/>
              <w:left w:val="nil"/>
              <w:bottom w:val="nil"/>
              <w:right w:val="single" w:sz="4" w:space="0" w:color="auto"/>
            </w:tcBorders>
            <w:shd w:val="clear" w:color="000000" w:fill="FFFFFF"/>
            <w:noWrap/>
            <w:vAlign w:val="bottom"/>
            <w:hideMark/>
          </w:tcPr>
          <w:p w14:paraId="44B7FD07"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8.5%</w:t>
            </w:r>
          </w:p>
        </w:tc>
        <w:tc>
          <w:tcPr>
            <w:tcW w:w="960" w:type="dxa"/>
            <w:tcBorders>
              <w:top w:val="nil"/>
              <w:left w:val="nil"/>
              <w:bottom w:val="nil"/>
              <w:right w:val="nil"/>
            </w:tcBorders>
            <w:shd w:val="clear" w:color="000000" w:fill="FFFFFF"/>
            <w:noWrap/>
            <w:vAlign w:val="bottom"/>
            <w:hideMark/>
          </w:tcPr>
          <w:p w14:paraId="6172C929"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174</w:t>
            </w:r>
          </w:p>
        </w:tc>
        <w:tc>
          <w:tcPr>
            <w:tcW w:w="960" w:type="dxa"/>
            <w:tcBorders>
              <w:top w:val="nil"/>
              <w:left w:val="nil"/>
              <w:bottom w:val="nil"/>
              <w:right w:val="single" w:sz="4" w:space="0" w:color="auto"/>
            </w:tcBorders>
            <w:shd w:val="clear" w:color="000000" w:fill="FFFFFF"/>
            <w:noWrap/>
            <w:vAlign w:val="bottom"/>
            <w:hideMark/>
          </w:tcPr>
          <w:p w14:paraId="0B9C1F03"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5.1%</w:t>
            </w:r>
          </w:p>
        </w:tc>
      </w:tr>
      <w:tr w:rsidR="003420A9" w:rsidRPr="00D068D9" w14:paraId="453344AD"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6377D7AF"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79A3828"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1134</w:t>
            </w:r>
          </w:p>
        </w:tc>
        <w:tc>
          <w:tcPr>
            <w:tcW w:w="960" w:type="dxa"/>
            <w:tcBorders>
              <w:top w:val="nil"/>
              <w:left w:val="nil"/>
              <w:bottom w:val="nil"/>
              <w:right w:val="single" w:sz="4" w:space="0" w:color="auto"/>
            </w:tcBorders>
            <w:shd w:val="clear" w:color="000000" w:fill="FFFFFF"/>
            <w:noWrap/>
            <w:vAlign w:val="bottom"/>
            <w:hideMark/>
          </w:tcPr>
          <w:p w14:paraId="4269195E"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61.0%</w:t>
            </w:r>
          </w:p>
        </w:tc>
        <w:tc>
          <w:tcPr>
            <w:tcW w:w="960" w:type="dxa"/>
            <w:tcBorders>
              <w:top w:val="nil"/>
              <w:left w:val="nil"/>
              <w:bottom w:val="nil"/>
              <w:right w:val="nil"/>
            </w:tcBorders>
            <w:shd w:val="clear" w:color="000000" w:fill="FFFFFF"/>
            <w:noWrap/>
            <w:vAlign w:val="bottom"/>
            <w:hideMark/>
          </w:tcPr>
          <w:p w14:paraId="54FF05E3"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378</w:t>
            </w:r>
          </w:p>
        </w:tc>
        <w:tc>
          <w:tcPr>
            <w:tcW w:w="960" w:type="dxa"/>
            <w:tcBorders>
              <w:top w:val="nil"/>
              <w:left w:val="nil"/>
              <w:bottom w:val="nil"/>
              <w:right w:val="single" w:sz="4" w:space="0" w:color="auto"/>
            </w:tcBorders>
            <w:shd w:val="clear" w:color="000000" w:fill="FFFFFF"/>
            <w:noWrap/>
            <w:vAlign w:val="bottom"/>
            <w:hideMark/>
          </w:tcPr>
          <w:p w14:paraId="5691AE07"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37.8%</w:t>
            </w:r>
          </w:p>
        </w:tc>
        <w:tc>
          <w:tcPr>
            <w:tcW w:w="960" w:type="dxa"/>
            <w:tcBorders>
              <w:top w:val="nil"/>
              <w:left w:val="nil"/>
              <w:bottom w:val="nil"/>
              <w:right w:val="nil"/>
            </w:tcBorders>
            <w:shd w:val="clear" w:color="000000" w:fill="FFFFFF"/>
            <w:noWrap/>
            <w:vAlign w:val="bottom"/>
            <w:hideMark/>
          </w:tcPr>
          <w:p w14:paraId="2DCE3735"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1580</w:t>
            </w:r>
          </w:p>
        </w:tc>
        <w:tc>
          <w:tcPr>
            <w:tcW w:w="960" w:type="dxa"/>
            <w:tcBorders>
              <w:top w:val="nil"/>
              <w:left w:val="nil"/>
              <w:bottom w:val="nil"/>
              <w:right w:val="single" w:sz="4" w:space="0" w:color="auto"/>
            </w:tcBorders>
            <w:shd w:val="clear" w:color="000000" w:fill="FFFFFF"/>
            <w:noWrap/>
            <w:vAlign w:val="bottom"/>
            <w:hideMark/>
          </w:tcPr>
          <w:p w14:paraId="5B28BEF9"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46.7%</w:t>
            </w:r>
          </w:p>
        </w:tc>
      </w:tr>
      <w:tr w:rsidR="003420A9" w:rsidRPr="00D068D9" w14:paraId="051C6D3C" w14:textId="77777777" w:rsidTr="003420A9">
        <w:trPr>
          <w:trHeight w:val="315"/>
        </w:trPr>
        <w:tc>
          <w:tcPr>
            <w:tcW w:w="1757" w:type="dxa"/>
            <w:tcBorders>
              <w:top w:val="dotted" w:sz="4" w:space="0" w:color="auto"/>
              <w:left w:val="single" w:sz="4" w:space="0" w:color="auto"/>
              <w:bottom w:val="double" w:sz="6" w:space="0" w:color="auto"/>
              <w:right w:val="nil"/>
            </w:tcBorders>
            <w:shd w:val="clear" w:color="000000" w:fill="FFFFFF"/>
            <w:noWrap/>
            <w:vAlign w:val="bottom"/>
            <w:hideMark/>
          </w:tcPr>
          <w:p w14:paraId="5ADE821A" w14:textId="77777777" w:rsidR="00D068D9" w:rsidRPr="00D068D9" w:rsidRDefault="00D068D9" w:rsidP="00D068D9">
            <w:pPr>
              <w:spacing w:after="0" w:line="240" w:lineRule="auto"/>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253216CF"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1860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DA1C43E"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1F2251D"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18691EB"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298A9AD"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3381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5B252B9"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w:t>
            </w:r>
          </w:p>
        </w:tc>
      </w:tr>
    </w:tbl>
    <w:p w14:paraId="6CACC1A8" w14:textId="77777777" w:rsidR="00542531" w:rsidRPr="00542531" w:rsidRDefault="00542531" w:rsidP="00542531">
      <w:pPr>
        <w:rPr>
          <w:rFonts w:asciiTheme="minorHAnsi" w:hAnsiTheme="minorHAnsi"/>
          <w:b/>
          <w:bCs/>
          <w:szCs w:val="22"/>
        </w:rPr>
      </w:pPr>
    </w:p>
    <w:p w14:paraId="6D8CB654" w14:textId="1B06BDD1" w:rsidR="00AE5195" w:rsidRPr="007E2527" w:rsidRDefault="00AC0829" w:rsidP="00AE5195">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sexual orientation and job family, 2025 (n=3,381)</w:t>
      </w:r>
    </w:p>
    <w:tbl>
      <w:tblPr>
        <w:tblW w:w="9437" w:type="dxa"/>
        <w:tblLayout w:type="fixed"/>
        <w:tblLook w:val="04A0" w:firstRow="1" w:lastRow="0" w:firstColumn="1" w:lastColumn="0" w:noHBand="0" w:noVBand="1"/>
      </w:tblPr>
      <w:tblGrid>
        <w:gridCol w:w="1757"/>
        <w:gridCol w:w="960"/>
        <w:gridCol w:w="960"/>
        <w:gridCol w:w="960"/>
        <w:gridCol w:w="960"/>
        <w:gridCol w:w="960"/>
        <w:gridCol w:w="960"/>
        <w:gridCol w:w="960"/>
        <w:gridCol w:w="960"/>
      </w:tblGrid>
      <w:tr w:rsidR="00D068D9" w:rsidRPr="00D068D9" w14:paraId="11D8A626" w14:textId="77777777" w:rsidTr="003420A9">
        <w:trPr>
          <w:trHeight w:val="300"/>
        </w:trPr>
        <w:tc>
          <w:tcPr>
            <w:tcW w:w="1757" w:type="dxa"/>
            <w:tcBorders>
              <w:top w:val="single" w:sz="4" w:space="0" w:color="auto"/>
              <w:left w:val="single" w:sz="4" w:space="0" w:color="auto"/>
              <w:bottom w:val="nil"/>
              <w:right w:val="nil"/>
            </w:tcBorders>
            <w:shd w:val="clear" w:color="000000" w:fill="FFFFFF"/>
            <w:noWrap/>
            <w:vAlign w:val="bottom"/>
            <w:hideMark/>
          </w:tcPr>
          <w:p w14:paraId="2D089FB5" w14:textId="77777777" w:rsidR="00D068D9" w:rsidRPr="00D068D9" w:rsidRDefault="00D068D9" w:rsidP="00D068D9">
            <w:pPr>
              <w:spacing w:after="0" w:line="240" w:lineRule="auto"/>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EE39F39" w14:textId="77777777" w:rsidR="00D068D9" w:rsidRPr="00D068D9" w:rsidRDefault="00D068D9" w:rsidP="00D068D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Administrative</w:t>
            </w:r>
          </w:p>
        </w:tc>
        <w:tc>
          <w:tcPr>
            <w:tcW w:w="1920" w:type="dxa"/>
            <w:gridSpan w:val="2"/>
            <w:tcBorders>
              <w:top w:val="single" w:sz="4" w:space="0" w:color="auto"/>
              <w:left w:val="nil"/>
              <w:bottom w:val="nil"/>
              <w:right w:val="nil"/>
            </w:tcBorders>
            <w:shd w:val="clear" w:color="000000" w:fill="FFFFFF"/>
            <w:noWrap/>
            <w:vAlign w:val="bottom"/>
            <w:hideMark/>
          </w:tcPr>
          <w:p w14:paraId="3D601796" w14:textId="77777777" w:rsidR="00D068D9" w:rsidRPr="00D068D9" w:rsidRDefault="00D068D9" w:rsidP="00D068D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Maintenance</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A75B314" w14:textId="77777777" w:rsidR="00D068D9" w:rsidRPr="00D068D9" w:rsidRDefault="00D068D9" w:rsidP="00D068D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Operational</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063DB17" w14:textId="77777777" w:rsidR="00D068D9" w:rsidRPr="00D068D9" w:rsidRDefault="00D068D9" w:rsidP="00D068D9">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Specialist</w:t>
            </w:r>
          </w:p>
        </w:tc>
      </w:tr>
      <w:tr w:rsidR="00D068D9" w:rsidRPr="007E2527" w14:paraId="362D4DC3" w14:textId="77777777" w:rsidTr="003420A9">
        <w:trPr>
          <w:trHeight w:val="300"/>
        </w:trPr>
        <w:tc>
          <w:tcPr>
            <w:tcW w:w="1757" w:type="dxa"/>
            <w:tcBorders>
              <w:top w:val="nil"/>
              <w:left w:val="single" w:sz="4" w:space="0" w:color="auto"/>
              <w:bottom w:val="single" w:sz="4" w:space="0" w:color="auto"/>
              <w:right w:val="nil"/>
            </w:tcBorders>
            <w:shd w:val="clear" w:color="000000" w:fill="FFFFFF"/>
            <w:noWrap/>
            <w:vAlign w:val="bottom"/>
            <w:hideMark/>
          </w:tcPr>
          <w:p w14:paraId="3F6ABA67"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7C7DC4E8"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FF7F33C"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63B47D8"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B401DD6"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5C55197"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DD7E632"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EA6EBED"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4B59BF8" w14:textId="77777777" w:rsidR="00D068D9" w:rsidRPr="00D068D9" w:rsidRDefault="00D068D9" w:rsidP="00D068D9">
            <w:pPr>
              <w:spacing w:after="0" w:line="240" w:lineRule="auto"/>
              <w:jc w:val="center"/>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r>
      <w:tr w:rsidR="00D068D9" w:rsidRPr="007E2527" w14:paraId="034CE0C5"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030D156C"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27FB9312"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1121</w:t>
            </w:r>
          </w:p>
        </w:tc>
        <w:tc>
          <w:tcPr>
            <w:tcW w:w="960" w:type="dxa"/>
            <w:tcBorders>
              <w:top w:val="nil"/>
              <w:left w:val="nil"/>
              <w:bottom w:val="nil"/>
              <w:right w:val="single" w:sz="4" w:space="0" w:color="auto"/>
            </w:tcBorders>
            <w:shd w:val="clear" w:color="000000" w:fill="FFFFFF"/>
            <w:noWrap/>
            <w:vAlign w:val="bottom"/>
            <w:hideMark/>
          </w:tcPr>
          <w:p w14:paraId="7945F447"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49.5%</w:t>
            </w:r>
          </w:p>
        </w:tc>
        <w:tc>
          <w:tcPr>
            <w:tcW w:w="960" w:type="dxa"/>
            <w:tcBorders>
              <w:top w:val="nil"/>
              <w:left w:val="nil"/>
              <w:bottom w:val="nil"/>
              <w:right w:val="nil"/>
            </w:tcBorders>
            <w:shd w:val="clear" w:color="000000" w:fill="FFFFFF"/>
            <w:noWrap/>
            <w:vAlign w:val="bottom"/>
            <w:hideMark/>
          </w:tcPr>
          <w:p w14:paraId="0BB9375D"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5B8DB018"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31.1%</w:t>
            </w:r>
          </w:p>
        </w:tc>
        <w:tc>
          <w:tcPr>
            <w:tcW w:w="960" w:type="dxa"/>
            <w:tcBorders>
              <w:top w:val="nil"/>
              <w:left w:val="nil"/>
              <w:bottom w:val="nil"/>
              <w:right w:val="nil"/>
            </w:tcBorders>
            <w:shd w:val="clear" w:color="000000" w:fill="FFFFFF"/>
            <w:noWrap/>
            <w:vAlign w:val="bottom"/>
            <w:hideMark/>
          </w:tcPr>
          <w:p w14:paraId="65A9633B"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234</w:t>
            </w:r>
          </w:p>
        </w:tc>
        <w:tc>
          <w:tcPr>
            <w:tcW w:w="960" w:type="dxa"/>
            <w:tcBorders>
              <w:top w:val="nil"/>
              <w:left w:val="nil"/>
              <w:bottom w:val="nil"/>
              <w:right w:val="single" w:sz="4" w:space="0" w:color="auto"/>
            </w:tcBorders>
            <w:shd w:val="clear" w:color="000000" w:fill="FFFFFF"/>
            <w:noWrap/>
            <w:vAlign w:val="bottom"/>
            <w:hideMark/>
          </w:tcPr>
          <w:p w14:paraId="2E50B875"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47.3%</w:t>
            </w:r>
          </w:p>
        </w:tc>
        <w:tc>
          <w:tcPr>
            <w:tcW w:w="960" w:type="dxa"/>
            <w:tcBorders>
              <w:top w:val="nil"/>
              <w:left w:val="nil"/>
              <w:bottom w:val="nil"/>
              <w:right w:val="nil"/>
            </w:tcBorders>
            <w:shd w:val="clear" w:color="000000" w:fill="FFFFFF"/>
            <w:noWrap/>
            <w:vAlign w:val="bottom"/>
            <w:hideMark/>
          </w:tcPr>
          <w:p w14:paraId="69C13B2A"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253</w:t>
            </w:r>
          </w:p>
        </w:tc>
        <w:tc>
          <w:tcPr>
            <w:tcW w:w="960" w:type="dxa"/>
            <w:tcBorders>
              <w:top w:val="nil"/>
              <w:left w:val="nil"/>
              <w:bottom w:val="nil"/>
              <w:right w:val="single" w:sz="4" w:space="0" w:color="auto"/>
            </w:tcBorders>
            <w:shd w:val="clear" w:color="000000" w:fill="FFFFFF"/>
            <w:noWrap/>
            <w:vAlign w:val="bottom"/>
            <w:hideMark/>
          </w:tcPr>
          <w:p w14:paraId="3507B238"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45.0%</w:t>
            </w:r>
          </w:p>
        </w:tc>
      </w:tr>
      <w:tr w:rsidR="00D068D9" w:rsidRPr="007E2527" w14:paraId="076C16E7"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3757918D"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3577999B"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133</w:t>
            </w:r>
          </w:p>
        </w:tc>
        <w:tc>
          <w:tcPr>
            <w:tcW w:w="960" w:type="dxa"/>
            <w:tcBorders>
              <w:top w:val="nil"/>
              <w:left w:val="nil"/>
              <w:bottom w:val="nil"/>
              <w:right w:val="single" w:sz="4" w:space="0" w:color="auto"/>
            </w:tcBorders>
            <w:shd w:val="clear" w:color="000000" w:fill="FFFFFF"/>
            <w:noWrap/>
            <w:vAlign w:val="bottom"/>
            <w:hideMark/>
          </w:tcPr>
          <w:p w14:paraId="484C8F72"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5.9%</w:t>
            </w:r>
          </w:p>
        </w:tc>
        <w:tc>
          <w:tcPr>
            <w:tcW w:w="960" w:type="dxa"/>
            <w:tcBorders>
              <w:top w:val="nil"/>
              <w:left w:val="nil"/>
              <w:bottom w:val="nil"/>
              <w:right w:val="nil"/>
            </w:tcBorders>
            <w:shd w:val="clear" w:color="000000" w:fill="FFFFFF"/>
            <w:noWrap/>
            <w:vAlign w:val="bottom"/>
            <w:hideMark/>
          </w:tcPr>
          <w:p w14:paraId="3C27F4D6"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3E88936"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AE4C3CB"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12</w:t>
            </w:r>
          </w:p>
        </w:tc>
        <w:tc>
          <w:tcPr>
            <w:tcW w:w="960" w:type="dxa"/>
            <w:tcBorders>
              <w:top w:val="nil"/>
              <w:left w:val="nil"/>
              <w:bottom w:val="nil"/>
              <w:right w:val="single" w:sz="4" w:space="0" w:color="auto"/>
            </w:tcBorders>
            <w:shd w:val="clear" w:color="000000" w:fill="FFFFFF"/>
            <w:noWrap/>
            <w:vAlign w:val="bottom"/>
            <w:hideMark/>
          </w:tcPr>
          <w:p w14:paraId="65382127"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nil"/>
            </w:tcBorders>
            <w:shd w:val="clear" w:color="000000" w:fill="FFFFFF"/>
            <w:noWrap/>
            <w:vAlign w:val="bottom"/>
            <w:hideMark/>
          </w:tcPr>
          <w:p w14:paraId="355CD047"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28</w:t>
            </w:r>
          </w:p>
        </w:tc>
        <w:tc>
          <w:tcPr>
            <w:tcW w:w="960" w:type="dxa"/>
            <w:tcBorders>
              <w:top w:val="nil"/>
              <w:left w:val="nil"/>
              <w:bottom w:val="nil"/>
              <w:right w:val="single" w:sz="4" w:space="0" w:color="auto"/>
            </w:tcBorders>
            <w:shd w:val="clear" w:color="000000" w:fill="FFFFFF"/>
            <w:noWrap/>
            <w:vAlign w:val="bottom"/>
            <w:hideMark/>
          </w:tcPr>
          <w:p w14:paraId="44AEF7FA"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5.0%</w:t>
            </w:r>
          </w:p>
        </w:tc>
      </w:tr>
      <w:tr w:rsidR="00D068D9" w:rsidRPr="007E2527" w14:paraId="2A73A513"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58B750AB" w14:textId="77777777" w:rsidR="00D068D9" w:rsidRPr="00D068D9" w:rsidRDefault="00D068D9" w:rsidP="00D068D9">
            <w:pPr>
              <w:spacing w:after="0" w:line="240" w:lineRule="auto"/>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B9E852B"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1009</w:t>
            </w:r>
          </w:p>
        </w:tc>
        <w:tc>
          <w:tcPr>
            <w:tcW w:w="960" w:type="dxa"/>
            <w:tcBorders>
              <w:top w:val="nil"/>
              <w:left w:val="nil"/>
              <w:bottom w:val="nil"/>
              <w:right w:val="single" w:sz="4" w:space="0" w:color="auto"/>
            </w:tcBorders>
            <w:shd w:val="clear" w:color="000000" w:fill="FFFFFF"/>
            <w:noWrap/>
            <w:vAlign w:val="bottom"/>
            <w:hideMark/>
          </w:tcPr>
          <w:p w14:paraId="5B677C51"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44.6%</w:t>
            </w:r>
          </w:p>
        </w:tc>
        <w:tc>
          <w:tcPr>
            <w:tcW w:w="960" w:type="dxa"/>
            <w:tcBorders>
              <w:top w:val="nil"/>
              <w:left w:val="nil"/>
              <w:bottom w:val="nil"/>
              <w:right w:val="nil"/>
            </w:tcBorders>
            <w:shd w:val="clear" w:color="000000" w:fill="FFFFFF"/>
            <w:noWrap/>
            <w:vAlign w:val="bottom"/>
            <w:hideMark/>
          </w:tcPr>
          <w:p w14:paraId="2C190405"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41</w:t>
            </w:r>
          </w:p>
        </w:tc>
        <w:tc>
          <w:tcPr>
            <w:tcW w:w="960" w:type="dxa"/>
            <w:tcBorders>
              <w:top w:val="nil"/>
              <w:left w:val="nil"/>
              <w:bottom w:val="nil"/>
              <w:right w:val="single" w:sz="4" w:space="0" w:color="auto"/>
            </w:tcBorders>
            <w:shd w:val="clear" w:color="000000" w:fill="FFFFFF"/>
            <w:noWrap/>
            <w:vAlign w:val="bottom"/>
            <w:hideMark/>
          </w:tcPr>
          <w:p w14:paraId="56BC106D"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67.2%</w:t>
            </w:r>
          </w:p>
        </w:tc>
        <w:tc>
          <w:tcPr>
            <w:tcW w:w="960" w:type="dxa"/>
            <w:tcBorders>
              <w:top w:val="nil"/>
              <w:left w:val="nil"/>
              <w:bottom w:val="nil"/>
              <w:right w:val="nil"/>
            </w:tcBorders>
            <w:shd w:val="clear" w:color="000000" w:fill="FFFFFF"/>
            <w:noWrap/>
            <w:vAlign w:val="bottom"/>
            <w:hideMark/>
          </w:tcPr>
          <w:p w14:paraId="07CF12EC"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249</w:t>
            </w:r>
          </w:p>
        </w:tc>
        <w:tc>
          <w:tcPr>
            <w:tcW w:w="960" w:type="dxa"/>
            <w:tcBorders>
              <w:top w:val="nil"/>
              <w:left w:val="nil"/>
              <w:bottom w:val="nil"/>
              <w:right w:val="single" w:sz="4" w:space="0" w:color="auto"/>
            </w:tcBorders>
            <w:shd w:val="clear" w:color="000000" w:fill="FFFFFF"/>
            <w:noWrap/>
            <w:vAlign w:val="bottom"/>
            <w:hideMark/>
          </w:tcPr>
          <w:p w14:paraId="2E159BBC"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50.3%</w:t>
            </w:r>
          </w:p>
        </w:tc>
        <w:tc>
          <w:tcPr>
            <w:tcW w:w="960" w:type="dxa"/>
            <w:tcBorders>
              <w:top w:val="nil"/>
              <w:left w:val="nil"/>
              <w:bottom w:val="nil"/>
              <w:right w:val="nil"/>
            </w:tcBorders>
            <w:shd w:val="clear" w:color="000000" w:fill="FFFFFF"/>
            <w:noWrap/>
            <w:vAlign w:val="bottom"/>
            <w:hideMark/>
          </w:tcPr>
          <w:p w14:paraId="0E045763"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281</w:t>
            </w:r>
          </w:p>
        </w:tc>
        <w:tc>
          <w:tcPr>
            <w:tcW w:w="960" w:type="dxa"/>
            <w:tcBorders>
              <w:top w:val="nil"/>
              <w:left w:val="nil"/>
              <w:bottom w:val="nil"/>
              <w:right w:val="single" w:sz="4" w:space="0" w:color="auto"/>
            </w:tcBorders>
            <w:shd w:val="clear" w:color="000000" w:fill="FFFFFF"/>
            <w:noWrap/>
            <w:vAlign w:val="bottom"/>
            <w:hideMark/>
          </w:tcPr>
          <w:p w14:paraId="57992D81" w14:textId="77777777" w:rsidR="00D068D9" w:rsidRPr="00D068D9" w:rsidRDefault="00D068D9" w:rsidP="00D068D9">
            <w:pPr>
              <w:spacing w:after="0" w:line="240" w:lineRule="auto"/>
              <w:jc w:val="right"/>
              <w:rPr>
                <w:rFonts w:asciiTheme="minorHAnsi" w:eastAsia="Times New Roman" w:hAnsiTheme="minorHAnsi" w:cs="Times New Roman"/>
                <w:color w:val="000000"/>
                <w:kern w:val="0"/>
                <w:szCs w:val="22"/>
                <w:lang w:eastAsia="en-GB"/>
                <w14:ligatures w14:val="none"/>
              </w:rPr>
            </w:pPr>
            <w:r w:rsidRPr="00D068D9">
              <w:rPr>
                <w:rFonts w:asciiTheme="minorHAnsi" w:eastAsia="Times New Roman" w:hAnsiTheme="minorHAnsi" w:cs="Times New Roman"/>
                <w:color w:val="000000"/>
                <w:kern w:val="0"/>
                <w:szCs w:val="22"/>
                <w:lang w:eastAsia="en-GB"/>
                <w14:ligatures w14:val="none"/>
              </w:rPr>
              <w:t>50.0%</w:t>
            </w:r>
          </w:p>
        </w:tc>
      </w:tr>
      <w:tr w:rsidR="00D068D9" w:rsidRPr="007E2527" w14:paraId="35561A13" w14:textId="77777777" w:rsidTr="003420A9">
        <w:trPr>
          <w:trHeight w:val="315"/>
        </w:trPr>
        <w:tc>
          <w:tcPr>
            <w:tcW w:w="1757" w:type="dxa"/>
            <w:tcBorders>
              <w:top w:val="dotted" w:sz="4" w:space="0" w:color="auto"/>
              <w:left w:val="single" w:sz="4" w:space="0" w:color="auto"/>
              <w:bottom w:val="double" w:sz="6" w:space="0" w:color="auto"/>
              <w:right w:val="nil"/>
            </w:tcBorders>
            <w:shd w:val="clear" w:color="000000" w:fill="FFFFFF"/>
            <w:noWrap/>
            <w:vAlign w:val="bottom"/>
            <w:hideMark/>
          </w:tcPr>
          <w:p w14:paraId="3190A35E" w14:textId="77777777" w:rsidR="00D068D9" w:rsidRPr="00D068D9" w:rsidRDefault="00D068D9" w:rsidP="00D068D9">
            <w:pPr>
              <w:spacing w:after="0" w:line="240" w:lineRule="auto"/>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4D82258"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2263</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2AA519A"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B094D4D"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61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4EE739F8"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7A7C560"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495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A4BA508"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306DD60"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562</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96791EE" w14:textId="77777777" w:rsidR="00D068D9" w:rsidRPr="00D068D9" w:rsidRDefault="00D068D9" w:rsidP="00D068D9">
            <w:pPr>
              <w:spacing w:after="0" w:line="240" w:lineRule="auto"/>
              <w:jc w:val="right"/>
              <w:rPr>
                <w:rFonts w:asciiTheme="minorHAnsi" w:eastAsia="Times New Roman" w:hAnsiTheme="minorHAnsi" w:cs="Times New Roman"/>
                <w:b/>
                <w:bCs/>
                <w:color w:val="000000"/>
                <w:kern w:val="0"/>
                <w:szCs w:val="22"/>
                <w:lang w:eastAsia="en-GB"/>
                <w14:ligatures w14:val="none"/>
              </w:rPr>
            </w:pPr>
            <w:r w:rsidRPr="00D068D9">
              <w:rPr>
                <w:rFonts w:asciiTheme="minorHAnsi" w:eastAsia="Times New Roman" w:hAnsiTheme="minorHAnsi" w:cs="Times New Roman"/>
                <w:b/>
                <w:bCs/>
                <w:color w:val="000000"/>
                <w:kern w:val="0"/>
                <w:szCs w:val="22"/>
                <w:lang w:eastAsia="en-GB"/>
                <w14:ligatures w14:val="none"/>
              </w:rPr>
              <w:t>100%</w:t>
            </w:r>
          </w:p>
        </w:tc>
      </w:tr>
    </w:tbl>
    <w:p w14:paraId="15474499" w14:textId="77777777" w:rsidR="00AC0829" w:rsidRDefault="00AC0829" w:rsidP="00AC0829">
      <w:pPr>
        <w:rPr>
          <w:rFonts w:asciiTheme="minorHAnsi" w:hAnsiTheme="minorHAnsi"/>
          <w:b/>
          <w:bCs/>
          <w:szCs w:val="22"/>
        </w:rPr>
      </w:pPr>
    </w:p>
    <w:p w14:paraId="2B76B87F" w14:textId="77777777" w:rsidR="003420A9" w:rsidRPr="007E2527" w:rsidRDefault="003420A9" w:rsidP="00AC0829">
      <w:pPr>
        <w:rPr>
          <w:rFonts w:asciiTheme="minorHAnsi" w:hAnsiTheme="minorHAnsi"/>
          <w:b/>
          <w:bCs/>
          <w:szCs w:val="22"/>
        </w:rPr>
      </w:pPr>
    </w:p>
    <w:p w14:paraId="4E59DA45" w14:textId="157238C5" w:rsidR="00AC0829" w:rsidRPr="007E2527" w:rsidRDefault="00AC0829" w:rsidP="00AC0829">
      <w:pPr>
        <w:pStyle w:val="ListParagraph"/>
        <w:numPr>
          <w:ilvl w:val="2"/>
          <w:numId w:val="11"/>
        </w:numPr>
        <w:rPr>
          <w:rFonts w:asciiTheme="minorHAnsi" w:hAnsiTheme="minorHAnsi"/>
          <w:b/>
          <w:bCs/>
          <w:szCs w:val="22"/>
        </w:rPr>
      </w:pPr>
      <w:r w:rsidRPr="007E2527">
        <w:rPr>
          <w:rFonts w:asciiTheme="minorHAnsi" w:hAnsiTheme="minorHAnsi"/>
          <w:b/>
          <w:bCs/>
          <w:szCs w:val="22"/>
        </w:rPr>
        <w:t>Colleagues on academic contracts (R&amp;I, T&amp;R or T&amp;S) by sexual orientation and contract type, 2025 (n=2,865)</w:t>
      </w:r>
    </w:p>
    <w:tbl>
      <w:tblPr>
        <w:tblW w:w="7517" w:type="dxa"/>
        <w:tblLayout w:type="fixed"/>
        <w:tblLook w:val="04A0" w:firstRow="1" w:lastRow="0" w:firstColumn="1" w:lastColumn="0" w:noHBand="0" w:noVBand="1"/>
      </w:tblPr>
      <w:tblGrid>
        <w:gridCol w:w="1757"/>
        <w:gridCol w:w="960"/>
        <w:gridCol w:w="960"/>
        <w:gridCol w:w="960"/>
        <w:gridCol w:w="960"/>
        <w:gridCol w:w="960"/>
        <w:gridCol w:w="960"/>
      </w:tblGrid>
      <w:tr w:rsidR="00EA61B0" w:rsidRPr="00EA61B0" w14:paraId="2012BFA6" w14:textId="77777777" w:rsidTr="003420A9">
        <w:trPr>
          <w:trHeight w:val="300"/>
        </w:trPr>
        <w:tc>
          <w:tcPr>
            <w:tcW w:w="1757" w:type="dxa"/>
            <w:tcBorders>
              <w:top w:val="single" w:sz="4" w:space="0" w:color="auto"/>
              <w:left w:val="single" w:sz="4" w:space="0" w:color="auto"/>
              <w:bottom w:val="nil"/>
              <w:right w:val="nil"/>
            </w:tcBorders>
            <w:shd w:val="clear" w:color="000000" w:fill="FFFFFF"/>
            <w:noWrap/>
            <w:vAlign w:val="bottom"/>
            <w:hideMark/>
          </w:tcPr>
          <w:p w14:paraId="5896075B" w14:textId="77777777" w:rsidR="00EA61B0" w:rsidRPr="00EA61B0" w:rsidRDefault="00EA61B0" w:rsidP="00EA61B0">
            <w:pPr>
              <w:spacing w:after="0" w:line="240" w:lineRule="auto"/>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EA506A1" w14:textId="77777777" w:rsidR="00EA61B0" w:rsidRPr="00EA61B0" w:rsidRDefault="00EA61B0" w:rsidP="00EA61B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R&amp;I</w:t>
            </w:r>
          </w:p>
        </w:tc>
        <w:tc>
          <w:tcPr>
            <w:tcW w:w="1920" w:type="dxa"/>
            <w:gridSpan w:val="2"/>
            <w:tcBorders>
              <w:top w:val="single" w:sz="4" w:space="0" w:color="auto"/>
              <w:left w:val="nil"/>
              <w:bottom w:val="nil"/>
              <w:right w:val="nil"/>
            </w:tcBorders>
            <w:shd w:val="clear" w:color="000000" w:fill="FFFFFF"/>
            <w:noWrap/>
            <w:vAlign w:val="bottom"/>
            <w:hideMark/>
          </w:tcPr>
          <w:p w14:paraId="6BFBF66C" w14:textId="77777777" w:rsidR="00EA61B0" w:rsidRPr="00EA61B0" w:rsidRDefault="00EA61B0" w:rsidP="00EA61B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T&amp;R</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C298652" w14:textId="77777777" w:rsidR="00EA61B0" w:rsidRPr="00EA61B0" w:rsidRDefault="00EA61B0" w:rsidP="00EA61B0">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T&amp;S</w:t>
            </w:r>
          </w:p>
        </w:tc>
      </w:tr>
      <w:tr w:rsidR="003420A9" w:rsidRPr="00EA61B0" w14:paraId="03A20334" w14:textId="77777777" w:rsidTr="003420A9">
        <w:trPr>
          <w:trHeight w:val="300"/>
        </w:trPr>
        <w:tc>
          <w:tcPr>
            <w:tcW w:w="1757" w:type="dxa"/>
            <w:tcBorders>
              <w:top w:val="nil"/>
              <w:left w:val="single" w:sz="4" w:space="0" w:color="auto"/>
              <w:bottom w:val="single" w:sz="4" w:space="0" w:color="auto"/>
              <w:right w:val="nil"/>
            </w:tcBorders>
            <w:shd w:val="clear" w:color="000000" w:fill="FFFFFF"/>
            <w:noWrap/>
            <w:vAlign w:val="bottom"/>
            <w:hideMark/>
          </w:tcPr>
          <w:p w14:paraId="0A4EFE34" w14:textId="77777777" w:rsidR="00EA61B0" w:rsidRPr="00EA61B0" w:rsidRDefault="00EA61B0" w:rsidP="00EA61B0">
            <w:pPr>
              <w:spacing w:after="0" w:line="240" w:lineRule="auto"/>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137ABB87" w14:textId="77777777" w:rsidR="00EA61B0" w:rsidRPr="00EA61B0" w:rsidRDefault="00EA61B0" w:rsidP="00EA61B0">
            <w:pPr>
              <w:spacing w:after="0" w:line="240" w:lineRule="auto"/>
              <w:jc w:val="center"/>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678EB14" w14:textId="77777777" w:rsidR="00EA61B0" w:rsidRPr="00EA61B0" w:rsidRDefault="00EA61B0" w:rsidP="00EA61B0">
            <w:pPr>
              <w:spacing w:after="0" w:line="240" w:lineRule="auto"/>
              <w:jc w:val="center"/>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7DF5195" w14:textId="77777777" w:rsidR="00EA61B0" w:rsidRPr="00EA61B0" w:rsidRDefault="00EA61B0" w:rsidP="00EA61B0">
            <w:pPr>
              <w:spacing w:after="0" w:line="240" w:lineRule="auto"/>
              <w:jc w:val="center"/>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D498982" w14:textId="77777777" w:rsidR="00EA61B0" w:rsidRPr="00EA61B0" w:rsidRDefault="00EA61B0" w:rsidP="00EA61B0">
            <w:pPr>
              <w:spacing w:after="0" w:line="240" w:lineRule="auto"/>
              <w:jc w:val="center"/>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692D2BE5" w14:textId="77777777" w:rsidR="00EA61B0" w:rsidRPr="00EA61B0" w:rsidRDefault="00EA61B0" w:rsidP="00EA61B0">
            <w:pPr>
              <w:spacing w:after="0" w:line="240" w:lineRule="auto"/>
              <w:jc w:val="center"/>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04F9F112" w14:textId="77777777" w:rsidR="00EA61B0" w:rsidRPr="00EA61B0" w:rsidRDefault="00EA61B0" w:rsidP="00EA61B0">
            <w:pPr>
              <w:spacing w:after="0" w:line="240" w:lineRule="auto"/>
              <w:jc w:val="center"/>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w:t>
            </w:r>
          </w:p>
        </w:tc>
      </w:tr>
      <w:tr w:rsidR="003420A9" w:rsidRPr="00EA61B0" w14:paraId="2B1C212E"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79619630" w14:textId="77777777" w:rsidR="00EA61B0" w:rsidRPr="00EA61B0" w:rsidRDefault="00EA61B0" w:rsidP="00EA61B0">
            <w:pPr>
              <w:spacing w:after="0" w:line="240" w:lineRule="auto"/>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2FCBA766"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539</w:t>
            </w:r>
          </w:p>
        </w:tc>
        <w:tc>
          <w:tcPr>
            <w:tcW w:w="960" w:type="dxa"/>
            <w:tcBorders>
              <w:top w:val="nil"/>
              <w:left w:val="nil"/>
              <w:bottom w:val="nil"/>
              <w:right w:val="single" w:sz="4" w:space="0" w:color="auto"/>
            </w:tcBorders>
            <w:shd w:val="clear" w:color="000000" w:fill="FFFFFF"/>
            <w:noWrap/>
            <w:vAlign w:val="bottom"/>
            <w:hideMark/>
          </w:tcPr>
          <w:p w14:paraId="32E1C68D"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53.5%</w:t>
            </w:r>
          </w:p>
        </w:tc>
        <w:tc>
          <w:tcPr>
            <w:tcW w:w="960" w:type="dxa"/>
            <w:tcBorders>
              <w:top w:val="nil"/>
              <w:left w:val="nil"/>
              <w:bottom w:val="nil"/>
              <w:right w:val="nil"/>
            </w:tcBorders>
            <w:shd w:val="clear" w:color="000000" w:fill="FFFFFF"/>
            <w:noWrap/>
            <w:vAlign w:val="bottom"/>
            <w:hideMark/>
          </w:tcPr>
          <w:p w14:paraId="1A8AE88A"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467</w:t>
            </w:r>
          </w:p>
        </w:tc>
        <w:tc>
          <w:tcPr>
            <w:tcW w:w="960" w:type="dxa"/>
            <w:tcBorders>
              <w:top w:val="nil"/>
              <w:left w:val="nil"/>
              <w:bottom w:val="nil"/>
              <w:right w:val="single" w:sz="4" w:space="0" w:color="auto"/>
            </w:tcBorders>
            <w:shd w:val="clear" w:color="000000" w:fill="FFFFFF"/>
            <w:noWrap/>
            <w:vAlign w:val="bottom"/>
            <w:hideMark/>
          </w:tcPr>
          <w:p w14:paraId="5E07BD63"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33.2%</w:t>
            </w:r>
          </w:p>
        </w:tc>
        <w:tc>
          <w:tcPr>
            <w:tcW w:w="960" w:type="dxa"/>
            <w:tcBorders>
              <w:top w:val="nil"/>
              <w:left w:val="nil"/>
              <w:bottom w:val="nil"/>
              <w:right w:val="nil"/>
            </w:tcBorders>
            <w:shd w:val="clear" w:color="000000" w:fill="FFFFFF"/>
            <w:noWrap/>
            <w:vAlign w:val="bottom"/>
            <w:hideMark/>
          </w:tcPr>
          <w:p w14:paraId="69F97533"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183</w:t>
            </w:r>
          </w:p>
        </w:tc>
        <w:tc>
          <w:tcPr>
            <w:tcW w:w="960" w:type="dxa"/>
            <w:tcBorders>
              <w:top w:val="nil"/>
              <w:left w:val="nil"/>
              <w:bottom w:val="nil"/>
              <w:right w:val="single" w:sz="4" w:space="0" w:color="auto"/>
            </w:tcBorders>
            <w:shd w:val="clear" w:color="000000" w:fill="FFFFFF"/>
            <w:noWrap/>
            <w:vAlign w:val="bottom"/>
            <w:hideMark/>
          </w:tcPr>
          <w:p w14:paraId="2212177F"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40.6%</w:t>
            </w:r>
          </w:p>
        </w:tc>
      </w:tr>
      <w:tr w:rsidR="003420A9" w:rsidRPr="00EA61B0" w14:paraId="1FEE2CE1"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7131A478" w14:textId="77777777" w:rsidR="00EA61B0" w:rsidRPr="00EA61B0" w:rsidRDefault="00EA61B0" w:rsidP="00EA61B0">
            <w:pPr>
              <w:spacing w:after="0" w:line="240" w:lineRule="auto"/>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187F89BB"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85</w:t>
            </w:r>
          </w:p>
        </w:tc>
        <w:tc>
          <w:tcPr>
            <w:tcW w:w="960" w:type="dxa"/>
            <w:tcBorders>
              <w:top w:val="nil"/>
              <w:left w:val="nil"/>
              <w:bottom w:val="nil"/>
              <w:right w:val="single" w:sz="4" w:space="0" w:color="auto"/>
            </w:tcBorders>
            <w:shd w:val="clear" w:color="000000" w:fill="FFFFFF"/>
            <w:noWrap/>
            <w:vAlign w:val="bottom"/>
            <w:hideMark/>
          </w:tcPr>
          <w:p w14:paraId="6FD38167"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8.4%</w:t>
            </w:r>
          </w:p>
        </w:tc>
        <w:tc>
          <w:tcPr>
            <w:tcW w:w="960" w:type="dxa"/>
            <w:tcBorders>
              <w:top w:val="nil"/>
              <w:left w:val="nil"/>
              <w:bottom w:val="nil"/>
              <w:right w:val="nil"/>
            </w:tcBorders>
            <w:shd w:val="clear" w:color="000000" w:fill="FFFFFF"/>
            <w:noWrap/>
            <w:vAlign w:val="bottom"/>
            <w:hideMark/>
          </w:tcPr>
          <w:p w14:paraId="20184EA5"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62</w:t>
            </w:r>
          </w:p>
        </w:tc>
        <w:tc>
          <w:tcPr>
            <w:tcW w:w="960" w:type="dxa"/>
            <w:tcBorders>
              <w:top w:val="nil"/>
              <w:left w:val="nil"/>
              <w:bottom w:val="nil"/>
              <w:right w:val="single" w:sz="4" w:space="0" w:color="auto"/>
            </w:tcBorders>
            <w:shd w:val="clear" w:color="000000" w:fill="FFFFFF"/>
            <w:noWrap/>
            <w:vAlign w:val="bottom"/>
            <w:hideMark/>
          </w:tcPr>
          <w:p w14:paraId="5F8DDE17"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nil"/>
            </w:tcBorders>
            <w:shd w:val="clear" w:color="000000" w:fill="FFFFFF"/>
            <w:noWrap/>
            <w:vAlign w:val="bottom"/>
            <w:hideMark/>
          </w:tcPr>
          <w:p w14:paraId="608E0380"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16</w:t>
            </w:r>
          </w:p>
        </w:tc>
        <w:tc>
          <w:tcPr>
            <w:tcW w:w="960" w:type="dxa"/>
            <w:tcBorders>
              <w:top w:val="nil"/>
              <w:left w:val="nil"/>
              <w:bottom w:val="nil"/>
              <w:right w:val="single" w:sz="4" w:space="0" w:color="auto"/>
            </w:tcBorders>
            <w:shd w:val="clear" w:color="000000" w:fill="FFFFFF"/>
            <w:noWrap/>
            <w:vAlign w:val="bottom"/>
            <w:hideMark/>
          </w:tcPr>
          <w:p w14:paraId="43293BF6"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3.5%</w:t>
            </w:r>
          </w:p>
        </w:tc>
      </w:tr>
      <w:tr w:rsidR="003420A9" w:rsidRPr="00EA61B0" w14:paraId="1EC667C4" w14:textId="77777777" w:rsidTr="003420A9">
        <w:trPr>
          <w:trHeight w:val="300"/>
        </w:trPr>
        <w:tc>
          <w:tcPr>
            <w:tcW w:w="1757" w:type="dxa"/>
            <w:tcBorders>
              <w:top w:val="nil"/>
              <w:left w:val="single" w:sz="4" w:space="0" w:color="auto"/>
              <w:bottom w:val="nil"/>
              <w:right w:val="nil"/>
            </w:tcBorders>
            <w:shd w:val="clear" w:color="000000" w:fill="FFFFFF"/>
            <w:noWrap/>
            <w:vAlign w:val="bottom"/>
            <w:hideMark/>
          </w:tcPr>
          <w:p w14:paraId="0F3C656B" w14:textId="77777777" w:rsidR="00EA61B0" w:rsidRPr="00EA61B0" w:rsidRDefault="00EA61B0" w:rsidP="00EA61B0">
            <w:pPr>
              <w:spacing w:after="0" w:line="240" w:lineRule="auto"/>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B0B7DC2"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383</w:t>
            </w:r>
          </w:p>
        </w:tc>
        <w:tc>
          <w:tcPr>
            <w:tcW w:w="960" w:type="dxa"/>
            <w:tcBorders>
              <w:top w:val="nil"/>
              <w:left w:val="nil"/>
              <w:bottom w:val="nil"/>
              <w:right w:val="single" w:sz="4" w:space="0" w:color="auto"/>
            </w:tcBorders>
            <w:shd w:val="clear" w:color="000000" w:fill="FFFFFF"/>
            <w:noWrap/>
            <w:vAlign w:val="bottom"/>
            <w:hideMark/>
          </w:tcPr>
          <w:p w14:paraId="22E444AF"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38.0%</w:t>
            </w:r>
          </w:p>
        </w:tc>
        <w:tc>
          <w:tcPr>
            <w:tcW w:w="960" w:type="dxa"/>
            <w:tcBorders>
              <w:top w:val="nil"/>
              <w:left w:val="nil"/>
              <w:bottom w:val="nil"/>
              <w:right w:val="nil"/>
            </w:tcBorders>
            <w:shd w:val="clear" w:color="000000" w:fill="FFFFFF"/>
            <w:noWrap/>
            <w:vAlign w:val="bottom"/>
            <w:hideMark/>
          </w:tcPr>
          <w:p w14:paraId="2A2BB2CF"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878</w:t>
            </w:r>
          </w:p>
        </w:tc>
        <w:tc>
          <w:tcPr>
            <w:tcW w:w="960" w:type="dxa"/>
            <w:tcBorders>
              <w:top w:val="nil"/>
              <w:left w:val="nil"/>
              <w:bottom w:val="nil"/>
              <w:right w:val="single" w:sz="4" w:space="0" w:color="auto"/>
            </w:tcBorders>
            <w:shd w:val="clear" w:color="000000" w:fill="FFFFFF"/>
            <w:noWrap/>
            <w:vAlign w:val="bottom"/>
            <w:hideMark/>
          </w:tcPr>
          <w:p w14:paraId="697782BE"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62.4%</w:t>
            </w:r>
          </w:p>
        </w:tc>
        <w:tc>
          <w:tcPr>
            <w:tcW w:w="960" w:type="dxa"/>
            <w:tcBorders>
              <w:top w:val="nil"/>
              <w:left w:val="nil"/>
              <w:bottom w:val="nil"/>
              <w:right w:val="nil"/>
            </w:tcBorders>
            <w:shd w:val="clear" w:color="000000" w:fill="FFFFFF"/>
            <w:noWrap/>
            <w:vAlign w:val="bottom"/>
            <w:hideMark/>
          </w:tcPr>
          <w:p w14:paraId="28DFA12B"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252</w:t>
            </w:r>
          </w:p>
        </w:tc>
        <w:tc>
          <w:tcPr>
            <w:tcW w:w="960" w:type="dxa"/>
            <w:tcBorders>
              <w:top w:val="nil"/>
              <w:left w:val="nil"/>
              <w:bottom w:val="nil"/>
              <w:right w:val="single" w:sz="4" w:space="0" w:color="auto"/>
            </w:tcBorders>
            <w:shd w:val="clear" w:color="000000" w:fill="FFFFFF"/>
            <w:noWrap/>
            <w:vAlign w:val="bottom"/>
            <w:hideMark/>
          </w:tcPr>
          <w:p w14:paraId="2636C8E9" w14:textId="77777777" w:rsidR="00EA61B0" w:rsidRPr="00EA61B0" w:rsidRDefault="00EA61B0" w:rsidP="00EA61B0">
            <w:pPr>
              <w:spacing w:after="0" w:line="240" w:lineRule="auto"/>
              <w:jc w:val="right"/>
              <w:rPr>
                <w:rFonts w:asciiTheme="minorHAnsi" w:eastAsia="Times New Roman" w:hAnsiTheme="minorHAnsi" w:cs="Times New Roman"/>
                <w:color w:val="000000"/>
                <w:kern w:val="0"/>
                <w:szCs w:val="22"/>
                <w:lang w:eastAsia="en-GB"/>
                <w14:ligatures w14:val="none"/>
              </w:rPr>
            </w:pPr>
            <w:r w:rsidRPr="00EA61B0">
              <w:rPr>
                <w:rFonts w:asciiTheme="minorHAnsi" w:eastAsia="Times New Roman" w:hAnsiTheme="minorHAnsi" w:cs="Times New Roman"/>
                <w:color w:val="000000"/>
                <w:kern w:val="0"/>
                <w:szCs w:val="22"/>
                <w:lang w:eastAsia="en-GB"/>
                <w14:ligatures w14:val="none"/>
              </w:rPr>
              <w:t>55.9%</w:t>
            </w:r>
          </w:p>
        </w:tc>
      </w:tr>
      <w:tr w:rsidR="003420A9" w:rsidRPr="00EA61B0" w14:paraId="70A2D0E2" w14:textId="77777777" w:rsidTr="003420A9">
        <w:trPr>
          <w:trHeight w:val="315"/>
        </w:trPr>
        <w:tc>
          <w:tcPr>
            <w:tcW w:w="1757" w:type="dxa"/>
            <w:tcBorders>
              <w:top w:val="dotted" w:sz="4" w:space="0" w:color="auto"/>
              <w:left w:val="single" w:sz="4" w:space="0" w:color="auto"/>
              <w:bottom w:val="double" w:sz="6" w:space="0" w:color="auto"/>
              <w:right w:val="nil"/>
            </w:tcBorders>
            <w:shd w:val="clear" w:color="000000" w:fill="FFFFFF"/>
            <w:noWrap/>
            <w:vAlign w:val="bottom"/>
            <w:hideMark/>
          </w:tcPr>
          <w:p w14:paraId="3C878ADE" w14:textId="77777777" w:rsidR="00EA61B0" w:rsidRPr="00EA61B0" w:rsidRDefault="00EA61B0" w:rsidP="00EA61B0">
            <w:pPr>
              <w:spacing w:after="0" w:line="240" w:lineRule="auto"/>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36E7371F" w14:textId="77777777" w:rsidR="00EA61B0" w:rsidRPr="00EA61B0" w:rsidRDefault="00EA61B0" w:rsidP="00EA61B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1007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F3A7D3F" w14:textId="77777777" w:rsidR="00EA61B0" w:rsidRPr="00EA61B0" w:rsidRDefault="00EA61B0" w:rsidP="00EA61B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1E3C3AF" w14:textId="77777777" w:rsidR="00EA61B0" w:rsidRPr="00EA61B0" w:rsidRDefault="00EA61B0" w:rsidP="00EA61B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1407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9D6FCB1" w14:textId="77777777" w:rsidR="00EA61B0" w:rsidRPr="00EA61B0" w:rsidRDefault="00EA61B0" w:rsidP="00EA61B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7A916A0" w14:textId="77777777" w:rsidR="00EA61B0" w:rsidRPr="00EA61B0" w:rsidRDefault="00EA61B0" w:rsidP="00EA61B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451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CD5C993" w14:textId="77777777" w:rsidR="00EA61B0" w:rsidRPr="00EA61B0" w:rsidRDefault="00EA61B0" w:rsidP="00EA61B0">
            <w:pPr>
              <w:spacing w:after="0" w:line="240" w:lineRule="auto"/>
              <w:jc w:val="right"/>
              <w:rPr>
                <w:rFonts w:asciiTheme="minorHAnsi" w:eastAsia="Times New Roman" w:hAnsiTheme="minorHAnsi" w:cs="Times New Roman"/>
                <w:b/>
                <w:bCs/>
                <w:color w:val="000000"/>
                <w:kern w:val="0"/>
                <w:szCs w:val="22"/>
                <w:lang w:eastAsia="en-GB"/>
                <w14:ligatures w14:val="none"/>
              </w:rPr>
            </w:pPr>
            <w:r w:rsidRPr="00EA61B0">
              <w:rPr>
                <w:rFonts w:asciiTheme="minorHAnsi" w:eastAsia="Times New Roman" w:hAnsiTheme="minorHAnsi" w:cs="Times New Roman"/>
                <w:b/>
                <w:bCs/>
                <w:color w:val="000000"/>
                <w:kern w:val="0"/>
                <w:szCs w:val="22"/>
                <w:lang w:eastAsia="en-GB"/>
                <w14:ligatures w14:val="none"/>
              </w:rPr>
              <w:t>100%</w:t>
            </w:r>
          </w:p>
        </w:tc>
      </w:tr>
    </w:tbl>
    <w:p w14:paraId="32BB43D2" w14:textId="5AE5382E" w:rsidR="00AC0829" w:rsidRPr="007E2527" w:rsidRDefault="00AC0829" w:rsidP="00AC0829">
      <w:pPr>
        <w:rPr>
          <w:rFonts w:asciiTheme="minorHAnsi" w:hAnsiTheme="minorHAnsi"/>
          <w:b/>
          <w:bCs/>
          <w:szCs w:val="22"/>
        </w:rPr>
      </w:pPr>
    </w:p>
    <w:p w14:paraId="219F4B7E" w14:textId="740AB182" w:rsidR="00AE6153" w:rsidRPr="007E2527" w:rsidRDefault="00AE6153" w:rsidP="00AC0829">
      <w:pPr>
        <w:rPr>
          <w:rFonts w:asciiTheme="minorHAnsi" w:hAnsiTheme="minorHAnsi"/>
          <w:szCs w:val="22"/>
        </w:rPr>
      </w:pPr>
      <w:r w:rsidRPr="007E2527">
        <w:rPr>
          <w:rFonts w:asciiTheme="minorHAnsi" w:hAnsiTheme="minorHAnsi"/>
          <w:szCs w:val="22"/>
        </w:rPr>
        <w:t>Note. There are 9 PS colleagues on T&amp;R contracts included in these numbers.</w:t>
      </w:r>
    </w:p>
    <w:p w14:paraId="61AEEF1F" w14:textId="77777777" w:rsidR="00AE6153" w:rsidRPr="007E2527" w:rsidRDefault="00AE6153" w:rsidP="00AC0829">
      <w:pPr>
        <w:rPr>
          <w:rFonts w:asciiTheme="minorHAnsi" w:hAnsiTheme="minorHAnsi"/>
          <w:szCs w:val="22"/>
        </w:rPr>
      </w:pPr>
    </w:p>
    <w:p w14:paraId="0DDCC515" w14:textId="77777777" w:rsidR="00B06CCE" w:rsidRPr="007E2527" w:rsidRDefault="00B06CCE" w:rsidP="00AC0829">
      <w:pPr>
        <w:rPr>
          <w:rFonts w:asciiTheme="minorHAnsi" w:hAnsiTheme="minorHAnsi"/>
          <w:szCs w:val="22"/>
        </w:rPr>
      </w:pPr>
    </w:p>
    <w:p w14:paraId="28205955" w14:textId="77777777" w:rsidR="00B06CCE" w:rsidRPr="007E2527" w:rsidRDefault="00B06CCE" w:rsidP="00AC0829">
      <w:pPr>
        <w:rPr>
          <w:rFonts w:asciiTheme="minorHAnsi" w:hAnsiTheme="minorHAnsi"/>
          <w:szCs w:val="22"/>
        </w:rPr>
      </w:pPr>
    </w:p>
    <w:p w14:paraId="05CAD1F3" w14:textId="77777777" w:rsidR="00B06CCE" w:rsidRPr="007E2527" w:rsidRDefault="00B06CCE" w:rsidP="00AC0829">
      <w:pPr>
        <w:rPr>
          <w:rFonts w:asciiTheme="minorHAnsi" w:hAnsiTheme="minorHAnsi"/>
          <w:szCs w:val="22"/>
        </w:rPr>
      </w:pPr>
    </w:p>
    <w:p w14:paraId="5428CB37" w14:textId="77777777" w:rsidR="00B06CCE" w:rsidRPr="007E2527" w:rsidRDefault="00B06CCE" w:rsidP="00AC0829">
      <w:pPr>
        <w:rPr>
          <w:rFonts w:asciiTheme="minorHAnsi" w:hAnsiTheme="minorHAnsi"/>
          <w:szCs w:val="22"/>
        </w:rPr>
      </w:pPr>
    </w:p>
    <w:p w14:paraId="370373BA" w14:textId="4FB3EADA" w:rsidR="00AE6153" w:rsidRPr="007E2527" w:rsidRDefault="00AE6153" w:rsidP="00AE6153">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Faculty/Hub and sexual orientation, and occupation, 2025 (N=6,241)</w:t>
      </w:r>
    </w:p>
    <w:tbl>
      <w:tblPr>
        <w:tblW w:w="8154" w:type="dxa"/>
        <w:tblLayout w:type="fixed"/>
        <w:tblLook w:val="04A0" w:firstRow="1" w:lastRow="0" w:firstColumn="1" w:lastColumn="0" w:noHBand="0" w:noVBand="1"/>
      </w:tblPr>
      <w:tblGrid>
        <w:gridCol w:w="2394"/>
        <w:gridCol w:w="960"/>
        <w:gridCol w:w="960"/>
        <w:gridCol w:w="960"/>
        <w:gridCol w:w="960"/>
        <w:gridCol w:w="960"/>
        <w:gridCol w:w="960"/>
      </w:tblGrid>
      <w:tr w:rsidR="00B06CCE" w:rsidRPr="00B06CCE" w14:paraId="604666DA" w14:textId="77777777" w:rsidTr="00B06CCE">
        <w:trPr>
          <w:trHeight w:val="300"/>
        </w:trPr>
        <w:tc>
          <w:tcPr>
            <w:tcW w:w="2394" w:type="dxa"/>
            <w:tcBorders>
              <w:top w:val="single" w:sz="4" w:space="0" w:color="auto"/>
              <w:left w:val="single" w:sz="4" w:space="0" w:color="auto"/>
              <w:bottom w:val="nil"/>
              <w:right w:val="nil"/>
            </w:tcBorders>
            <w:shd w:val="clear" w:color="000000" w:fill="FFFFFF"/>
            <w:noWrap/>
            <w:vAlign w:val="bottom"/>
            <w:hideMark/>
          </w:tcPr>
          <w:p w14:paraId="69651937" w14:textId="77777777" w:rsidR="00B06CCE" w:rsidRPr="00B06CCE" w:rsidRDefault="00B06CCE" w:rsidP="00B06CCE">
            <w:pPr>
              <w:spacing w:after="0" w:line="240" w:lineRule="auto"/>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68530F0" w14:textId="77777777" w:rsidR="00B06CCE" w:rsidRPr="00B06CCE" w:rsidRDefault="00B06CCE" w:rsidP="00B06C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Academic</w:t>
            </w:r>
          </w:p>
        </w:tc>
        <w:tc>
          <w:tcPr>
            <w:tcW w:w="1920" w:type="dxa"/>
            <w:gridSpan w:val="2"/>
            <w:tcBorders>
              <w:top w:val="single" w:sz="4" w:space="0" w:color="auto"/>
              <w:left w:val="nil"/>
              <w:bottom w:val="nil"/>
              <w:right w:val="nil"/>
            </w:tcBorders>
            <w:shd w:val="clear" w:color="000000" w:fill="FFFFFF"/>
            <w:noWrap/>
            <w:vAlign w:val="bottom"/>
            <w:hideMark/>
          </w:tcPr>
          <w:p w14:paraId="1EB35EDA" w14:textId="77777777" w:rsidR="00B06CCE" w:rsidRPr="00B06CCE" w:rsidRDefault="00B06CCE" w:rsidP="00B06C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Research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624A87BE" w14:textId="77777777" w:rsidR="00B06CCE" w:rsidRPr="00B06CCE" w:rsidRDefault="00B06CCE" w:rsidP="00B06CCE">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PS</w:t>
            </w:r>
          </w:p>
        </w:tc>
      </w:tr>
      <w:tr w:rsidR="00B06CCE" w:rsidRPr="00B06CCE" w14:paraId="2D2B4C5B" w14:textId="77777777" w:rsidTr="00B06CCE">
        <w:trPr>
          <w:trHeight w:val="300"/>
        </w:trPr>
        <w:tc>
          <w:tcPr>
            <w:tcW w:w="2394" w:type="dxa"/>
            <w:tcBorders>
              <w:top w:val="nil"/>
              <w:left w:val="single" w:sz="4" w:space="0" w:color="auto"/>
              <w:bottom w:val="single" w:sz="4" w:space="0" w:color="auto"/>
              <w:right w:val="nil"/>
            </w:tcBorders>
            <w:shd w:val="clear" w:color="000000" w:fill="FFFFFF"/>
            <w:noWrap/>
            <w:vAlign w:val="bottom"/>
            <w:hideMark/>
          </w:tcPr>
          <w:p w14:paraId="07E4A971" w14:textId="77777777" w:rsidR="00B06CCE" w:rsidRPr="00B06CCE" w:rsidRDefault="00B06CCE" w:rsidP="00B06CCE">
            <w:pPr>
              <w:spacing w:after="0" w:line="240" w:lineRule="auto"/>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6A450B45" w14:textId="77777777" w:rsidR="00B06CCE" w:rsidRPr="00B06CCE" w:rsidRDefault="00B06CCE" w:rsidP="00B06CCE">
            <w:pPr>
              <w:spacing w:after="0" w:line="240" w:lineRule="auto"/>
              <w:jc w:val="center"/>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5CE513F" w14:textId="77777777" w:rsidR="00B06CCE" w:rsidRPr="00B06CCE" w:rsidRDefault="00B06CCE" w:rsidP="00B06CCE">
            <w:pPr>
              <w:spacing w:after="0" w:line="240" w:lineRule="auto"/>
              <w:jc w:val="center"/>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70FCF68" w14:textId="77777777" w:rsidR="00B06CCE" w:rsidRPr="00B06CCE" w:rsidRDefault="00B06CCE" w:rsidP="00B06CCE">
            <w:pPr>
              <w:spacing w:after="0" w:line="240" w:lineRule="auto"/>
              <w:jc w:val="center"/>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nil"/>
            </w:tcBorders>
            <w:shd w:val="clear" w:color="000000" w:fill="FFFFFF"/>
            <w:noWrap/>
            <w:vAlign w:val="bottom"/>
            <w:hideMark/>
          </w:tcPr>
          <w:p w14:paraId="04948374" w14:textId="77777777" w:rsidR="00B06CCE" w:rsidRPr="00B06CCE" w:rsidRDefault="00B06CCE" w:rsidP="00B06CCE">
            <w:pPr>
              <w:spacing w:after="0" w:line="240" w:lineRule="auto"/>
              <w:jc w:val="center"/>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single" w:sz="4" w:space="0" w:color="auto"/>
              <w:right w:val="nil"/>
            </w:tcBorders>
            <w:shd w:val="clear" w:color="000000" w:fill="FFFFFF"/>
            <w:noWrap/>
            <w:vAlign w:val="bottom"/>
            <w:hideMark/>
          </w:tcPr>
          <w:p w14:paraId="5083B53C" w14:textId="77777777" w:rsidR="00B06CCE" w:rsidRPr="00B06CCE" w:rsidRDefault="00B06CCE" w:rsidP="00B06CCE">
            <w:pPr>
              <w:spacing w:after="0" w:line="240" w:lineRule="auto"/>
              <w:jc w:val="center"/>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7CC8C32" w14:textId="77777777" w:rsidR="00B06CCE" w:rsidRPr="00B06CCE" w:rsidRDefault="00B06CCE" w:rsidP="00B06CCE">
            <w:pPr>
              <w:spacing w:after="0" w:line="240" w:lineRule="auto"/>
              <w:jc w:val="center"/>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w:t>
            </w:r>
          </w:p>
        </w:tc>
      </w:tr>
      <w:tr w:rsidR="00B06CCE" w:rsidRPr="00B06CCE" w14:paraId="70B0C168"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711D1200" w14:textId="77777777" w:rsidR="00B06CCE" w:rsidRPr="00B06CCE" w:rsidRDefault="00B06CCE" w:rsidP="00B06CCE">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B06CCE">
              <w:rPr>
                <w:rFonts w:asciiTheme="minorHAnsi" w:eastAsia="Times New Roman" w:hAnsiTheme="minorHAnsi" w:cs="Times New Roman"/>
                <w:b/>
                <w:bCs/>
                <w:color w:val="000000"/>
                <w:kern w:val="0"/>
                <w:szCs w:val="22"/>
                <w:lang w:eastAsia="en-GB"/>
                <w14:ligatures w14:val="none"/>
              </w:rPr>
              <w:t>HaSS</w:t>
            </w:r>
            <w:proofErr w:type="spellEnd"/>
          </w:p>
        </w:tc>
        <w:tc>
          <w:tcPr>
            <w:tcW w:w="960" w:type="dxa"/>
            <w:tcBorders>
              <w:top w:val="nil"/>
              <w:left w:val="single" w:sz="4" w:space="0" w:color="auto"/>
              <w:bottom w:val="nil"/>
              <w:right w:val="nil"/>
            </w:tcBorders>
            <w:shd w:val="clear" w:color="000000" w:fill="FFFFFF"/>
            <w:noWrap/>
            <w:vAlign w:val="bottom"/>
            <w:hideMark/>
          </w:tcPr>
          <w:p w14:paraId="03488D21"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809</w:t>
            </w:r>
          </w:p>
        </w:tc>
        <w:tc>
          <w:tcPr>
            <w:tcW w:w="960" w:type="dxa"/>
            <w:tcBorders>
              <w:top w:val="nil"/>
              <w:left w:val="nil"/>
              <w:bottom w:val="nil"/>
              <w:right w:val="single" w:sz="4" w:space="0" w:color="auto"/>
            </w:tcBorders>
            <w:shd w:val="clear" w:color="000000" w:fill="FFFFFF"/>
            <w:noWrap/>
            <w:vAlign w:val="bottom"/>
            <w:hideMark/>
          </w:tcPr>
          <w:p w14:paraId="115AD9AC"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nil"/>
              <w:bottom w:val="nil"/>
              <w:right w:val="nil"/>
            </w:tcBorders>
            <w:shd w:val="clear" w:color="000000" w:fill="FFFFFF"/>
            <w:noWrap/>
            <w:vAlign w:val="bottom"/>
            <w:hideMark/>
          </w:tcPr>
          <w:p w14:paraId="655D552E"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89</w:t>
            </w:r>
          </w:p>
        </w:tc>
        <w:tc>
          <w:tcPr>
            <w:tcW w:w="960" w:type="dxa"/>
            <w:tcBorders>
              <w:top w:val="nil"/>
              <w:left w:val="nil"/>
              <w:bottom w:val="nil"/>
              <w:right w:val="nil"/>
            </w:tcBorders>
            <w:shd w:val="clear" w:color="000000" w:fill="FFFFFF"/>
            <w:noWrap/>
            <w:vAlign w:val="bottom"/>
            <w:hideMark/>
          </w:tcPr>
          <w:p w14:paraId="4899B14F"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c>
          <w:tcPr>
            <w:tcW w:w="960" w:type="dxa"/>
            <w:tcBorders>
              <w:top w:val="nil"/>
              <w:left w:val="single" w:sz="4" w:space="0" w:color="auto"/>
              <w:bottom w:val="nil"/>
              <w:right w:val="nil"/>
            </w:tcBorders>
            <w:shd w:val="clear" w:color="000000" w:fill="FFFFFF"/>
            <w:noWrap/>
            <w:vAlign w:val="bottom"/>
            <w:hideMark/>
          </w:tcPr>
          <w:p w14:paraId="4B33F73E"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297</w:t>
            </w:r>
          </w:p>
        </w:tc>
        <w:tc>
          <w:tcPr>
            <w:tcW w:w="960" w:type="dxa"/>
            <w:tcBorders>
              <w:top w:val="nil"/>
              <w:left w:val="nil"/>
              <w:bottom w:val="nil"/>
              <w:right w:val="single" w:sz="4" w:space="0" w:color="auto"/>
            </w:tcBorders>
            <w:shd w:val="clear" w:color="000000" w:fill="FFFFFF"/>
            <w:noWrap/>
            <w:vAlign w:val="bottom"/>
            <w:hideMark/>
          </w:tcPr>
          <w:p w14:paraId="23A0F3AC"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r>
      <w:tr w:rsidR="00B06CCE" w:rsidRPr="00B06CCE" w14:paraId="61B71212"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47F8AE43"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2A42275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248</w:t>
            </w:r>
          </w:p>
        </w:tc>
        <w:tc>
          <w:tcPr>
            <w:tcW w:w="960" w:type="dxa"/>
            <w:tcBorders>
              <w:top w:val="nil"/>
              <w:left w:val="nil"/>
              <w:bottom w:val="nil"/>
              <w:right w:val="single" w:sz="4" w:space="0" w:color="auto"/>
            </w:tcBorders>
            <w:shd w:val="clear" w:color="000000" w:fill="FFFFFF"/>
            <w:noWrap/>
            <w:vAlign w:val="bottom"/>
            <w:hideMark/>
          </w:tcPr>
          <w:p w14:paraId="46ED119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30.7%</w:t>
            </w:r>
          </w:p>
        </w:tc>
        <w:tc>
          <w:tcPr>
            <w:tcW w:w="960" w:type="dxa"/>
            <w:tcBorders>
              <w:top w:val="nil"/>
              <w:left w:val="nil"/>
              <w:bottom w:val="nil"/>
              <w:right w:val="nil"/>
            </w:tcBorders>
            <w:shd w:val="clear" w:color="000000" w:fill="FFFFFF"/>
            <w:noWrap/>
            <w:vAlign w:val="bottom"/>
            <w:hideMark/>
          </w:tcPr>
          <w:p w14:paraId="0FC9DDC0"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36</w:t>
            </w:r>
          </w:p>
        </w:tc>
        <w:tc>
          <w:tcPr>
            <w:tcW w:w="960" w:type="dxa"/>
            <w:tcBorders>
              <w:top w:val="nil"/>
              <w:left w:val="nil"/>
              <w:bottom w:val="nil"/>
              <w:right w:val="nil"/>
            </w:tcBorders>
            <w:shd w:val="clear" w:color="000000" w:fill="FFFFFF"/>
            <w:noWrap/>
            <w:vAlign w:val="bottom"/>
            <w:hideMark/>
          </w:tcPr>
          <w:p w14:paraId="4E4CD22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40.4%</w:t>
            </w:r>
          </w:p>
        </w:tc>
        <w:tc>
          <w:tcPr>
            <w:tcW w:w="960" w:type="dxa"/>
            <w:tcBorders>
              <w:top w:val="nil"/>
              <w:left w:val="single" w:sz="4" w:space="0" w:color="auto"/>
              <w:bottom w:val="nil"/>
              <w:right w:val="nil"/>
            </w:tcBorders>
            <w:shd w:val="clear" w:color="000000" w:fill="FFFFFF"/>
            <w:noWrap/>
            <w:vAlign w:val="bottom"/>
            <w:hideMark/>
          </w:tcPr>
          <w:p w14:paraId="7428413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149</w:t>
            </w:r>
          </w:p>
        </w:tc>
        <w:tc>
          <w:tcPr>
            <w:tcW w:w="960" w:type="dxa"/>
            <w:tcBorders>
              <w:top w:val="nil"/>
              <w:left w:val="nil"/>
              <w:bottom w:val="nil"/>
              <w:right w:val="single" w:sz="4" w:space="0" w:color="auto"/>
            </w:tcBorders>
            <w:shd w:val="clear" w:color="000000" w:fill="FFFFFF"/>
            <w:noWrap/>
            <w:vAlign w:val="bottom"/>
            <w:hideMark/>
          </w:tcPr>
          <w:p w14:paraId="4759F920"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50.2%</w:t>
            </w:r>
          </w:p>
        </w:tc>
      </w:tr>
      <w:tr w:rsidR="00B06CCE" w:rsidRPr="00B06CCE" w14:paraId="544147E8"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473D2763"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101CDB8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48</w:t>
            </w:r>
          </w:p>
        </w:tc>
        <w:tc>
          <w:tcPr>
            <w:tcW w:w="960" w:type="dxa"/>
            <w:tcBorders>
              <w:top w:val="nil"/>
              <w:left w:val="nil"/>
              <w:bottom w:val="nil"/>
              <w:right w:val="single" w:sz="4" w:space="0" w:color="auto"/>
            </w:tcBorders>
            <w:shd w:val="clear" w:color="000000" w:fill="FFFFFF"/>
            <w:noWrap/>
            <w:vAlign w:val="bottom"/>
            <w:hideMark/>
          </w:tcPr>
          <w:p w14:paraId="3E1FA137"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5.9%</w:t>
            </w:r>
          </w:p>
        </w:tc>
        <w:tc>
          <w:tcPr>
            <w:tcW w:w="960" w:type="dxa"/>
            <w:tcBorders>
              <w:top w:val="nil"/>
              <w:left w:val="nil"/>
              <w:bottom w:val="nil"/>
              <w:right w:val="nil"/>
            </w:tcBorders>
            <w:shd w:val="clear" w:color="000000" w:fill="FFFFFF"/>
            <w:noWrap/>
            <w:vAlign w:val="bottom"/>
            <w:hideMark/>
          </w:tcPr>
          <w:p w14:paraId="5E789185"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11</w:t>
            </w:r>
          </w:p>
        </w:tc>
        <w:tc>
          <w:tcPr>
            <w:tcW w:w="960" w:type="dxa"/>
            <w:tcBorders>
              <w:top w:val="nil"/>
              <w:left w:val="nil"/>
              <w:bottom w:val="nil"/>
              <w:right w:val="nil"/>
            </w:tcBorders>
            <w:shd w:val="clear" w:color="000000" w:fill="FFFFFF"/>
            <w:noWrap/>
            <w:vAlign w:val="bottom"/>
            <w:hideMark/>
          </w:tcPr>
          <w:p w14:paraId="527393A7"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12.4%</w:t>
            </w:r>
          </w:p>
        </w:tc>
        <w:tc>
          <w:tcPr>
            <w:tcW w:w="960" w:type="dxa"/>
            <w:tcBorders>
              <w:top w:val="nil"/>
              <w:left w:val="single" w:sz="4" w:space="0" w:color="auto"/>
              <w:bottom w:val="nil"/>
              <w:right w:val="nil"/>
            </w:tcBorders>
            <w:shd w:val="clear" w:color="000000" w:fill="FFFFFF"/>
            <w:noWrap/>
            <w:vAlign w:val="bottom"/>
            <w:hideMark/>
          </w:tcPr>
          <w:p w14:paraId="36F43C9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25</w:t>
            </w:r>
          </w:p>
        </w:tc>
        <w:tc>
          <w:tcPr>
            <w:tcW w:w="960" w:type="dxa"/>
            <w:tcBorders>
              <w:top w:val="nil"/>
              <w:left w:val="nil"/>
              <w:bottom w:val="nil"/>
              <w:right w:val="single" w:sz="4" w:space="0" w:color="auto"/>
            </w:tcBorders>
            <w:shd w:val="clear" w:color="000000" w:fill="FFFFFF"/>
            <w:noWrap/>
            <w:vAlign w:val="bottom"/>
            <w:hideMark/>
          </w:tcPr>
          <w:p w14:paraId="52C46AC7"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8.4%</w:t>
            </w:r>
          </w:p>
        </w:tc>
      </w:tr>
      <w:tr w:rsidR="00B06CCE" w:rsidRPr="00B06CCE" w14:paraId="51E8A977"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67707389"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00D29F5"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513</w:t>
            </w:r>
          </w:p>
        </w:tc>
        <w:tc>
          <w:tcPr>
            <w:tcW w:w="960" w:type="dxa"/>
            <w:tcBorders>
              <w:top w:val="nil"/>
              <w:left w:val="nil"/>
              <w:bottom w:val="nil"/>
              <w:right w:val="single" w:sz="4" w:space="0" w:color="auto"/>
            </w:tcBorders>
            <w:shd w:val="clear" w:color="000000" w:fill="FFFFFF"/>
            <w:noWrap/>
            <w:vAlign w:val="bottom"/>
            <w:hideMark/>
          </w:tcPr>
          <w:p w14:paraId="740F780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63.4%</w:t>
            </w:r>
          </w:p>
        </w:tc>
        <w:tc>
          <w:tcPr>
            <w:tcW w:w="960" w:type="dxa"/>
            <w:tcBorders>
              <w:top w:val="nil"/>
              <w:left w:val="nil"/>
              <w:bottom w:val="nil"/>
              <w:right w:val="nil"/>
            </w:tcBorders>
            <w:shd w:val="clear" w:color="000000" w:fill="FFFFFF"/>
            <w:noWrap/>
            <w:vAlign w:val="bottom"/>
            <w:hideMark/>
          </w:tcPr>
          <w:p w14:paraId="107C0D65"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42</w:t>
            </w:r>
          </w:p>
        </w:tc>
        <w:tc>
          <w:tcPr>
            <w:tcW w:w="960" w:type="dxa"/>
            <w:tcBorders>
              <w:top w:val="nil"/>
              <w:left w:val="nil"/>
              <w:bottom w:val="nil"/>
              <w:right w:val="nil"/>
            </w:tcBorders>
            <w:shd w:val="clear" w:color="000000" w:fill="FFFFFF"/>
            <w:noWrap/>
            <w:vAlign w:val="bottom"/>
            <w:hideMark/>
          </w:tcPr>
          <w:p w14:paraId="021A8A60"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47.2%</w:t>
            </w:r>
          </w:p>
        </w:tc>
        <w:tc>
          <w:tcPr>
            <w:tcW w:w="960" w:type="dxa"/>
            <w:tcBorders>
              <w:top w:val="nil"/>
              <w:left w:val="single" w:sz="4" w:space="0" w:color="auto"/>
              <w:bottom w:val="nil"/>
              <w:right w:val="nil"/>
            </w:tcBorders>
            <w:shd w:val="clear" w:color="000000" w:fill="FFFFFF"/>
            <w:noWrap/>
            <w:vAlign w:val="bottom"/>
            <w:hideMark/>
          </w:tcPr>
          <w:p w14:paraId="4F3B3E9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123</w:t>
            </w:r>
          </w:p>
        </w:tc>
        <w:tc>
          <w:tcPr>
            <w:tcW w:w="960" w:type="dxa"/>
            <w:tcBorders>
              <w:top w:val="nil"/>
              <w:left w:val="nil"/>
              <w:bottom w:val="nil"/>
              <w:right w:val="single" w:sz="4" w:space="0" w:color="auto"/>
            </w:tcBorders>
            <w:shd w:val="clear" w:color="000000" w:fill="FFFFFF"/>
            <w:noWrap/>
            <w:vAlign w:val="bottom"/>
            <w:hideMark/>
          </w:tcPr>
          <w:p w14:paraId="2EDC3BA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41.4%</w:t>
            </w:r>
          </w:p>
        </w:tc>
      </w:tr>
      <w:tr w:rsidR="00B06CCE" w:rsidRPr="00B06CCE" w14:paraId="4AE84532" w14:textId="77777777" w:rsidTr="00B06C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65BA1E7C" w14:textId="77777777" w:rsidR="00B06CCE" w:rsidRPr="00B06CCE" w:rsidRDefault="00B06CCE" w:rsidP="00B06CCE">
            <w:pPr>
              <w:spacing w:after="0" w:line="240" w:lineRule="auto"/>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FMS</w:t>
            </w:r>
          </w:p>
        </w:tc>
        <w:tc>
          <w:tcPr>
            <w:tcW w:w="960" w:type="dxa"/>
            <w:tcBorders>
              <w:top w:val="dotted" w:sz="4" w:space="0" w:color="auto"/>
              <w:left w:val="single" w:sz="4" w:space="0" w:color="auto"/>
              <w:bottom w:val="nil"/>
              <w:right w:val="nil"/>
            </w:tcBorders>
            <w:shd w:val="clear" w:color="000000" w:fill="FFFFFF"/>
            <w:noWrap/>
            <w:vAlign w:val="bottom"/>
            <w:hideMark/>
          </w:tcPr>
          <w:p w14:paraId="3030563C"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572</w:t>
            </w:r>
          </w:p>
        </w:tc>
        <w:tc>
          <w:tcPr>
            <w:tcW w:w="960" w:type="dxa"/>
            <w:tcBorders>
              <w:top w:val="dotted" w:sz="4" w:space="0" w:color="auto"/>
              <w:left w:val="nil"/>
              <w:bottom w:val="nil"/>
              <w:right w:val="single" w:sz="4" w:space="0" w:color="auto"/>
            </w:tcBorders>
            <w:shd w:val="clear" w:color="000000" w:fill="FFFFFF"/>
            <w:noWrap/>
            <w:vAlign w:val="bottom"/>
            <w:hideMark/>
          </w:tcPr>
          <w:p w14:paraId="496917CF"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5FC33C22"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620</w:t>
            </w:r>
          </w:p>
        </w:tc>
        <w:tc>
          <w:tcPr>
            <w:tcW w:w="960" w:type="dxa"/>
            <w:tcBorders>
              <w:top w:val="dotted" w:sz="4" w:space="0" w:color="auto"/>
              <w:left w:val="nil"/>
              <w:bottom w:val="nil"/>
              <w:right w:val="nil"/>
            </w:tcBorders>
            <w:shd w:val="clear" w:color="000000" w:fill="FFFFFF"/>
            <w:noWrap/>
            <w:vAlign w:val="bottom"/>
            <w:hideMark/>
          </w:tcPr>
          <w:p w14:paraId="5FE6DFAF"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372015AA"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683</w:t>
            </w:r>
          </w:p>
        </w:tc>
        <w:tc>
          <w:tcPr>
            <w:tcW w:w="960" w:type="dxa"/>
            <w:tcBorders>
              <w:top w:val="dotted" w:sz="4" w:space="0" w:color="auto"/>
              <w:left w:val="nil"/>
              <w:bottom w:val="nil"/>
              <w:right w:val="single" w:sz="4" w:space="0" w:color="auto"/>
            </w:tcBorders>
            <w:shd w:val="clear" w:color="000000" w:fill="FFFFFF"/>
            <w:noWrap/>
            <w:vAlign w:val="bottom"/>
            <w:hideMark/>
          </w:tcPr>
          <w:p w14:paraId="64EBF379"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r>
      <w:tr w:rsidR="00B06CCE" w:rsidRPr="00B06CCE" w14:paraId="578E7408"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4BB359A4"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3A82D78C"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231</w:t>
            </w:r>
          </w:p>
        </w:tc>
        <w:tc>
          <w:tcPr>
            <w:tcW w:w="960" w:type="dxa"/>
            <w:tcBorders>
              <w:top w:val="nil"/>
              <w:left w:val="nil"/>
              <w:bottom w:val="nil"/>
              <w:right w:val="single" w:sz="4" w:space="0" w:color="auto"/>
            </w:tcBorders>
            <w:shd w:val="clear" w:color="000000" w:fill="FFFFFF"/>
            <w:noWrap/>
            <w:vAlign w:val="bottom"/>
            <w:hideMark/>
          </w:tcPr>
          <w:p w14:paraId="4893F01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40.4%</w:t>
            </w:r>
          </w:p>
        </w:tc>
        <w:tc>
          <w:tcPr>
            <w:tcW w:w="960" w:type="dxa"/>
            <w:tcBorders>
              <w:top w:val="nil"/>
              <w:left w:val="nil"/>
              <w:bottom w:val="nil"/>
              <w:right w:val="nil"/>
            </w:tcBorders>
            <w:shd w:val="clear" w:color="000000" w:fill="FFFFFF"/>
            <w:noWrap/>
            <w:vAlign w:val="bottom"/>
            <w:hideMark/>
          </w:tcPr>
          <w:p w14:paraId="6E6DD70D"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332</w:t>
            </w:r>
          </w:p>
        </w:tc>
        <w:tc>
          <w:tcPr>
            <w:tcW w:w="960" w:type="dxa"/>
            <w:tcBorders>
              <w:top w:val="nil"/>
              <w:left w:val="nil"/>
              <w:bottom w:val="nil"/>
              <w:right w:val="nil"/>
            </w:tcBorders>
            <w:shd w:val="clear" w:color="000000" w:fill="FFFFFF"/>
            <w:noWrap/>
            <w:vAlign w:val="bottom"/>
            <w:hideMark/>
          </w:tcPr>
          <w:p w14:paraId="06DFF8E0"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53.5%</w:t>
            </w:r>
          </w:p>
        </w:tc>
        <w:tc>
          <w:tcPr>
            <w:tcW w:w="960" w:type="dxa"/>
            <w:tcBorders>
              <w:top w:val="nil"/>
              <w:left w:val="single" w:sz="4" w:space="0" w:color="auto"/>
              <w:bottom w:val="nil"/>
              <w:right w:val="nil"/>
            </w:tcBorders>
            <w:shd w:val="clear" w:color="000000" w:fill="FFFFFF"/>
            <w:noWrap/>
            <w:vAlign w:val="bottom"/>
            <w:hideMark/>
          </w:tcPr>
          <w:p w14:paraId="595B534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358</w:t>
            </w:r>
          </w:p>
        </w:tc>
        <w:tc>
          <w:tcPr>
            <w:tcW w:w="960" w:type="dxa"/>
            <w:tcBorders>
              <w:top w:val="nil"/>
              <w:left w:val="nil"/>
              <w:bottom w:val="nil"/>
              <w:right w:val="single" w:sz="4" w:space="0" w:color="auto"/>
            </w:tcBorders>
            <w:shd w:val="clear" w:color="000000" w:fill="FFFFFF"/>
            <w:noWrap/>
            <w:vAlign w:val="bottom"/>
            <w:hideMark/>
          </w:tcPr>
          <w:p w14:paraId="1F95F96C"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52.4%</w:t>
            </w:r>
          </w:p>
        </w:tc>
      </w:tr>
      <w:tr w:rsidR="00B06CCE" w:rsidRPr="00B06CCE" w14:paraId="2A90CC68"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0F0641E8"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7E1B237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17</w:t>
            </w:r>
          </w:p>
        </w:tc>
        <w:tc>
          <w:tcPr>
            <w:tcW w:w="960" w:type="dxa"/>
            <w:tcBorders>
              <w:top w:val="nil"/>
              <w:left w:val="nil"/>
              <w:bottom w:val="nil"/>
              <w:right w:val="single" w:sz="4" w:space="0" w:color="auto"/>
            </w:tcBorders>
            <w:shd w:val="clear" w:color="000000" w:fill="FFFFFF"/>
            <w:noWrap/>
            <w:vAlign w:val="bottom"/>
            <w:hideMark/>
          </w:tcPr>
          <w:p w14:paraId="722B8ECC"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nil"/>
            </w:tcBorders>
            <w:shd w:val="clear" w:color="000000" w:fill="FFFFFF"/>
            <w:noWrap/>
            <w:vAlign w:val="bottom"/>
            <w:hideMark/>
          </w:tcPr>
          <w:p w14:paraId="0C1225EB"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55</w:t>
            </w:r>
          </w:p>
        </w:tc>
        <w:tc>
          <w:tcPr>
            <w:tcW w:w="960" w:type="dxa"/>
            <w:tcBorders>
              <w:top w:val="nil"/>
              <w:left w:val="nil"/>
              <w:bottom w:val="nil"/>
              <w:right w:val="nil"/>
            </w:tcBorders>
            <w:shd w:val="clear" w:color="000000" w:fill="FFFFFF"/>
            <w:noWrap/>
            <w:vAlign w:val="bottom"/>
            <w:hideMark/>
          </w:tcPr>
          <w:p w14:paraId="2F455AF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8.9%</w:t>
            </w:r>
          </w:p>
        </w:tc>
        <w:tc>
          <w:tcPr>
            <w:tcW w:w="960" w:type="dxa"/>
            <w:tcBorders>
              <w:top w:val="nil"/>
              <w:left w:val="single" w:sz="4" w:space="0" w:color="auto"/>
              <w:bottom w:val="nil"/>
              <w:right w:val="nil"/>
            </w:tcBorders>
            <w:shd w:val="clear" w:color="000000" w:fill="FFFFFF"/>
            <w:noWrap/>
            <w:vAlign w:val="bottom"/>
            <w:hideMark/>
          </w:tcPr>
          <w:p w14:paraId="12BEE70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41</w:t>
            </w:r>
          </w:p>
        </w:tc>
        <w:tc>
          <w:tcPr>
            <w:tcW w:w="960" w:type="dxa"/>
            <w:tcBorders>
              <w:top w:val="nil"/>
              <w:left w:val="nil"/>
              <w:bottom w:val="nil"/>
              <w:right w:val="single" w:sz="4" w:space="0" w:color="auto"/>
            </w:tcBorders>
            <w:shd w:val="clear" w:color="000000" w:fill="FFFFFF"/>
            <w:noWrap/>
            <w:vAlign w:val="bottom"/>
            <w:hideMark/>
          </w:tcPr>
          <w:p w14:paraId="40B2E89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6.0%</w:t>
            </w:r>
          </w:p>
        </w:tc>
      </w:tr>
      <w:tr w:rsidR="00B06CCE" w:rsidRPr="00B06CCE" w14:paraId="5B84D157"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0FFE816F"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31B83606"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324</w:t>
            </w:r>
          </w:p>
        </w:tc>
        <w:tc>
          <w:tcPr>
            <w:tcW w:w="960" w:type="dxa"/>
            <w:tcBorders>
              <w:top w:val="nil"/>
              <w:left w:val="nil"/>
              <w:bottom w:val="nil"/>
              <w:right w:val="single" w:sz="4" w:space="0" w:color="auto"/>
            </w:tcBorders>
            <w:shd w:val="clear" w:color="000000" w:fill="FFFFFF"/>
            <w:noWrap/>
            <w:vAlign w:val="bottom"/>
            <w:hideMark/>
          </w:tcPr>
          <w:p w14:paraId="02FD4E96"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56.6%</w:t>
            </w:r>
          </w:p>
        </w:tc>
        <w:tc>
          <w:tcPr>
            <w:tcW w:w="960" w:type="dxa"/>
            <w:tcBorders>
              <w:top w:val="nil"/>
              <w:left w:val="nil"/>
              <w:bottom w:val="nil"/>
              <w:right w:val="nil"/>
            </w:tcBorders>
            <w:shd w:val="clear" w:color="000000" w:fill="FFFFFF"/>
            <w:noWrap/>
            <w:vAlign w:val="bottom"/>
            <w:hideMark/>
          </w:tcPr>
          <w:p w14:paraId="4ABC922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233</w:t>
            </w:r>
          </w:p>
        </w:tc>
        <w:tc>
          <w:tcPr>
            <w:tcW w:w="960" w:type="dxa"/>
            <w:tcBorders>
              <w:top w:val="nil"/>
              <w:left w:val="nil"/>
              <w:bottom w:val="nil"/>
              <w:right w:val="nil"/>
            </w:tcBorders>
            <w:shd w:val="clear" w:color="000000" w:fill="FFFFFF"/>
            <w:noWrap/>
            <w:vAlign w:val="bottom"/>
            <w:hideMark/>
          </w:tcPr>
          <w:p w14:paraId="3F3EDA5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37.6%</w:t>
            </w:r>
          </w:p>
        </w:tc>
        <w:tc>
          <w:tcPr>
            <w:tcW w:w="960" w:type="dxa"/>
            <w:tcBorders>
              <w:top w:val="nil"/>
              <w:left w:val="single" w:sz="4" w:space="0" w:color="auto"/>
              <w:bottom w:val="nil"/>
              <w:right w:val="nil"/>
            </w:tcBorders>
            <w:shd w:val="clear" w:color="000000" w:fill="FFFFFF"/>
            <w:noWrap/>
            <w:vAlign w:val="bottom"/>
            <w:hideMark/>
          </w:tcPr>
          <w:p w14:paraId="694A86E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284</w:t>
            </w:r>
          </w:p>
        </w:tc>
        <w:tc>
          <w:tcPr>
            <w:tcW w:w="960" w:type="dxa"/>
            <w:tcBorders>
              <w:top w:val="nil"/>
              <w:left w:val="nil"/>
              <w:bottom w:val="nil"/>
              <w:right w:val="single" w:sz="4" w:space="0" w:color="auto"/>
            </w:tcBorders>
            <w:shd w:val="clear" w:color="000000" w:fill="FFFFFF"/>
            <w:noWrap/>
            <w:vAlign w:val="bottom"/>
            <w:hideMark/>
          </w:tcPr>
          <w:p w14:paraId="6B273E10"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41.6%</w:t>
            </w:r>
          </w:p>
        </w:tc>
      </w:tr>
      <w:tr w:rsidR="00B06CCE" w:rsidRPr="00B06CCE" w14:paraId="18C55BEC" w14:textId="77777777" w:rsidTr="00B06C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115FD53E" w14:textId="77777777" w:rsidR="00B06CCE" w:rsidRPr="00B06CCE" w:rsidRDefault="00B06CCE" w:rsidP="00B06CCE">
            <w:pPr>
              <w:spacing w:after="0" w:line="240" w:lineRule="auto"/>
              <w:rPr>
                <w:rFonts w:asciiTheme="minorHAnsi" w:eastAsia="Times New Roman" w:hAnsiTheme="minorHAnsi" w:cs="Times New Roman"/>
                <w:b/>
                <w:bCs/>
                <w:color w:val="000000"/>
                <w:kern w:val="0"/>
                <w:szCs w:val="22"/>
                <w:lang w:eastAsia="en-GB"/>
                <w14:ligatures w14:val="none"/>
              </w:rPr>
            </w:pPr>
            <w:proofErr w:type="spellStart"/>
            <w:r w:rsidRPr="00B06CCE">
              <w:rPr>
                <w:rFonts w:asciiTheme="minorHAnsi" w:eastAsia="Times New Roman" w:hAnsiTheme="minorHAnsi" w:cs="Times New Roman"/>
                <w:b/>
                <w:bCs/>
                <w:color w:val="000000"/>
                <w:kern w:val="0"/>
                <w:szCs w:val="22"/>
                <w:lang w:eastAsia="en-GB"/>
                <w14:ligatures w14:val="none"/>
              </w:rPr>
              <w:t>SAgE</w:t>
            </w:r>
            <w:proofErr w:type="spellEnd"/>
          </w:p>
        </w:tc>
        <w:tc>
          <w:tcPr>
            <w:tcW w:w="960" w:type="dxa"/>
            <w:tcBorders>
              <w:top w:val="dotted" w:sz="4" w:space="0" w:color="auto"/>
              <w:left w:val="single" w:sz="4" w:space="0" w:color="auto"/>
              <w:bottom w:val="nil"/>
              <w:right w:val="nil"/>
            </w:tcBorders>
            <w:shd w:val="clear" w:color="000000" w:fill="FFFFFF"/>
            <w:noWrap/>
            <w:vAlign w:val="bottom"/>
            <w:hideMark/>
          </w:tcPr>
          <w:p w14:paraId="24846ED0"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477</w:t>
            </w:r>
          </w:p>
        </w:tc>
        <w:tc>
          <w:tcPr>
            <w:tcW w:w="960" w:type="dxa"/>
            <w:tcBorders>
              <w:top w:val="dotted" w:sz="4" w:space="0" w:color="auto"/>
              <w:left w:val="nil"/>
              <w:bottom w:val="nil"/>
              <w:right w:val="single" w:sz="4" w:space="0" w:color="auto"/>
            </w:tcBorders>
            <w:shd w:val="clear" w:color="000000" w:fill="FFFFFF"/>
            <w:noWrap/>
            <w:vAlign w:val="bottom"/>
            <w:hideMark/>
          </w:tcPr>
          <w:p w14:paraId="079BD963"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nil"/>
              <w:right w:val="nil"/>
            </w:tcBorders>
            <w:shd w:val="clear" w:color="000000" w:fill="FFFFFF"/>
            <w:noWrap/>
            <w:vAlign w:val="bottom"/>
            <w:hideMark/>
          </w:tcPr>
          <w:p w14:paraId="00EF6ACF"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289</w:t>
            </w:r>
          </w:p>
        </w:tc>
        <w:tc>
          <w:tcPr>
            <w:tcW w:w="960" w:type="dxa"/>
            <w:tcBorders>
              <w:top w:val="dotted" w:sz="4" w:space="0" w:color="auto"/>
              <w:left w:val="nil"/>
              <w:bottom w:val="nil"/>
              <w:right w:val="nil"/>
            </w:tcBorders>
            <w:shd w:val="clear" w:color="000000" w:fill="FFFFFF"/>
            <w:noWrap/>
            <w:vAlign w:val="bottom"/>
            <w:hideMark/>
          </w:tcPr>
          <w:p w14:paraId="7BE13161"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single" w:sz="4" w:space="0" w:color="auto"/>
              <w:bottom w:val="nil"/>
              <w:right w:val="nil"/>
            </w:tcBorders>
            <w:shd w:val="clear" w:color="000000" w:fill="FFFFFF"/>
            <w:noWrap/>
            <w:vAlign w:val="bottom"/>
            <w:hideMark/>
          </w:tcPr>
          <w:p w14:paraId="09306090"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368</w:t>
            </w:r>
          </w:p>
        </w:tc>
        <w:tc>
          <w:tcPr>
            <w:tcW w:w="960" w:type="dxa"/>
            <w:tcBorders>
              <w:top w:val="dotted" w:sz="4" w:space="0" w:color="auto"/>
              <w:left w:val="nil"/>
              <w:bottom w:val="nil"/>
              <w:right w:val="single" w:sz="4" w:space="0" w:color="auto"/>
            </w:tcBorders>
            <w:shd w:val="clear" w:color="000000" w:fill="FFFFFF"/>
            <w:noWrap/>
            <w:vAlign w:val="bottom"/>
            <w:hideMark/>
          </w:tcPr>
          <w:p w14:paraId="1FF518CE"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r>
      <w:tr w:rsidR="00B06CCE" w:rsidRPr="00B06CCE" w14:paraId="6287535F"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66643257"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2CEC29F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169</w:t>
            </w:r>
          </w:p>
        </w:tc>
        <w:tc>
          <w:tcPr>
            <w:tcW w:w="960" w:type="dxa"/>
            <w:tcBorders>
              <w:top w:val="nil"/>
              <w:left w:val="nil"/>
              <w:bottom w:val="nil"/>
              <w:right w:val="single" w:sz="4" w:space="0" w:color="auto"/>
            </w:tcBorders>
            <w:shd w:val="clear" w:color="000000" w:fill="FFFFFF"/>
            <w:noWrap/>
            <w:vAlign w:val="bottom"/>
            <w:hideMark/>
          </w:tcPr>
          <w:p w14:paraId="7B13CEC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35.4%</w:t>
            </w:r>
          </w:p>
        </w:tc>
        <w:tc>
          <w:tcPr>
            <w:tcW w:w="960" w:type="dxa"/>
            <w:tcBorders>
              <w:top w:val="nil"/>
              <w:left w:val="nil"/>
              <w:bottom w:val="nil"/>
              <w:right w:val="nil"/>
            </w:tcBorders>
            <w:shd w:val="clear" w:color="000000" w:fill="FFFFFF"/>
            <w:noWrap/>
            <w:vAlign w:val="bottom"/>
            <w:hideMark/>
          </w:tcPr>
          <w:p w14:paraId="41F1DDB9"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168</w:t>
            </w:r>
          </w:p>
        </w:tc>
        <w:tc>
          <w:tcPr>
            <w:tcW w:w="960" w:type="dxa"/>
            <w:tcBorders>
              <w:top w:val="nil"/>
              <w:left w:val="nil"/>
              <w:bottom w:val="nil"/>
              <w:right w:val="nil"/>
            </w:tcBorders>
            <w:shd w:val="clear" w:color="000000" w:fill="FFFFFF"/>
            <w:noWrap/>
            <w:vAlign w:val="bottom"/>
            <w:hideMark/>
          </w:tcPr>
          <w:p w14:paraId="76D3EC3A"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58.1%</w:t>
            </w:r>
          </w:p>
        </w:tc>
        <w:tc>
          <w:tcPr>
            <w:tcW w:w="960" w:type="dxa"/>
            <w:tcBorders>
              <w:top w:val="nil"/>
              <w:left w:val="single" w:sz="4" w:space="0" w:color="auto"/>
              <w:bottom w:val="nil"/>
              <w:right w:val="nil"/>
            </w:tcBorders>
            <w:shd w:val="clear" w:color="000000" w:fill="FFFFFF"/>
            <w:noWrap/>
            <w:vAlign w:val="bottom"/>
            <w:hideMark/>
          </w:tcPr>
          <w:p w14:paraId="3B1A6E19"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154</w:t>
            </w:r>
          </w:p>
        </w:tc>
        <w:tc>
          <w:tcPr>
            <w:tcW w:w="960" w:type="dxa"/>
            <w:tcBorders>
              <w:top w:val="nil"/>
              <w:left w:val="nil"/>
              <w:bottom w:val="nil"/>
              <w:right w:val="single" w:sz="4" w:space="0" w:color="auto"/>
            </w:tcBorders>
            <w:shd w:val="clear" w:color="000000" w:fill="FFFFFF"/>
            <w:noWrap/>
            <w:vAlign w:val="bottom"/>
            <w:hideMark/>
          </w:tcPr>
          <w:p w14:paraId="7FFE86D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41.8%</w:t>
            </w:r>
          </w:p>
        </w:tc>
      </w:tr>
      <w:tr w:rsidR="00B06CCE" w:rsidRPr="00B06CCE" w14:paraId="399BDA3A"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7C965420"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2E26500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single" w:sz="4" w:space="0" w:color="auto"/>
            </w:tcBorders>
            <w:shd w:val="clear" w:color="000000" w:fill="FFFFFF"/>
            <w:noWrap/>
            <w:vAlign w:val="bottom"/>
            <w:hideMark/>
          </w:tcPr>
          <w:p w14:paraId="0ED9E974"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2.7%</w:t>
            </w:r>
          </w:p>
        </w:tc>
        <w:tc>
          <w:tcPr>
            <w:tcW w:w="960" w:type="dxa"/>
            <w:tcBorders>
              <w:top w:val="nil"/>
              <w:left w:val="nil"/>
              <w:bottom w:val="nil"/>
              <w:right w:val="nil"/>
            </w:tcBorders>
            <w:shd w:val="clear" w:color="000000" w:fill="FFFFFF"/>
            <w:noWrap/>
            <w:vAlign w:val="bottom"/>
            <w:hideMark/>
          </w:tcPr>
          <w:p w14:paraId="58DDBBBD"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18</w:t>
            </w:r>
          </w:p>
        </w:tc>
        <w:tc>
          <w:tcPr>
            <w:tcW w:w="960" w:type="dxa"/>
            <w:tcBorders>
              <w:top w:val="nil"/>
              <w:left w:val="nil"/>
              <w:bottom w:val="nil"/>
              <w:right w:val="nil"/>
            </w:tcBorders>
            <w:shd w:val="clear" w:color="000000" w:fill="FFFFFF"/>
            <w:noWrap/>
            <w:vAlign w:val="bottom"/>
            <w:hideMark/>
          </w:tcPr>
          <w:p w14:paraId="4D782F2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6.2%</w:t>
            </w:r>
          </w:p>
        </w:tc>
        <w:tc>
          <w:tcPr>
            <w:tcW w:w="960" w:type="dxa"/>
            <w:tcBorders>
              <w:top w:val="nil"/>
              <w:left w:val="single" w:sz="4" w:space="0" w:color="auto"/>
              <w:bottom w:val="nil"/>
              <w:right w:val="nil"/>
            </w:tcBorders>
            <w:shd w:val="clear" w:color="000000" w:fill="FFFFFF"/>
            <w:noWrap/>
            <w:vAlign w:val="bottom"/>
            <w:hideMark/>
          </w:tcPr>
          <w:p w14:paraId="16B4ED4B"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19</w:t>
            </w:r>
          </w:p>
        </w:tc>
        <w:tc>
          <w:tcPr>
            <w:tcW w:w="960" w:type="dxa"/>
            <w:tcBorders>
              <w:top w:val="nil"/>
              <w:left w:val="nil"/>
              <w:bottom w:val="nil"/>
              <w:right w:val="single" w:sz="4" w:space="0" w:color="auto"/>
            </w:tcBorders>
            <w:shd w:val="clear" w:color="000000" w:fill="FFFFFF"/>
            <w:noWrap/>
            <w:vAlign w:val="bottom"/>
            <w:hideMark/>
          </w:tcPr>
          <w:p w14:paraId="360003BA"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5.2%</w:t>
            </w:r>
          </w:p>
        </w:tc>
      </w:tr>
      <w:tr w:rsidR="00B06CCE" w:rsidRPr="00B06CCE" w14:paraId="43EC05FA"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2B0FACE0"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367E3F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295</w:t>
            </w:r>
          </w:p>
        </w:tc>
        <w:tc>
          <w:tcPr>
            <w:tcW w:w="960" w:type="dxa"/>
            <w:tcBorders>
              <w:top w:val="nil"/>
              <w:left w:val="nil"/>
              <w:bottom w:val="nil"/>
              <w:right w:val="single" w:sz="4" w:space="0" w:color="auto"/>
            </w:tcBorders>
            <w:shd w:val="clear" w:color="000000" w:fill="FFFFFF"/>
            <w:noWrap/>
            <w:vAlign w:val="bottom"/>
            <w:hideMark/>
          </w:tcPr>
          <w:p w14:paraId="13A26037"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61.8%</w:t>
            </w:r>
          </w:p>
        </w:tc>
        <w:tc>
          <w:tcPr>
            <w:tcW w:w="960" w:type="dxa"/>
            <w:tcBorders>
              <w:top w:val="nil"/>
              <w:left w:val="nil"/>
              <w:bottom w:val="nil"/>
              <w:right w:val="nil"/>
            </w:tcBorders>
            <w:shd w:val="clear" w:color="000000" w:fill="FFFFFF"/>
            <w:noWrap/>
            <w:vAlign w:val="bottom"/>
            <w:hideMark/>
          </w:tcPr>
          <w:p w14:paraId="5751E8C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103</w:t>
            </w:r>
          </w:p>
        </w:tc>
        <w:tc>
          <w:tcPr>
            <w:tcW w:w="960" w:type="dxa"/>
            <w:tcBorders>
              <w:top w:val="nil"/>
              <w:left w:val="nil"/>
              <w:bottom w:val="nil"/>
              <w:right w:val="nil"/>
            </w:tcBorders>
            <w:shd w:val="clear" w:color="000000" w:fill="FFFFFF"/>
            <w:noWrap/>
            <w:vAlign w:val="bottom"/>
            <w:hideMark/>
          </w:tcPr>
          <w:p w14:paraId="7C5B3EF4"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35.6%</w:t>
            </w:r>
          </w:p>
        </w:tc>
        <w:tc>
          <w:tcPr>
            <w:tcW w:w="960" w:type="dxa"/>
            <w:tcBorders>
              <w:top w:val="nil"/>
              <w:left w:val="single" w:sz="4" w:space="0" w:color="auto"/>
              <w:bottom w:val="nil"/>
              <w:right w:val="nil"/>
            </w:tcBorders>
            <w:shd w:val="clear" w:color="000000" w:fill="FFFFFF"/>
            <w:noWrap/>
            <w:vAlign w:val="bottom"/>
            <w:hideMark/>
          </w:tcPr>
          <w:p w14:paraId="538B06BC"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195</w:t>
            </w:r>
          </w:p>
        </w:tc>
        <w:tc>
          <w:tcPr>
            <w:tcW w:w="960" w:type="dxa"/>
            <w:tcBorders>
              <w:top w:val="nil"/>
              <w:left w:val="nil"/>
              <w:bottom w:val="nil"/>
              <w:right w:val="single" w:sz="4" w:space="0" w:color="auto"/>
            </w:tcBorders>
            <w:shd w:val="clear" w:color="000000" w:fill="FFFFFF"/>
            <w:noWrap/>
            <w:vAlign w:val="bottom"/>
            <w:hideMark/>
          </w:tcPr>
          <w:p w14:paraId="178E29F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53.0%</w:t>
            </w:r>
          </w:p>
        </w:tc>
      </w:tr>
      <w:tr w:rsidR="00B06CCE" w:rsidRPr="00B06CCE" w14:paraId="285DFB8F" w14:textId="77777777" w:rsidTr="00B06C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50AE1239" w14:textId="77777777" w:rsidR="00B06CCE" w:rsidRPr="00B06CCE" w:rsidRDefault="00B06CCE" w:rsidP="00B06CCE">
            <w:pPr>
              <w:spacing w:after="0" w:line="240" w:lineRule="auto"/>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Academic Hub</w:t>
            </w:r>
          </w:p>
        </w:tc>
        <w:tc>
          <w:tcPr>
            <w:tcW w:w="960" w:type="dxa"/>
            <w:tcBorders>
              <w:top w:val="dotted" w:sz="4" w:space="0" w:color="auto"/>
              <w:left w:val="single" w:sz="4" w:space="0" w:color="auto"/>
              <w:bottom w:val="nil"/>
              <w:right w:val="nil"/>
            </w:tcBorders>
            <w:shd w:val="clear" w:color="000000" w:fill="FFFFFF"/>
            <w:noWrap/>
            <w:vAlign w:val="bottom"/>
            <w:hideMark/>
          </w:tcPr>
          <w:p w14:paraId="40FDFCB5"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single" w:sz="4" w:space="0" w:color="auto"/>
            </w:tcBorders>
            <w:shd w:val="clear" w:color="000000" w:fill="FFFFFF"/>
            <w:noWrap/>
            <w:vAlign w:val="bottom"/>
            <w:hideMark/>
          </w:tcPr>
          <w:p w14:paraId="6AD48A16"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nil"/>
              <w:bottom w:val="nil"/>
              <w:right w:val="nil"/>
            </w:tcBorders>
            <w:shd w:val="clear" w:color="000000" w:fill="FFFFFF"/>
            <w:noWrap/>
            <w:vAlign w:val="bottom"/>
            <w:hideMark/>
          </w:tcPr>
          <w:p w14:paraId="76C26221"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&lt;7</w:t>
            </w:r>
          </w:p>
        </w:tc>
        <w:tc>
          <w:tcPr>
            <w:tcW w:w="960" w:type="dxa"/>
            <w:tcBorders>
              <w:top w:val="dotted" w:sz="4" w:space="0" w:color="auto"/>
              <w:left w:val="nil"/>
              <w:bottom w:val="nil"/>
              <w:right w:val="nil"/>
            </w:tcBorders>
            <w:shd w:val="clear" w:color="000000" w:fill="FFFFFF"/>
            <w:noWrap/>
            <w:vAlign w:val="bottom"/>
            <w:hideMark/>
          </w:tcPr>
          <w:p w14:paraId="1A3B7ACF"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w:t>
            </w:r>
          </w:p>
        </w:tc>
        <w:tc>
          <w:tcPr>
            <w:tcW w:w="960" w:type="dxa"/>
            <w:tcBorders>
              <w:top w:val="dotted" w:sz="4" w:space="0" w:color="auto"/>
              <w:left w:val="single" w:sz="4" w:space="0" w:color="auto"/>
              <w:bottom w:val="nil"/>
              <w:right w:val="nil"/>
            </w:tcBorders>
            <w:shd w:val="clear" w:color="000000" w:fill="FFFFFF"/>
            <w:noWrap/>
            <w:vAlign w:val="bottom"/>
            <w:hideMark/>
          </w:tcPr>
          <w:p w14:paraId="76E3238C"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871</w:t>
            </w:r>
          </w:p>
        </w:tc>
        <w:tc>
          <w:tcPr>
            <w:tcW w:w="960" w:type="dxa"/>
            <w:tcBorders>
              <w:top w:val="dotted" w:sz="4" w:space="0" w:color="auto"/>
              <w:left w:val="nil"/>
              <w:bottom w:val="nil"/>
              <w:right w:val="single" w:sz="4" w:space="0" w:color="auto"/>
            </w:tcBorders>
            <w:shd w:val="clear" w:color="000000" w:fill="FFFFFF"/>
            <w:noWrap/>
            <w:vAlign w:val="bottom"/>
            <w:hideMark/>
          </w:tcPr>
          <w:p w14:paraId="02D7B596"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r>
      <w:tr w:rsidR="00B06CCE" w:rsidRPr="00B06CCE" w14:paraId="45D08BEC"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38885C0B"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623FDA3A"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6A3C0C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13288198"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400672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E813EB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414</w:t>
            </w:r>
          </w:p>
        </w:tc>
        <w:tc>
          <w:tcPr>
            <w:tcW w:w="960" w:type="dxa"/>
            <w:tcBorders>
              <w:top w:val="nil"/>
              <w:left w:val="nil"/>
              <w:bottom w:val="nil"/>
              <w:right w:val="single" w:sz="4" w:space="0" w:color="auto"/>
            </w:tcBorders>
            <w:shd w:val="clear" w:color="000000" w:fill="FFFFFF"/>
            <w:noWrap/>
            <w:vAlign w:val="bottom"/>
            <w:hideMark/>
          </w:tcPr>
          <w:p w14:paraId="6F4F071B"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47.5%</w:t>
            </w:r>
          </w:p>
        </w:tc>
      </w:tr>
      <w:tr w:rsidR="00B06CCE" w:rsidRPr="00B06CCE" w14:paraId="78D69E0A"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6C94B2F9"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1FA2FD49"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ADB92B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4975A7A"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nil"/>
            </w:tcBorders>
            <w:shd w:val="clear" w:color="000000" w:fill="FFFFFF"/>
            <w:noWrap/>
            <w:vAlign w:val="bottom"/>
            <w:hideMark/>
          </w:tcPr>
          <w:p w14:paraId="1D76F3C8"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w:t>
            </w:r>
          </w:p>
        </w:tc>
        <w:tc>
          <w:tcPr>
            <w:tcW w:w="960" w:type="dxa"/>
            <w:tcBorders>
              <w:top w:val="nil"/>
              <w:left w:val="single" w:sz="4" w:space="0" w:color="auto"/>
              <w:bottom w:val="nil"/>
              <w:right w:val="nil"/>
            </w:tcBorders>
            <w:shd w:val="clear" w:color="000000" w:fill="FFFFFF"/>
            <w:noWrap/>
            <w:vAlign w:val="bottom"/>
            <w:hideMark/>
          </w:tcPr>
          <w:p w14:paraId="777303FD"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62</w:t>
            </w:r>
          </w:p>
        </w:tc>
        <w:tc>
          <w:tcPr>
            <w:tcW w:w="960" w:type="dxa"/>
            <w:tcBorders>
              <w:top w:val="nil"/>
              <w:left w:val="nil"/>
              <w:bottom w:val="nil"/>
              <w:right w:val="single" w:sz="4" w:space="0" w:color="auto"/>
            </w:tcBorders>
            <w:shd w:val="clear" w:color="000000" w:fill="FFFFFF"/>
            <w:noWrap/>
            <w:vAlign w:val="bottom"/>
            <w:hideMark/>
          </w:tcPr>
          <w:p w14:paraId="126CF3E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7.1%</w:t>
            </w:r>
          </w:p>
        </w:tc>
      </w:tr>
      <w:tr w:rsidR="00B06CCE" w:rsidRPr="00B06CCE" w14:paraId="2469EA46"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5C79E8C2"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4BE32F85"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5A2E15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4ACF478"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A2B7C34"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148C437"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395</w:t>
            </w:r>
          </w:p>
        </w:tc>
        <w:tc>
          <w:tcPr>
            <w:tcW w:w="960" w:type="dxa"/>
            <w:tcBorders>
              <w:top w:val="nil"/>
              <w:left w:val="nil"/>
              <w:bottom w:val="nil"/>
              <w:right w:val="single" w:sz="4" w:space="0" w:color="auto"/>
            </w:tcBorders>
            <w:shd w:val="clear" w:color="000000" w:fill="FFFFFF"/>
            <w:noWrap/>
            <w:vAlign w:val="bottom"/>
            <w:hideMark/>
          </w:tcPr>
          <w:p w14:paraId="7F9C25FA"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45.4%</w:t>
            </w:r>
          </w:p>
        </w:tc>
      </w:tr>
      <w:tr w:rsidR="00B06CCE" w:rsidRPr="00B06CCE" w14:paraId="3A735B0E" w14:textId="77777777" w:rsidTr="00B06C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0E4D3C0D" w14:textId="77777777" w:rsidR="00B06CCE" w:rsidRPr="00B06CCE" w:rsidRDefault="00B06CCE" w:rsidP="00B06CCE">
            <w:pPr>
              <w:spacing w:after="0" w:line="240" w:lineRule="auto"/>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Finance &amp; Operations Hub</w:t>
            </w:r>
          </w:p>
        </w:tc>
        <w:tc>
          <w:tcPr>
            <w:tcW w:w="960" w:type="dxa"/>
            <w:tcBorders>
              <w:top w:val="dotted" w:sz="4" w:space="0" w:color="auto"/>
              <w:left w:val="single" w:sz="4" w:space="0" w:color="auto"/>
              <w:bottom w:val="nil"/>
              <w:right w:val="nil"/>
            </w:tcBorders>
            <w:shd w:val="clear" w:color="000000" w:fill="FFFFFF"/>
            <w:noWrap/>
            <w:vAlign w:val="bottom"/>
            <w:hideMark/>
          </w:tcPr>
          <w:p w14:paraId="4405702D"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1FAD43B1"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550AB2DE"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167CD920"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4EA2585F"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1051</w:t>
            </w:r>
          </w:p>
        </w:tc>
        <w:tc>
          <w:tcPr>
            <w:tcW w:w="960" w:type="dxa"/>
            <w:tcBorders>
              <w:top w:val="dotted" w:sz="4" w:space="0" w:color="auto"/>
              <w:left w:val="nil"/>
              <w:bottom w:val="nil"/>
              <w:right w:val="single" w:sz="4" w:space="0" w:color="auto"/>
            </w:tcBorders>
            <w:shd w:val="clear" w:color="000000" w:fill="FFFFFF"/>
            <w:noWrap/>
            <w:vAlign w:val="bottom"/>
            <w:hideMark/>
          </w:tcPr>
          <w:p w14:paraId="452513BF"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r>
      <w:tr w:rsidR="00B06CCE" w:rsidRPr="00B06CCE" w14:paraId="72EB48D9"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76790BAA"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1CC161F6"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41D7CEB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F232798"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52B29A28"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8D0C34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491</w:t>
            </w:r>
          </w:p>
        </w:tc>
        <w:tc>
          <w:tcPr>
            <w:tcW w:w="960" w:type="dxa"/>
            <w:tcBorders>
              <w:top w:val="nil"/>
              <w:left w:val="nil"/>
              <w:bottom w:val="nil"/>
              <w:right w:val="single" w:sz="4" w:space="0" w:color="auto"/>
            </w:tcBorders>
            <w:shd w:val="clear" w:color="000000" w:fill="FFFFFF"/>
            <w:noWrap/>
            <w:vAlign w:val="bottom"/>
            <w:hideMark/>
          </w:tcPr>
          <w:p w14:paraId="6BDF5C78"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46.7%</w:t>
            </w:r>
          </w:p>
        </w:tc>
      </w:tr>
      <w:tr w:rsidR="00B06CCE" w:rsidRPr="00B06CCE" w14:paraId="60EC8B38"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4756A458"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61EB9304"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2573F27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C2AB725"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DC0EB7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2D15488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24</w:t>
            </w:r>
          </w:p>
        </w:tc>
        <w:tc>
          <w:tcPr>
            <w:tcW w:w="960" w:type="dxa"/>
            <w:tcBorders>
              <w:top w:val="nil"/>
              <w:left w:val="nil"/>
              <w:bottom w:val="nil"/>
              <w:right w:val="single" w:sz="4" w:space="0" w:color="auto"/>
            </w:tcBorders>
            <w:shd w:val="clear" w:color="000000" w:fill="FFFFFF"/>
            <w:noWrap/>
            <w:vAlign w:val="bottom"/>
            <w:hideMark/>
          </w:tcPr>
          <w:p w14:paraId="248D6F1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2.3%</w:t>
            </w:r>
          </w:p>
        </w:tc>
      </w:tr>
      <w:tr w:rsidR="00B06CCE" w:rsidRPr="00B06CCE" w14:paraId="2D008D58"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6DA5BB75"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A1568B9"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725F465D"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C1B50BA"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4EF4BB9F"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1DCEAA9D"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536</w:t>
            </w:r>
          </w:p>
        </w:tc>
        <w:tc>
          <w:tcPr>
            <w:tcW w:w="960" w:type="dxa"/>
            <w:tcBorders>
              <w:top w:val="nil"/>
              <w:left w:val="nil"/>
              <w:bottom w:val="nil"/>
              <w:right w:val="single" w:sz="4" w:space="0" w:color="auto"/>
            </w:tcBorders>
            <w:shd w:val="clear" w:color="000000" w:fill="FFFFFF"/>
            <w:noWrap/>
            <w:vAlign w:val="bottom"/>
            <w:hideMark/>
          </w:tcPr>
          <w:p w14:paraId="1C741970"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51.0%</w:t>
            </w:r>
          </w:p>
        </w:tc>
      </w:tr>
      <w:tr w:rsidR="00B06CCE" w:rsidRPr="00B06CCE" w14:paraId="5740220A" w14:textId="77777777" w:rsidTr="00B06CCE">
        <w:trPr>
          <w:trHeight w:val="300"/>
        </w:trPr>
        <w:tc>
          <w:tcPr>
            <w:tcW w:w="2394" w:type="dxa"/>
            <w:tcBorders>
              <w:top w:val="dotted" w:sz="4" w:space="0" w:color="auto"/>
              <w:left w:val="single" w:sz="4" w:space="0" w:color="auto"/>
              <w:bottom w:val="nil"/>
              <w:right w:val="nil"/>
            </w:tcBorders>
            <w:shd w:val="clear" w:color="000000" w:fill="FFFFFF"/>
            <w:noWrap/>
            <w:vAlign w:val="bottom"/>
            <w:hideMark/>
          </w:tcPr>
          <w:p w14:paraId="093B3087" w14:textId="77777777" w:rsidR="00B06CCE" w:rsidRPr="00B06CCE" w:rsidRDefault="00B06CCE" w:rsidP="00B06CCE">
            <w:pPr>
              <w:spacing w:after="0" w:line="240" w:lineRule="auto"/>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People Services</w:t>
            </w:r>
          </w:p>
        </w:tc>
        <w:tc>
          <w:tcPr>
            <w:tcW w:w="960" w:type="dxa"/>
            <w:tcBorders>
              <w:top w:val="dotted" w:sz="4" w:space="0" w:color="auto"/>
              <w:left w:val="single" w:sz="4" w:space="0" w:color="auto"/>
              <w:bottom w:val="nil"/>
              <w:right w:val="nil"/>
            </w:tcBorders>
            <w:shd w:val="clear" w:color="000000" w:fill="FFFFFF"/>
            <w:noWrap/>
            <w:vAlign w:val="bottom"/>
            <w:hideMark/>
          </w:tcPr>
          <w:p w14:paraId="3EC1706D"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single" w:sz="4" w:space="0" w:color="auto"/>
            </w:tcBorders>
            <w:shd w:val="clear" w:color="000000" w:fill="FFFFFF"/>
            <w:noWrap/>
            <w:vAlign w:val="bottom"/>
            <w:hideMark/>
          </w:tcPr>
          <w:p w14:paraId="1E02E715"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7067D02A"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nil"/>
              <w:bottom w:val="nil"/>
              <w:right w:val="nil"/>
            </w:tcBorders>
            <w:shd w:val="clear" w:color="000000" w:fill="FFFFFF"/>
            <w:noWrap/>
            <w:vAlign w:val="bottom"/>
            <w:hideMark/>
          </w:tcPr>
          <w:p w14:paraId="59A9DCA8"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 </w:t>
            </w:r>
          </w:p>
        </w:tc>
        <w:tc>
          <w:tcPr>
            <w:tcW w:w="960" w:type="dxa"/>
            <w:tcBorders>
              <w:top w:val="dotted" w:sz="4" w:space="0" w:color="auto"/>
              <w:left w:val="single" w:sz="4" w:space="0" w:color="auto"/>
              <w:bottom w:val="nil"/>
              <w:right w:val="nil"/>
            </w:tcBorders>
            <w:shd w:val="clear" w:color="000000" w:fill="FFFFFF"/>
            <w:noWrap/>
            <w:vAlign w:val="bottom"/>
            <w:hideMark/>
          </w:tcPr>
          <w:p w14:paraId="64830D8B"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111</w:t>
            </w:r>
          </w:p>
        </w:tc>
        <w:tc>
          <w:tcPr>
            <w:tcW w:w="960" w:type="dxa"/>
            <w:tcBorders>
              <w:top w:val="dotted" w:sz="4" w:space="0" w:color="auto"/>
              <w:left w:val="nil"/>
              <w:bottom w:val="nil"/>
              <w:right w:val="single" w:sz="4" w:space="0" w:color="auto"/>
            </w:tcBorders>
            <w:shd w:val="clear" w:color="000000" w:fill="FFFFFF"/>
            <w:noWrap/>
            <w:vAlign w:val="bottom"/>
            <w:hideMark/>
          </w:tcPr>
          <w:p w14:paraId="12AB78A6" w14:textId="77777777" w:rsidR="00B06CCE" w:rsidRPr="00B06CCE" w:rsidRDefault="00B06CCE" w:rsidP="00B06CCE">
            <w:pPr>
              <w:spacing w:after="0" w:line="240" w:lineRule="auto"/>
              <w:jc w:val="right"/>
              <w:rPr>
                <w:rFonts w:asciiTheme="minorHAnsi" w:eastAsia="Times New Roman" w:hAnsiTheme="minorHAnsi" w:cs="Times New Roman"/>
                <w:b/>
                <w:bCs/>
                <w:color w:val="000000"/>
                <w:kern w:val="0"/>
                <w:szCs w:val="22"/>
                <w:lang w:eastAsia="en-GB"/>
                <w14:ligatures w14:val="none"/>
              </w:rPr>
            </w:pPr>
            <w:r w:rsidRPr="00B06CCE">
              <w:rPr>
                <w:rFonts w:asciiTheme="minorHAnsi" w:eastAsia="Times New Roman" w:hAnsiTheme="minorHAnsi" w:cs="Times New Roman"/>
                <w:b/>
                <w:bCs/>
                <w:color w:val="000000"/>
                <w:kern w:val="0"/>
                <w:szCs w:val="22"/>
                <w:lang w:eastAsia="en-GB"/>
                <w14:ligatures w14:val="none"/>
              </w:rPr>
              <w:t>100%</w:t>
            </w:r>
          </w:p>
        </w:tc>
      </w:tr>
      <w:tr w:rsidR="00B06CCE" w:rsidRPr="00B06CCE" w14:paraId="75451594"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5266BA24"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49FFCF1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75B99C25"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6CA8270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9ED6367"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730B1AA4"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61</w:t>
            </w:r>
          </w:p>
        </w:tc>
        <w:tc>
          <w:tcPr>
            <w:tcW w:w="960" w:type="dxa"/>
            <w:tcBorders>
              <w:top w:val="nil"/>
              <w:left w:val="nil"/>
              <w:bottom w:val="nil"/>
              <w:right w:val="single" w:sz="4" w:space="0" w:color="auto"/>
            </w:tcBorders>
            <w:shd w:val="clear" w:color="000000" w:fill="FFFFFF"/>
            <w:noWrap/>
            <w:vAlign w:val="bottom"/>
            <w:hideMark/>
          </w:tcPr>
          <w:p w14:paraId="0C09F693"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55.0%</w:t>
            </w:r>
          </w:p>
        </w:tc>
      </w:tr>
      <w:tr w:rsidR="00B06CCE" w:rsidRPr="00B06CCE" w14:paraId="75EF5D68" w14:textId="77777777" w:rsidTr="00B06CCE">
        <w:trPr>
          <w:trHeight w:val="300"/>
        </w:trPr>
        <w:tc>
          <w:tcPr>
            <w:tcW w:w="2394" w:type="dxa"/>
            <w:tcBorders>
              <w:top w:val="nil"/>
              <w:left w:val="single" w:sz="4" w:space="0" w:color="auto"/>
              <w:bottom w:val="nil"/>
              <w:right w:val="nil"/>
            </w:tcBorders>
            <w:shd w:val="clear" w:color="000000" w:fill="FFFFFF"/>
            <w:noWrap/>
            <w:vAlign w:val="bottom"/>
            <w:hideMark/>
          </w:tcPr>
          <w:p w14:paraId="7659C719"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6D37FF7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single" w:sz="4" w:space="0" w:color="auto"/>
            </w:tcBorders>
            <w:shd w:val="clear" w:color="000000" w:fill="FFFFFF"/>
            <w:noWrap/>
            <w:vAlign w:val="bottom"/>
            <w:hideMark/>
          </w:tcPr>
          <w:p w14:paraId="185176E4"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084AD4E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nil"/>
              <w:right w:val="nil"/>
            </w:tcBorders>
            <w:shd w:val="clear" w:color="000000" w:fill="FFFFFF"/>
            <w:noWrap/>
            <w:vAlign w:val="bottom"/>
            <w:hideMark/>
          </w:tcPr>
          <w:p w14:paraId="39D5A397"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nil"/>
              <w:right w:val="nil"/>
            </w:tcBorders>
            <w:shd w:val="clear" w:color="000000" w:fill="FFFFFF"/>
            <w:noWrap/>
            <w:vAlign w:val="bottom"/>
            <w:hideMark/>
          </w:tcPr>
          <w:p w14:paraId="53F1A84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8D09BA1"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w:t>
            </w:r>
          </w:p>
        </w:tc>
      </w:tr>
      <w:tr w:rsidR="00B06CCE" w:rsidRPr="00B06CCE" w14:paraId="3966040E" w14:textId="77777777" w:rsidTr="00B06CCE">
        <w:trPr>
          <w:trHeight w:val="315"/>
        </w:trPr>
        <w:tc>
          <w:tcPr>
            <w:tcW w:w="2394" w:type="dxa"/>
            <w:tcBorders>
              <w:top w:val="nil"/>
              <w:left w:val="single" w:sz="4" w:space="0" w:color="auto"/>
              <w:bottom w:val="double" w:sz="6" w:space="0" w:color="auto"/>
              <w:right w:val="nil"/>
            </w:tcBorders>
            <w:shd w:val="clear" w:color="000000" w:fill="FFFFFF"/>
            <w:noWrap/>
            <w:vAlign w:val="bottom"/>
            <w:hideMark/>
          </w:tcPr>
          <w:p w14:paraId="7ADF4A9A" w14:textId="77777777" w:rsidR="00B06CCE" w:rsidRPr="00B06CCE" w:rsidRDefault="00B06CCE" w:rsidP="00B06CCE">
            <w:pPr>
              <w:spacing w:after="0" w:line="240" w:lineRule="auto"/>
              <w:ind w:firstLineChars="100" w:firstLine="220"/>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double" w:sz="6" w:space="0" w:color="auto"/>
              <w:right w:val="nil"/>
            </w:tcBorders>
            <w:shd w:val="clear" w:color="000000" w:fill="FFFFFF"/>
            <w:noWrap/>
            <w:vAlign w:val="bottom"/>
            <w:hideMark/>
          </w:tcPr>
          <w:p w14:paraId="633DDE78"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single" w:sz="4" w:space="0" w:color="auto"/>
            </w:tcBorders>
            <w:shd w:val="clear" w:color="000000" w:fill="FFFFFF"/>
            <w:noWrap/>
            <w:vAlign w:val="bottom"/>
            <w:hideMark/>
          </w:tcPr>
          <w:p w14:paraId="578C8A6B"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45A7092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nil"/>
              <w:bottom w:val="double" w:sz="6" w:space="0" w:color="auto"/>
              <w:right w:val="nil"/>
            </w:tcBorders>
            <w:shd w:val="clear" w:color="000000" w:fill="FFFFFF"/>
            <w:noWrap/>
            <w:vAlign w:val="bottom"/>
            <w:hideMark/>
          </w:tcPr>
          <w:p w14:paraId="34162429"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double" w:sz="6" w:space="0" w:color="auto"/>
              <w:right w:val="nil"/>
            </w:tcBorders>
            <w:shd w:val="clear" w:color="000000" w:fill="FFFFFF"/>
            <w:noWrap/>
            <w:vAlign w:val="bottom"/>
            <w:hideMark/>
          </w:tcPr>
          <w:p w14:paraId="50760552"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double" w:sz="6" w:space="0" w:color="auto"/>
              <w:right w:val="single" w:sz="4" w:space="0" w:color="auto"/>
            </w:tcBorders>
            <w:shd w:val="clear" w:color="000000" w:fill="FFFFFF"/>
            <w:noWrap/>
            <w:vAlign w:val="bottom"/>
            <w:hideMark/>
          </w:tcPr>
          <w:p w14:paraId="5AB6FF1E" w14:textId="77777777" w:rsidR="00B06CCE" w:rsidRPr="00B06CCE" w:rsidRDefault="00B06CCE" w:rsidP="00B06CCE">
            <w:pPr>
              <w:spacing w:after="0" w:line="240" w:lineRule="auto"/>
              <w:jc w:val="right"/>
              <w:rPr>
                <w:rFonts w:asciiTheme="minorHAnsi" w:eastAsia="Times New Roman" w:hAnsiTheme="minorHAnsi" w:cs="Times New Roman"/>
                <w:color w:val="000000"/>
                <w:kern w:val="0"/>
                <w:szCs w:val="22"/>
                <w:lang w:eastAsia="en-GB"/>
                <w14:ligatures w14:val="none"/>
              </w:rPr>
            </w:pPr>
            <w:r w:rsidRPr="00B06CCE">
              <w:rPr>
                <w:rFonts w:asciiTheme="minorHAnsi" w:eastAsia="Times New Roman" w:hAnsiTheme="minorHAnsi" w:cs="Times New Roman"/>
                <w:color w:val="000000"/>
                <w:kern w:val="0"/>
                <w:szCs w:val="22"/>
                <w:lang w:eastAsia="en-GB"/>
                <w14:ligatures w14:val="none"/>
              </w:rPr>
              <w:t>42.3%</w:t>
            </w:r>
          </w:p>
        </w:tc>
      </w:tr>
    </w:tbl>
    <w:p w14:paraId="38AD78E7" w14:textId="77777777" w:rsidR="00B06CCE" w:rsidRPr="007E2527" w:rsidRDefault="00B06CCE" w:rsidP="00B06CCE">
      <w:pPr>
        <w:rPr>
          <w:rFonts w:asciiTheme="minorHAnsi" w:hAnsiTheme="minorHAnsi"/>
          <w:b/>
          <w:bCs/>
          <w:szCs w:val="22"/>
        </w:rPr>
      </w:pPr>
    </w:p>
    <w:p w14:paraId="2A2D22F9" w14:textId="04B06B5C" w:rsidR="00D56C8A" w:rsidRPr="007E2527" w:rsidRDefault="00D56C8A" w:rsidP="00D56C8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All colleagues by sexual orientation and mode of employment, 2025 (Full-time n=4,856; Part-time n=1,385)</w:t>
      </w:r>
    </w:p>
    <w:tbl>
      <w:tblPr>
        <w:tblW w:w="5597" w:type="dxa"/>
        <w:tblLayout w:type="fixed"/>
        <w:tblLook w:val="04A0" w:firstRow="1" w:lastRow="0" w:firstColumn="1" w:lastColumn="0" w:noHBand="0" w:noVBand="1"/>
      </w:tblPr>
      <w:tblGrid>
        <w:gridCol w:w="1757"/>
        <w:gridCol w:w="960"/>
        <w:gridCol w:w="960"/>
        <w:gridCol w:w="960"/>
        <w:gridCol w:w="960"/>
      </w:tblGrid>
      <w:tr w:rsidR="00A10F4B" w:rsidRPr="00A10F4B" w14:paraId="045A8E40" w14:textId="77777777" w:rsidTr="00495791">
        <w:trPr>
          <w:trHeight w:val="300"/>
        </w:trPr>
        <w:tc>
          <w:tcPr>
            <w:tcW w:w="1757" w:type="dxa"/>
            <w:tcBorders>
              <w:top w:val="single" w:sz="4" w:space="0" w:color="auto"/>
              <w:left w:val="single" w:sz="4" w:space="0" w:color="auto"/>
              <w:bottom w:val="nil"/>
              <w:right w:val="nil"/>
            </w:tcBorders>
            <w:shd w:val="clear" w:color="000000" w:fill="FFFFFF"/>
            <w:noWrap/>
            <w:vAlign w:val="bottom"/>
            <w:hideMark/>
          </w:tcPr>
          <w:p w14:paraId="04B55662" w14:textId="77777777" w:rsidR="00A10F4B" w:rsidRPr="00A10F4B" w:rsidRDefault="00A10F4B" w:rsidP="00A10F4B">
            <w:pPr>
              <w:spacing w:after="0" w:line="240" w:lineRule="auto"/>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BBF9C82" w14:textId="77777777" w:rsidR="00A10F4B" w:rsidRPr="00A10F4B" w:rsidRDefault="00A10F4B" w:rsidP="00A10F4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Full-time</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40E3F5D4" w14:textId="77777777" w:rsidR="00A10F4B" w:rsidRPr="00A10F4B" w:rsidRDefault="00A10F4B" w:rsidP="00A10F4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Part-time</w:t>
            </w:r>
          </w:p>
        </w:tc>
      </w:tr>
      <w:tr w:rsidR="00A10F4B" w:rsidRPr="00A10F4B" w14:paraId="3D8F9A3A" w14:textId="77777777" w:rsidTr="00495791">
        <w:trPr>
          <w:trHeight w:val="300"/>
        </w:trPr>
        <w:tc>
          <w:tcPr>
            <w:tcW w:w="1757" w:type="dxa"/>
            <w:tcBorders>
              <w:top w:val="nil"/>
              <w:left w:val="single" w:sz="4" w:space="0" w:color="auto"/>
              <w:bottom w:val="single" w:sz="4" w:space="0" w:color="auto"/>
              <w:right w:val="nil"/>
            </w:tcBorders>
            <w:shd w:val="clear" w:color="000000" w:fill="FFFFFF"/>
            <w:noWrap/>
            <w:vAlign w:val="bottom"/>
            <w:hideMark/>
          </w:tcPr>
          <w:p w14:paraId="210FE4A0"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79C28A84"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748D33A"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FDC39D9"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EA43B9C"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r>
      <w:tr w:rsidR="00A10F4B" w:rsidRPr="00A10F4B" w14:paraId="491AF208"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491C72A5"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6366FA08"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2189</w:t>
            </w:r>
          </w:p>
        </w:tc>
        <w:tc>
          <w:tcPr>
            <w:tcW w:w="960" w:type="dxa"/>
            <w:tcBorders>
              <w:top w:val="nil"/>
              <w:left w:val="nil"/>
              <w:bottom w:val="nil"/>
              <w:right w:val="single" w:sz="4" w:space="0" w:color="auto"/>
            </w:tcBorders>
            <w:shd w:val="clear" w:color="000000" w:fill="FFFFFF"/>
            <w:noWrap/>
            <w:vAlign w:val="bottom"/>
            <w:hideMark/>
          </w:tcPr>
          <w:p w14:paraId="0092F9CC"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45.1%</w:t>
            </w:r>
          </w:p>
        </w:tc>
        <w:tc>
          <w:tcPr>
            <w:tcW w:w="960" w:type="dxa"/>
            <w:tcBorders>
              <w:top w:val="nil"/>
              <w:left w:val="nil"/>
              <w:bottom w:val="nil"/>
              <w:right w:val="nil"/>
            </w:tcBorders>
            <w:shd w:val="clear" w:color="000000" w:fill="FFFFFF"/>
            <w:noWrap/>
            <w:vAlign w:val="bottom"/>
            <w:hideMark/>
          </w:tcPr>
          <w:p w14:paraId="2185C860"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623</w:t>
            </w:r>
          </w:p>
        </w:tc>
        <w:tc>
          <w:tcPr>
            <w:tcW w:w="960" w:type="dxa"/>
            <w:tcBorders>
              <w:top w:val="nil"/>
              <w:left w:val="nil"/>
              <w:bottom w:val="nil"/>
              <w:right w:val="single" w:sz="4" w:space="0" w:color="auto"/>
            </w:tcBorders>
            <w:shd w:val="clear" w:color="000000" w:fill="FFFFFF"/>
            <w:noWrap/>
            <w:vAlign w:val="bottom"/>
            <w:hideMark/>
          </w:tcPr>
          <w:p w14:paraId="2464C65F"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45.0%</w:t>
            </w:r>
          </w:p>
        </w:tc>
      </w:tr>
      <w:tr w:rsidR="00A10F4B" w:rsidRPr="00A10F4B" w14:paraId="2D1FA396"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29C3F1FD"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5D27473B"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278</w:t>
            </w:r>
          </w:p>
        </w:tc>
        <w:tc>
          <w:tcPr>
            <w:tcW w:w="960" w:type="dxa"/>
            <w:tcBorders>
              <w:top w:val="nil"/>
              <w:left w:val="nil"/>
              <w:bottom w:val="nil"/>
              <w:right w:val="single" w:sz="4" w:space="0" w:color="auto"/>
            </w:tcBorders>
            <w:shd w:val="clear" w:color="000000" w:fill="FFFFFF"/>
            <w:noWrap/>
            <w:vAlign w:val="bottom"/>
            <w:hideMark/>
          </w:tcPr>
          <w:p w14:paraId="46E497D9"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5.7%</w:t>
            </w:r>
          </w:p>
        </w:tc>
        <w:tc>
          <w:tcPr>
            <w:tcW w:w="960" w:type="dxa"/>
            <w:tcBorders>
              <w:top w:val="nil"/>
              <w:left w:val="nil"/>
              <w:bottom w:val="nil"/>
              <w:right w:val="nil"/>
            </w:tcBorders>
            <w:shd w:val="clear" w:color="000000" w:fill="FFFFFF"/>
            <w:noWrap/>
            <w:vAlign w:val="bottom"/>
            <w:hideMark/>
          </w:tcPr>
          <w:p w14:paraId="4AA22B82"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59</w:t>
            </w:r>
          </w:p>
        </w:tc>
        <w:tc>
          <w:tcPr>
            <w:tcW w:w="960" w:type="dxa"/>
            <w:tcBorders>
              <w:top w:val="nil"/>
              <w:left w:val="nil"/>
              <w:bottom w:val="nil"/>
              <w:right w:val="single" w:sz="4" w:space="0" w:color="auto"/>
            </w:tcBorders>
            <w:shd w:val="clear" w:color="000000" w:fill="FFFFFF"/>
            <w:noWrap/>
            <w:vAlign w:val="bottom"/>
            <w:hideMark/>
          </w:tcPr>
          <w:p w14:paraId="4A6C0599"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4.3%</w:t>
            </w:r>
          </w:p>
        </w:tc>
      </w:tr>
      <w:tr w:rsidR="00A10F4B" w:rsidRPr="00A10F4B" w14:paraId="22F098D0"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31D385A3"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1ABA9762"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2389</w:t>
            </w:r>
          </w:p>
        </w:tc>
        <w:tc>
          <w:tcPr>
            <w:tcW w:w="960" w:type="dxa"/>
            <w:tcBorders>
              <w:top w:val="nil"/>
              <w:left w:val="nil"/>
              <w:bottom w:val="nil"/>
              <w:right w:val="single" w:sz="4" w:space="0" w:color="auto"/>
            </w:tcBorders>
            <w:shd w:val="clear" w:color="000000" w:fill="FFFFFF"/>
            <w:noWrap/>
            <w:vAlign w:val="bottom"/>
            <w:hideMark/>
          </w:tcPr>
          <w:p w14:paraId="034E43ED"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49.2%</w:t>
            </w:r>
          </w:p>
        </w:tc>
        <w:tc>
          <w:tcPr>
            <w:tcW w:w="960" w:type="dxa"/>
            <w:tcBorders>
              <w:top w:val="nil"/>
              <w:left w:val="nil"/>
              <w:bottom w:val="nil"/>
              <w:right w:val="nil"/>
            </w:tcBorders>
            <w:shd w:val="clear" w:color="000000" w:fill="FFFFFF"/>
            <w:noWrap/>
            <w:vAlign w:val="bottom"/>
            <w:hideMark/>
          </w:tcPr>
          <w:p w14:paraId="6C908CD9"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703</w:t>
            </w:r>
          </w:p>
        </w:tc>
        <w:tc>
          <w:tcPr>
            <w:tcW w:w="960" w:type="dxa"/>
            <w:tcBorders>
              <w:top w:val="nil"/>
              <w:left w:val="nil"/>
              <w:bottom w:val="nil"/>
              <w:right w:val="single" w:sz="4" w:space="0" w:color="auto"/>
            </w:tcBorders>
            <w:shd w:val="clear" w:color="000000" w:fill="FFFFFF"/>
            <w:noWrap/>
            <w:vAlign w:val="bottom"/>
            <w:hideMark/>
          </w:tcPr>
          <w:p w14:paraId="0078520E"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50.8%</w:t>
            </w:r>
          </w:p>
        </w:tc>
      </w:tr>
      <w:tr w:rsidR="00A10F4B" w:rsidRPr="00A10F4B" w14:paraId="5230FF80" w14:textId="77777777" w:rsidTr="00495791">
        <w:trPr>
          <w:trHeight w:val="315"/>
        </w:trPr>
        <w:tc>
          <w:tcPr>
            <w:tcW w:w="1757" w:type="dxa"/>
            <w:tcBorders>
              <w:top w:val="dotted" w:sz="4" w:space="0" w:color="auto"/>
              <w:left w:val="single" w:sz="4" w:space="0" w:color="auto"/>
              <w:bottom w:val="double" w:sz="6" w:space="0" w:color="auto"/>
              <w:right w:val="nil"/>
            </w:tcBorders>
            <w:shd w:val="clear" w:color="000000" w:fill="FFFFFF"/>
            <w:noWrap/>
            <w:vAlign w:val="bottom"/>
            <w:hideMark/>
          </w:tcPr>
          <w:p w14:paraId="0323201C" w14:textId="77777777" w:rsidR="00A10F4B" w:rsidRPr="00A10F4B" w:rsidRDefault="00A10F4B" w:rsidP="00A10F4B">
            <w:pPr>
              <w:spacing w:after="0" w:line="240" w:lineRule="auto"/>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75938828"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4856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7DB4EA6"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7364FCA9"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43DCEBE"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100%</w:t>
            </w:r>
          </w:p>
        </w:tc>
      </w:tr>
    </w:tbl>
    <w:p w14:paraId="4DD724BA" w14:textId="77777777" w:rsidR="00FA0A68" w:rsidRDefault="00FA0A68" w:rsidP="00D56C8A">
      <w:pPr>
        <w:rPr>
          <w:rFonts w:asciiTheme="minorHAnsi" w:hAnsiTheme="minorHAnsi"/>
          <w:b/>
          <w:bCs/>
          <w:szCs w:val="22"/>
        </w:rPr>
      </w:pPr>
    </w:p>
    <w:p w14:paraId="08188553" w14:textId="77777777" w:rsidR="00495791" w:rsidRPr="007E2527" w:rsidRDefault="00495791" w:rsidP="00D56C8A">
      <w:pPr>
        <w:rPr>
          <w:rFonts w:asciiTheme="minorHAnsi" w:hAnsiTheme="minorHAnsi"/>
          <w:b/>
          <w:bCs/>
          <w:szCs w:val="22"/>
        </w:rPr>
      </w:pPr>
    </w:p>
    <w:p w14:paraId="552D57AF" w14:textId="56D294E6" w:rsidR="00FA0A68" w:rsidRPr="007E2527" w:rsidRDefault="00FA0A68" w:rsidP="00FA0A68">
      <w:pPr>
        <w:pStyle w:val="ListParagraph"/>
        <w:numPr>
          <w:ilvl w:val="2"/>
          <w:numId w:val="11"/>
        </w:numPr>
        <w:rPr>
          <w:rFonts w:asciiTheme="minorHAnsi" w:hAnsiTheme="minorHAnsi"/>
          <w:b/>
          <w:bCs/>
          <w:szCs w:val="22"/>
        </w:rPr>
      </w:pPr>
      <w:r w:rsidRPr="007E2527">
        <w:rPr>
          <w:rFonts w:asciiTheme="minorHAnsi" w:hAnsiTheme="minorHAnsi"/>
          <w:b/>
          <w:bCs/>
          <w:szCs w:val="22"/>
        </w:rPr>
        <w:t>Academic and Research colleagues only by sexual orientation and grade, 2025 (n=2,860)</w:t>
      </w:r>
    </w:p>
    <w:tbl>
      <w:tblPr>
        <w:tblW w:w="11357" w:type="dxa"/>
        <w:tblLayout w:type="fixed"/>
        <w:tblLook w:val="04A0" w:firstRow="1" w:lastRow="0" w:firstColumn="1" w:lastColumn="0" w:noHBand="0" w:noVBand="1"/>
      </w:tblPr>
      <w:tblGrid>
        <w:gridCol w:w="1757"/>
        <w:gridCol w:w="960"/>
        <w:gridCol w:w="960"/>
        <w:gridCol w:w="960"/>
        <w:gridCol w:w="960"/>
        <w:gridCol w:w="960"/>
        <w:gridCol w:w="960"/>
        <w:gridCol w:w="960"/>
        <w:gridCol w:w="960"/>
        <w:gridCol w:w="960"/>
        <w:gridCol w:w="960"/>
      </w:tblGrid>
      <w:tr w:rsidR="00A10F4B" w:rsidRPr="00A10F4B" w14:paraId="34AAF40D" w14:textId="77777777" w:rsidTr="00495791">
        <w:trPr>
          <w:trHeight w:val="300"/>
        </w:trPr>
        <w:tc>
          <w:tcPr>
            <w:tcW w:w="1757" w:type="dxa"/>
            <w:tcBorders>
              <w:top w:val="single" w:sz="4" w:space="0" w:color="auto"/>
              <w:left w:val="single" w:sz="4" w:space="0" w:color="auto"/>
              <w:bottom w:val="nil"/>
              <w:right w:val="nil"/>
            </w:tcBorders>
            <w:shd w:val="clear" w:color="000000" w:fill="FFFFFF"/>
            <w:noWrap/>
            <w:vAlign w:val="bottom"/>
            <w:hideMark/>
          </w:tcPr>
          <w:p w14:paraId="40FE52CF" w14:textId="77777777" w:rsidR="00A10F4B" w:rsidRPr="00A10F4B" w:rsidRDefault="00A10F4B" w:rsidP="00A10F4B">
            <w:pPr>
              <w:spacing w:after="0" w:line="240" w:lineRule="auto"/>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7BBA12B" w14:textId="77777777" w:rsidR="00A10F4B" w:rsidRPr="00A10F4B" w:rsidRDefault="00A10F4B" w:rsidP="00A10F4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Grade E</w:t>
            </w:r>
          </w:p>
        </w:tc>
        <w:tc>
          <w:tcPr>
            <w:tcW w:w="1920" w:type="dxa"/>
            <w:gridSpan w:val="2"/>
            <w:tcBorders>
              <w:top w:val="single" w:sz="4" w:space="0" w:color="auto"/>
              <w:left w:val="nil"/>
              <w:bottom w:val="nil"/>
              <w:right w:val="nil"/>
            </w:tcBorders>
            <w:shd w:val="clear" w:color="000000" w:fill="FFFFFF"/>
            <w:noWrap/>
            <w:vAlign w:val="bottom"/>
            <w:hideMark/>
          </w:tcPr>
          <w:p w14:paraId="7422E3E2" w14:textId="77777777" w:rsidR="00A10F4B" w:rsidRPr="00A10F4B" w:rsidRDefault="00A10F4B" w:rsidP="00A10F4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98D3947" w14:textId="77777777" w:rsidR="00A10F4B" w:rsidRPr="00A10F4B" w:rsidRDefault="00A10F4B" w:rsidP="00A10F4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39DB5374" w14:textId="77777777" w:rsidR="00A10F4B" w:rsidRPr="00A10F4B" w:rsidRDefault="00A10F4B" w:rsidP="00A10F4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2E1D49F4" w14:textId="77777777" w:rsidR="00A10F4B" w:rsidRPr="00A10F4B" w:rsidRDefault="00A10F4B" w:rsidP="00A10F4B">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Grade I</w:t>
            </w:r>
          </w:p>
        </w:tc>
      </w:tr>
      <w:tr w:rsidR="00A10F4B" w:rsidRPr="007E2527" w14:paraId="62C805F5" w14:textId="77777777" w:rsidTr="00495791">
        <w:trPr>
          <w:trHeight w:val="300"/>
        </w:trPr>
        <w:tc>
          <w:tcPr>
            <w:tcW w:w="1757" w:type="dxa"/>
            <w:tcBorders>
              <w:top w:val="nil"/>
              <w:left w:val="single" w:sz="4" w:space="0" w:color="auto"/>
              <w:bottom w:val="single" w:sz="4" w:space="0" w:color="auto"/>
              <w:right w:val="nil"/>
            </w:tcBorders>
            <w:shd w:val="clear" w:color="000000" w:fill="FFFFFF"/>
            <w:noWrap/>
            <w:vAlign w:val="bottom"/>
            <w:hideMark/>
          </w:tcPr>
          <w:p w14:paraId="1D616B78"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3D649EC7"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82C1D5F"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2F6FA0A0"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871EF2B"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75F124AD"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F18FBCE"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C80EA86"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8B1E49B"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B9BE48E"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469BD1AF" w14:textId="77777777" w:rsidR="00A10F4B" w:rsidRPr="00A10F4B" w:rsidRDefault="00A10F4B" w:rsidP="00A10F4B">
            <w:pPr>
              <w:spacing w:after="0" w:line="240" w:lineRule="auto"/>
              <w:jc w:val="center"/>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r>
      <w:tr w:rsidR="00A10F4B" w:rsidRPr="007E2527" w14:paraId="1141C990"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2E996A9C"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4E9BBE02"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single" w:sz="4" w:space="0" w:color="auto"/>
            </w:tcBorders>
            <w:shd w:val="clear" w:color="000000" w:fill="FFFFFF"/>
            <w:noWrap/>
            <w:vAlign w:val="bottom"/>
            <w:hideMark/>
          </w:tcPr>
          <w:p w14:paraId="47D53CAD"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80.8%</w:t>
            </w:r>
          </w:p>
        </w:tc>
        <w:tc>
          <w:tcPr>
            <w:tcW w:w="960" w:type="dxa"/>
            <w:tcBorders>
              <w:top w:val="nil"/>
              <w:left w:val="nil"/>
              <w:bottom w:val="nil"/>
              <w:right w:val="nil"/>
            </w:tcBorders>
            <w:shd w:val="clear" w:color="000000" w:fill="FFFFFF"/>
            <w:noWrap/>
            <w:vAlign w:val="bottom"/>
            <w:hideMark/>
          </w:tcPr>
          <w:p w14:paraId="5A858C8B"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528</w:t>
            </w:r>
          </w:p>
        </w:tc>
        <w:tc>
          <w:tcPr>
            <w:tcW w:w="960" w:type="dxa"/>
            <w:tcBorders>
              <w:top w:val="nil"/>
              <w:left w:val="nil"/>
              <w:bottom w:val="nil"/>
              <w:right w:val="single" w:sz="4" w:space="0" w:color="auto"/>
            </w:tcBorders>
            <w:shd w:val="clear" w:color="000000" w:fill="FFFFFF"/>
            <w:noWrap/>
            <w:vAlign w:val="bottom"/>
            <w:hideMark/>
          </w:tcPr>
          <w:p w14:paraId="506D8637"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55.8%</w:t>
            </w:r>
          </w:p>
        </w:tc>
        <w:tc>
          <w:tcPr>
            <w:tcW w:w="960" w:type="dxa"/>
            <w:tcBorders>
              <w:top w:val="nil"/>
              <w:left w:val="nil"/>
              <w:bottom w:val="nil"/>
              <w:right w:val="nil"/>
            </w:tcBorders>
            <w:shd w:val="clear" w:color="000000" w:fill="FFFFFF"/>
            <w:noWrap/>
            <w:vAlign w:val="bottom"/>
            <w:hideMark/>
          </w:tcPr>
          <w:p w14:paraId="14C2BE08"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269</w:t>
            </w:r>
          </w:p>
        </w:tc>
        <w:tc>
          <w:tcPr>
            <w:tcW w:w="960" w:type="dxa"/>
            <w:tcBorders>
              <w:top w:val="nil"/>
              <w:left w:val="nil"/>
              <w:bottom w:val="nil"/>
              <w:right w:val="single" w:sz="4" w:space="0" w:color="auto"/>
            </w:tcBorders>
            <w:shd w:val="clear" w:color="000000" w:fill="FFFFFF"/>
            <w:noWrap/>
            <w:vAlign w:val="bottom"/>
            <w:hideMark/>
          </w:tcPr>
          <w:p w14:paraId="0E00E86A"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42.3%</w:t>
            </w:r>
          </w:p>
        </w:tc>
        <w:tc>
          <w:tcPr>
            <w:tcW w:w="960" w:type="dxa"/>
            <w:tcBorders>
              <w:top w:val="nil"/>
              <w:left w:val="nil"/>
              <w:bottom w:val="nil"/>
              <w:right w:val="nil"/>
            </w:tcBorders>
            <w:shd w:val="clear" w:color="000000" w:fill="FFFFFF"/>
            <w:noWrap/>
            <w:vAlign w:val="bottom"/>
            <w:hideMark/>
          </w:tcPr>
          <w:p w14:paraId="53E0E420"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162</w:t>
            </w:r>
          </w:p>
        </w:tc>
        <w:tc>
          <w:tcPr>
            <w:tcW w:w="960" w:type="dxa"/>
            <w:tcBorders>
              <w:top w:val="nil"/>
              <w:left w:val="nil"/>
              <w:bottom w:val="nil"/>
              <w:right w:val="single" w:sz="4" w:space="0" w:color="auto"/>
            </w:tcBorders>
            <w:shd w:val="clear" w:color="000000" w:fill="FFFFFF"/>
            <w:noWrap/>
            <w:vAlign w:val="bottom"/>
            <w:hideMark/>
          </w:tcPr>
          <w:p w14:paraId="759C939C"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31.7%</w:t>
            </w:r>
          </w:p>
        </w:tc>
        <w:tc>
          <w:tcPr>
            <w:tcW w:w="960" w:type="dxa"/>
            <w:tcBorders>
              <w:top w:val="nil"/>
              <w:left w:val="nil"/>
              <w:bottom w:val="nil"/>
              <w:right w:val="nil"/>
            </w:tcBorders>
            <w:shd w:val="clear" w:color="000000" w:fill="FFFFFF"/>
            <w:noWrap/>
            <w:vAlign w:val="bottom"/>
            <w:hideMark/>
          </w:tcPr>
          <w:p w14:paraId="12D7CEC5"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205</w:t>
            </w:r>
          </w:p>
        </w:tc>
        <w:tc>
          <w:tcPr>
            <w:tcW w:w="960" w:type="dxa"/>
            <w:tcBorders>
              <w:top w:val="nil"/>
              <w:left w:val="nil"/>
              <w:bottom w:val="nil"/>
              <w:right w:val="single" w:sz="4" w:space="0" w:color="auto"/>
            </w:tcBorders>
            <w:shd w:val="clear" w:color="000000" w:fill="FFFFFF"/>
            <w:noWrap/>
            <w:vAlign w:val="bottom"/>
            <w:hideMark/>
          </w:tcPr>
          <w:p w14:paraId="7C242238"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27.7%</w:t>
            </w:r>
          </w:p>
        </w:tc>
      </w:tr>
      <w:tr w:rsidR="00A10F4B" w:rsidRPr="007E2527" w14:paraId="14115680"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23DE5FAC"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25091277"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81635EC"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371F7EA5"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83</w:t>
            </w:r>
          </w:p>
        </w:tc>
        <w:tc>
          <w:tcPr>
            <w:tcW w:w="960" w:type="dxa"/>
            <w:tcBorders>
              <w:top w:val="nil"/>
              <w:left w:val="nil"/>
              <w:bottom w:val="nil"/>
              <w:right w:val="single" w:sz="4" w:space="0" w:color="auto"/>
            </w:tcBorders>
            <w:shd w:val="clear" w:color="000000" w:fill="FFFFFF"/>
            <w:noWrap/>
            <w:vAlign w:val="bottom"/>
            <w:hideMark/>
          </w:tcPr>
          <w:p w14:paraId="4E4A4699"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8.8%</w:t>
            </w:r>
          </w:p>
        </w:tc>
        <w:tc>
          <w:tcPr>
            <w:tcW w:w="960" w:type="dxa"/>
            <w:tcBorders>
              <w:top w:val="nil"/>
              <w:left w:val="nil"/>
              <w:bottom w:val="nil"/>
              <w:right w:val="nil"/>
            </w:tcBorders>
            <w:shd w:val="clear" w:color="000000" w:fill="FFFFFF"/>
            <w:noWrap/>
            <w:vAlign w:val="bottom"/>
            <w:hideMark/>
          </w:tcPr>
          <w:p w14:paraId="12834070"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32</w:t>
            </w:r>
          </w:p>
        </w:tc>
        <w:tc>
          <w:tcPr>
            <w:tcW w:w="960" w:type="dxa"/>
            <w:tcBorders>
              <w:top w:val="nil"/>
              <w:left w:val="nil"/>
              <w:bottom w:val="nil"/>
              <w:right w:val="single" w:sz="4" w:space="0" w:color="auto"/>
            </w:tcBorders>
            <w:shd w:val="clear" w:color="000000" w:fill="FFFFFF"/>
            <w:noWrap/>
            <w:vAlign w:val="bottom"/>
            <w:hideMark/>
          </w:tcPr>
          <w:p w14:paraId="504BCEE5"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5.0%</w:t>
            </w:r>
          </w:p>
        </w:tc>
        <w:tc>
          <w:tcPr>
            <w:tcW w:w="960" w:type="dxa"/>
            <w:tcBorders>
              <w:top w:val="nil"/>
              <w:left w:val="nil"/>
              <w:bottom w:val="nil"/>
              <w:right w:val="nil"/>
            </w:tcBorders>
            <w:shd w:val="clear" w:color="000000" w:fill="FFFFFF"/>
            <w:noWrap/>
            <w:vAlign w:val="bottom"/>
            <w:hideMark/>
          </w:tcPr>
          <w:p w14:paraId="074D089A"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27</w:t>
            </w:r>
          </w:p>
        </w:tc>
        <w:tc>
          <w:tcPr>
            <w:tcW w:w="960" w:type="dxa"/>
            <w:tcBorders>
              <w:top w:val="nil"/>
              <w:left w:val="nil"/>
              <w:bottom w:val="nil"/>
              <w:right w:val="single" w:sz="4" w:space="0" w:color="auto"/>
            </w:tcBorders>
            <w:shd w:val="clear" w:color="000000" w:fill="FFFFFF"/>
            <w:noWrap/>
            <w:vAlign w:val="bottom"/>
            <w:hideMark/>
          </w:tcPr>
          <w:p w14:paraId="314FB484"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5.3%</w:t>
            </w:r>
          </w:p>
        </w:tc>
        <w:tc>
          <w:tcPr>
            <w:tcW w:w="960" w:type="dxa"/>
            <w:tcBorders>
              <w:top w:val="nil"/>
              <w:left w:val="nil"/>
              <w:bottom w:val="nil"/>
              <w:right w:val="nil"/>
            </w:tcBorders>
            <w:shd w:val="clear" w:color="000000" w:fill="FFFFFF"/>
            <w:noWrap/>
            <w:vAlign w:val="bottom"/>
            <w:hideMark/>
          </w:tcPr>
          <w:p w14:paraId="59CD0B1C"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20</w:t>
            </w:r>
          </w:p>
        </w:tc>
        <w:tc>
          <w:tcPr>
            <w:tcW w:w="960" w:type="dxa"/>
            <w:tcBorders>
              <w:top w:val="nil"/>
              <w:left w:val="nil"/>
              <w:bottom w:val="nil"/>
              <w:right w:val="single" w:sz="4" w:space="0" w:color="auto"/>
            </w:tcBorders>
            <w:shd w:val="clear" w:color="000000" w:fill="FFFFFF"/>
            <w:noWrap/>
            <w:vAlign w:val="bottom"/>
            <w:hideMark/>
          </w:tcPr>
          <w:p w14:paraId="2A30253D"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2.7%</w:t>
            </w:r>
          </w:p>
        </w:tc>
      </w:tr>
      <w:tr w:rsidR="00A10F4B" w:rsidRPr="007E2527" w14:paraId="29FAE6FF"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78302EF5" w14:textId="77777777" w:rsidR="00A10F4B" w:rsidRPr="00A10F4B" w:rsidRDefault="00A10F4B" w:rsidP="00A10F4B">
            <w:pPr>
              <w:spacing w:after="0" w:line="240" w:lineRule="auto"/>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6B8671A0"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1FC1F473"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6ECB93DA"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336</w:t>
            </w:r>
          </w:p>
        </w:tc>
        <w:tc>
          <w:tcPr>
            <w:tcW w:w="960" w:type="dxa"/>
            <w:tcBorders>
              <w:top w:val="nil"/>
              <w:left w:val="nil"/>
              <w:bottom w:val="nil"/>
              <w:right w:val="single" w:sz="4" w:space="0" w:color="auto"/>
            </w:tcBorders>
            <w:shd w:val="clear" w:color="000000" w:fill="FFFFFF"/>
            <w:noWrap/>
            <w:vAlign w:val="bottom"/>
            <w:hideMark/>
          </w:tcPr>
          <w:p w14:paraId="12F3F541"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35.5%</w:t>
            </w:r>
          </w:p>
        </w:tc>
        <w:tc>
          <w:tcPr>
            <w:tcW w:w="960" w:type="dxa"/>
            <w:tcBorders>
              <w:top w:val="nil"/>
              <w:left w:val="nil"/>
              <w:bottom w:val="nil"/>
              <w:right w:val="nil"/>
            </w:tcBorders>
            <w:shd w:val="clear" w:color="000000" w:fill="FFFFFF"/>
            <w:noWrap/>
            <w:vAlign w:val="bottom"/>
            <w:hideMark/>
          </w:tcPr>
          <w:p w14:paraId="3414772F"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335</w:t>
            </w:r>
          </w:p>
        </w:tc>
        <w:tc>
          <w:tcPr>
            <w:tcW w:w="960" w:type="dxa"/>
            <w:tcBorders>
              <w:top w:val="nil"/>
              <w:left w:val="nil"/>
              <w:bottom w:val="nil"/>
              <w:right w:val="single" w:sz="4" w:space="0" w:color="auto"/>
            </w:tcBorders>
            <w:shd w:val="clear" w:color="000000" w:fill="FFFFFF"/>
            <w:noWrap/>
            <w:vAlign w:val="bottom"/>
            <w:hideMark/>
          </w:tcPr>
          <w:p w14:paraId="102D253D"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52.7%</w:t>
            </w:r>
          </w:p>
        </w:tc>
        <w:tc>
          <w:tcPr>
            <w:tcW w:w="960" w:type="dxa"/>
            <w:tcBorders>
              <w:top w:val="nil"/>
              <w:left w:val="nil"/>
              <w:bottom w:val="nil"/>
              <w:right w:val="nil"/>
            </w:tcBorders>
            <w:shd w:val="clear" w:color="000000" w:fill="FFFFFF"/>
            <w:noWrap/>
            <w:vAlign w:val="bottom"/>
            <w:hideMark/>
          </w:tcPr>
          <w:p w14:paraId="2EFA3C80"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322</w:t>
            </w:r>
          </w:p>
        </w:tc>
        <w:tc>
          <w:tcPr>
            <w:tcW w:w="960" w:type="dxa"/>
            <w:tcBorders>
              <w:top w:val="nil"/>
              <w:left w:val="nil"/>
              <w:bottom w:val="nil"/>
              <w:right w:val="single" w:sz="4" w:space="0" w:color="auto"/>
            </w:tcBorders>
            <w:shd w:val="clear" w:color="000000" w:fill="FFFFFF"/>
            <w:noWrap/>
            <w:vAlign w:val="bottom"/>
            <w:hideMark/>
          </w:tcPr>
          <w:p w14:paraId="50EFBBD6"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63.0%</w:t>
            </w:r>
          </w:p>
        </w:tc>
        <w:tc>
          <w:tcPr>
            <w:tcW w:w="960" w:type="dxa"/>
            <w:tcBorders>
              <w:top w:val="nil"/>
              <w:left w:val="nil"/>
              <w:bottom w:val="nil"/>
              <w:right w:val="nil"/>
            </w:tcBorders>
            <w:shd w:val="clear" w:color="000000" w:fill="FFFFFF"/>
            <w:noWrap/>
            <w:vAlign w:val="bottom"/>
            <w:hideMark/>
          </w:tcPr>
          <w:p w14:paraId="1805E992"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515</w:t>
            </w:r>
          </w:p>
        </w:tc>
        <w:tc>
          <w:tcPr>
            <w:tcW w:w="960" w:type="dxa"/>
            <w:tcBorders>
              <w:top w:val="nil"/>
              <w:left w:val="nil"/>
              <w:bottom w:val="nil"/>
              <w:right w:val="single" w:sz="4" w:space="0" w:color="auto"/>
            </w:tcBorders>
            <w:shd w:val="clear" w:color="000000" w:fill="FFFFFF"/>
            <w:noWrap/>
            <w:vAlign w:val="bottom"/>
            <w:hideMark/>
          </w:tcPr>
          <w:p w14:paraId="35DE3DF0" w14:textId="77777777" w:rsidR="00A10F4B" w:rsidRPr="00A10F4B" w:rsidRDefault="00A10F4B" w:rsidP="00A10F4B">
            <w:pPr>
              <w:spacing w:after="0" w:line="240" w:lineRule="auto"/>
              <w:jc w:val="right"/>
              <w:rPr>
                <w:rFonts w:asciiTheme="minorHAnsi" w:eastAsia="Times New Roman" w:hAnsiTheme="minorHAnsi" w:cs="Times New Roman"/>
                <w:color w:val="000000"/>
                <w:kern w:val="0"/>
                <w:szCs w:val="22"/>
                <w:lang w:eastAsia="en-GB"/>
                <w14:ligatures w14:val="none"/>
              </w:rPr>
            </w:pPr>
            <w:r w:rsidRPr="00A10F4B">
              <w:rPr>
                <w:rFonts w:asciiTheme="minorHAnsi" w:eastAsia="Times New Roman" w:hAnsiTheme="minorHAnsi" w:cs="Times New Roman"/>
                <w:color w:val="000000"/>
                <w:kern w:val="0"/>
                <w:szCs w:val="22"/>
                <w:lang w:eastAsia="en-GB"/>
                <w14:ligatures w14:val="none"/>
              </w:rPr>
              <w:t>69.6%</w:t>
            </w:r>
          </w:p>
        </w:tc>
      </w:tr>
      <w:tr w:rsidR="00A10F4B" w:rsidRPr="007E2527" w14:paraId="4AA6D019" w14:textId="77777777" w:rsidTr="00495791">
        <w:trPr>
          <w:trHeight w:val="315"/>
        </w:trPr>
        <w:tc>
          <w:tcPr>
            <w:tcW w:w="1757" w:type="dxa"/>
            <w:tcBorders>
              <w:top w:val="dotted" w:sz="4" w:space="0" w:color="auto"/>
              <w:left w:val="single" w:sz="4" w:space="0" w:color="auto"/>
              <w:bottom w:val="double" w:sz="6" w:space="0" w:color="auto"/>
              <w:right w:val="nil"/>
            </w:tcBorders>
            <w:shd w:val="clear" w:color="000000" w:fill="FFFFFF"/>
            <w:noWrap/>
            <w:vAlign w:val="bottom"/>
            <w:hideMark/>
          </w:tcPr>
          <w:p w14:paraId="197C9111" w14:textId="77777777" w:rsidR="00A10F4B" w:rsidRPr="00A10F4B" w:rsidRDefault="00A10F4B" w:rsidP="00A10F4B">
            <w:pPr>
              <w:spacing w:after="0" w:line="240" w:lineRule="auto"/>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5AD5F724"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26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D77023C"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99D8FB0"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947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C9E2F3F"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0B877BB3"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636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7A14696"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11DCA0D"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511</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5EDD1B3B"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36A7D59"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740</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757B426" w14:textId="77777777" w:rsidR="00A10F4B" w:rsidRPr="00A10F4B" w:rsidRDefault="00A10F4B" w:rsidP="00A10F4B">
            <w:pPr>
              <w:spacing w:after="0" w:line="240" w:lineRule="auto"/>
              <w:jc w:val="right"/>
              <w:rPr>
                <w:rFonts w:asciiTheme="minorHAnsi" w:eastAsia="Times New Roman" w:hAnsiTheme="minorHAnsi" w:cs="Times New Roman"/>
                <w:b/>
                <w:bCs/>
                <w:color w:val="000000"/>
                <w:kern w:val="0"/>
                <w:szCs w:val="22"/>
                <w:lang w:eastAsia="en-GB"/>
                <w14:ligatures w14:val="none"/>
              </w:rPr>
            </w:pPr>
            <w:r w:rsidRPr="00A10F4B">
              <w:rPr>
                <w:rFonts w:asciiTheme="minorHAnsi" w:eastAsia="Times New Roman" w:hAnsiTheme="minorHAnsi" w:cs="Times New Roman"/>
                <w:b/>
                <w:bCs/>
                <w:color w:val="000000"/>
                <w:kern w:val="0"/>
                <w:szCs w:val="22"/>
                <w:lang w:eastAsia="en-GB"/>
                <w14:ligatures w14:val="none"/>
              </w:rPr>
              <w:t>100%</w:t>
            </w:r>
          </w:p>
        </w:tc>
      </w:tr>
    </w:tbl>
    <w:p w14:paraId="12C99463" w14:textId="4196BD1B" w:rsidR="00FA0A68" w:rsidRPr="007E2527" w:rsidRDefault="00FA0A68" w:rsidP="00FA0A68">
      <w:pPr>
        <w:rPr>
          <w:rFonts w:asciiTheme="minorHAnsi" w:hAnsiTheme="minorHAnsi"/>
          <w:b/>
          <w:bCs/>
          <w:szCs w:val="22"/>
        </w:rPr>
      </w:pPr>
    </w:p>
    <w:p w14:paraId="0C035553" w14:textId="77777777" w:rsidR="00FA0A68" w:rsidRPr="007E2527" w:rsidRDefault="00FA0A68" w:rsidP="00FA0A68">
      <w:pPr>
        <w:rPr>
          <w:rFonts w:asciiTheme="minorHAnsi" w:hAnsiTheme="minorHAnsi"/>
          <w:b/>
          <w:bCs/>
          <w:szCs w:val="22"/>
        </w:rPr>
      </w:pPr>
    </w:p>
    <w:p w14:paraId="2D7349F2" w14:textId="77777777" w:rsidR="00DF3041" w:rsidRPr="007E2527" w:rsidRDefault="00DF3041" w:rsidP="00FA0A68">
      <w:pPr>
        <w:rPr>
          <w:rFonts w:asciiTheme="minorHAnsi" w:hAnsiTheme="minorHAnsi"/>
          <w:b/>
          <w:bCs/>
          <w:szCs w:val="22"/>
        </w:rPr>
      </w:pPr>
    </w:p>
    <w:p w14:paraId="0831A961" w14:textId="77777777" w:rsidR="00DF3041" w:rsidRPr="007E2527" w:rsidRDefault="00DF3041" w:rsidP="00FA0A68">
      <w:pPr>
        <w:rPr>
          <w:rFonts w:asciiTheme="minorHAnsi" w:hAnsiTheme="minorHAnsi"/>
          <w:b/>
          <w:bCs/>
          <w:szCs w:val="22"/>
        </w:rPr>
      </w:pPr>
    </w:p>
    <w:p w14:paraId="2C6795CC" w14:textId="77777777" w:rsidR="00DF3041" w:rsidRPr="007E2527" w:rsidRDefault="00DF3041" w:rsidP="00FA0A68">
      <w:pPr>
        <w:rPr>
          <w:rFonts w:asciiTheme="minorHAnsi" w:hAnsiTheme="minorHAnsi"/>
          <w:b/>
          <w:bCs/>
          <w:szCs w:val="22"/>
        </w:rPr>
      </w:pPr>
    </w:p>
    <w:p w14:paraId="681AD267" w14:textId="77777777" w:rsidR="00DF3041" w:rsidRPr="007E2527" w:rsidRDefault="00DF3041" w:rsidP="00FA0A68">
      <w:pPr>
        <w:rPr>
          <w:rFonts w:asciiTheme="minorHAnsi" w:hAnsiTheme="minorHAnsi"/>
          <w:b/>
          <w:bCs/>
          <w:szCs w:val="22"/>
        </w:rPr>
      </w:pPr>
    </w:p>
    <w:p w14:paraId="607A6A29" w14:textId="77777777" w:rsidR="00A10F4B" w:rsidRPr="007E2527" w:rsidRDefault="00A10F4B" w:rsidP="00FA0A68">
      <w:pPr>
        <w:rPr>
          <w:rFonts w:asciiTheme="minorHAnsi" w:hAnsiTheme="minorHAnsi"/>
          <w:b/>
          <w:bCs/>
          <w:szCs w:val="22"/>
        </w:rPr>
      </w:pPr>
    </w:p>
    <w:p w14:paraId="725D6DE4" w14:textId="0DCA4D6E" w:rsidR="00EE2EAA" w:rsidRPr="007E2527" w:rsidRDefault="00EE2EAA" w:rsidP="00EE2EAA">
      <w:pPr>
        <w:pStyle w:val="ListParagraph"/>
        <w:numPr>
          <w:ilvl w:val="2"/>
          <w:numId w:val="11"/>
        </w:numPr>
        <w:rPr>
          <w:rFonts w:asciiTheme="minorHAnsi" w:hAnsiTheme="minorHAnsi"/>
          <w:b/>
          <w:bCs/>
          <w:szCs w:val="22"/>
        </w:rPr>
      </w:pPr>
      <w:r w:rsidRPr="007E2527">
        <w:rPr>
          <w:rFonts w:asciiTheme="minorHAnsi" w:hAnsiTheme="minorHAnsi"/>
          <w:b/>
          <w:bCs/>
          <w:szCs w:val="22"/>
        </w:rPr>
        <w:lastRenderedPageBreak/>
        <w:t>PS colleagues only by sexual orientation and grade, 2025 (n=3,381)</w:t>
      </w:r>
    </w:p>
    <w:tbl>
      <w:tblPr>
        <w:tblW w:w="11357" w:type="dxa"/>
        <w:tblLayout w:type="fixed"/>
        <w:tblLook w:val="04A0" w:firstRow="1" w:lastRow="0" w:firstColumn="1" w:lastColumn="0" w:noHBand="0" w:noVBand="1"/>
      </w:tblPr>
      <w:tblGrid>
        <w:gridCol w:w="1757"/>
        <w:gridCol w:w="960"/>
        <w:gridCol w:w="960"/>
        <w:gridCol w:w="960"/>
        <w:gridCol w:w="960"/>
        <w:gridCol w:w="960"/>
        <w:gridCol w:w="960"/>
        <w:gridCol w:w="960"/>
        <w:gridCol w:w="960"/>
        <w:gridCol w:w="960"/>
        <w:gridCol w:w="960"/>
      </w:tblGrid>
      <w:tr w:rsidR="00C479D8" w:rsidRPr="00C479D8" w14:paraId="6AE83033" w14:textId="77777777" w:rsidTr="00495791">
        <w:trPr>
          <w:trHeight w:val="300"/>
        </w:trPr>
        <w:tc>
          <w:tcPr>
            <w:tcW w:w="1757" w:type="dxa"/>
            <w:tcBorders>
              <w:top w:val="single" w:sz="4" w:space="0" w:color="auto"/>
              <w:left w:val="single" w:sz="4" w:space="0" w:color="auto"/>
              <w:bottom w:val="nil"/>
              <w:right w:val="nil"/>
            </w:tcBorders>
            <w:shd w:val="clear" w:color="000000" w:fill="FFFFFF"/>
            <w:noWrap/>
            <w:vAlign w:val="bottom"/>
            <w:hideMark/>
          </w:tcPr>
          <w:p w14:paraId="7B659EF1" w14:textId="77777777" w:rsidR="00C479D8" w:rsidRPr="00C479D8" w:rsidRDefault="00C479D8" w:rsidP="00C479D8">
            <w:pPr>
              <w:spacing w:after="0" w:line="240" w:lineRule="auto"/>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048F8ED9" w14:textId="77777777" w:rsidR="00C479D8" w:rsidRPr="00C479D8" w:rsidRDefault="00C479D8" w:rsidP="00C479D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Grade A</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1267C1B9" w14:textId="77777777" w:rsidR="00C479D8" w:rsidRPr="00C479D8" w:rsidRDefault="00C479D8" w:rsidP="00C479D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Grade B</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317F9419" w14:textId="77777777" w:rsidR="00C479D8" w:rsidRPr="00C479D8" w:rsidRDefault="00C479D8" w:rsidP="00C479D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Grade C</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06615E46" w14:textId="77777777" w:rsidR="00C479D8" w:rsidRPr="00C479D8" w:rsidRDefault="00C479D8" w:rsidP="00C479D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Grade D</w:t>
            </w:r>
          </w:p>
        </w:tc>
        <w:tc>
          <w:tcPr>
            <w:tcW w:w="1920" w:type="dxa"/>
            <w:gridSpan w:val="2"/>
            <w:tcBorders>
              <w:top w:val="single" w:sz="4" w:space="0" w:color="auto"/>
              <w:left w:val="nil"/>
              <w:bottom w:val="nil"/>
              <w:right w:val="single" w:sz="4" w:space="0" w:color="000000"/>
            </w:tcBorders>
            <w:shd w:val="clear" w:color="000000" w:fill="FFFFFF"/>
            <w:noWrap/>
            <w:vAlign w:val="bottom"/>
            <w:hideMark/>
          </w:tcPr>
          <w:p w14:paraId="606A5914" w14:textId="77777777" w:rsidR="00C479D8" w:rsidRPr="00C479D8" w:rsidRDefault="00C479D8" w:rsidP="00C479D8">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Grade E</w:t>
            </w:r>
          </w:p>
        </w:tc>
      </w:tr>
      <w:tr w:rsidR="00C479D8" w:rsidRPr="007E2527" w14:paraId="393448E8" w14:textId="77777777" w:rsidTr="00495791">
        <w:trPr>
          <w:trHeight w:val="300"/>
        </w:trPr>
        <w:tc>
          <w:tcPr>
            <w:tcW w:w="1757" w:type="dxa"/>
            <w:tcBorders>
              <w:top w:val="nil"/>
              <w:left w:val="single" w:sz="4" w:space="0" w:color="auto"/>
              <w:bottom w:val="single" w:sz="4" w:space="0" w:color="auto"/>
              <w:right w:val="nil"/>
            </w:tcBorders>
            <w:shd w:val="clear" w:color="000000" w:fill="FFFFFF"/>
            <w:noWrap/>
            <w:vAlign w:val="bottom"/>
            <w:hideMark/>
          </w:tcPr>
          <w:p w14:paraId="688E0FDB" w14:textId="77777777" w:rsidR="00C479D8" w:rsidRPr="00C479D8" w:rsidRDefault="00C479D8" w:rsidP="00C479D8">
            <w:pPr>
              <w:spacing w:after="0" w:line="240" w:lineRule="auto"/>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2D03442A"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15ABF8B"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17331DB"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B4C69DC"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3D860BD1"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A80242B"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0F87E43"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58106E63"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9679F97"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76217B4" w14:textId="77777777" w:rsidR="00C479D8" w:rsidRPr="00C479D8" w:rsidRDefault="00C479D8" w:rsidP="00C479D8">
            <w:pPr>
              <w:spacing w:after="0" w:line="240" w:lineRule="auto"/>
              <w:jc w:val="center"/>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w:t>
            </w:r>
          </w:p>
        </w:tc>
      </w:tr>
      <w:tr w:rsidR="00C479D8" w:rsidRPr="007E2527" w14:paraId="345DD0FD"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25DDB111" w14:textId="77777777" w:rsidR="00C479D8" w:rsidRPr="00C479D8" w:rsidRDefault="00C479D8" w:rsidP="00C479D8">
            <w:pPr>
              <w:spacing w:after="0" w:line="240" w:lineRule="auto"/>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44DEA946"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138</w:t>
            </w:r>
          </w:p>
        </w:tc>
        <w:tc>
          <w:tcPr>
            <w:tcW w:w="960" w:type="dxa"/>
            <w:tcBorders>
              <w:top w:val="nil"/>
              <w:left w:val="nil"/>
              <w:bottom w:val="nil"/>
              <w:right w:val="single" w:sz="4" w:space="0" w:color="auto"/>
            </w:tcBorders>
            <w:shd w:val="clear" w:color="000000" w:fill="FFFFFF"/>
            <w:noWrap/>
            <w:vAlign w:val="bottom"/>
            <w:hideMark/>
          </w:tcPr>
          <w:p w14:paraId="2D10C2F0"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48.3%</w:t>
            </w:r>
          </w:p>
        </w:tc>
        <w:tc>
          <w:tcPr>
            <w:tcW w:w="960" w:type="dxa"/>
            <w:tcBorders>
              <w:top w:val="nil"/>
              <w:left w:val="nil"/>
              <w:bottom w:val="nil"/>
              <w:right w:val="nil"/>
            </w:tcBorders>
            <w:shd w:val="clear" w:color="000000" w:fill="FFFFFF"/>
            <w:noWrap/>
            <w:vAlign w:val="bottom"/>
            <w:hideMark/>
          </w:tcPr>
          <w:p w14:paraId="7713493A"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single" w:sz="4" w:space="0" w:color="auto"/>
            </w:tcBorders>
            <w:shd w:val="clear" w:color="000000" w:fill="FFFFFF"/>
            <w:noWrap/>
            <w:vAlign w:val="bottom"/>
            <w:hideMark/>
          </w:tcPr>
          <w:p w14:paraId="39ED2052"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35.2%</w:t>
            </w:r>
          </w:p>
        </w:tc>
        <w:tc>
          <w:tcPr>
            <w:tcW w:w="960" w:type="dxa"/>
            <w:tcBorders>
              <w:top w:val="nil"/>
              <w:left w:val="nil"/>
              <w:bottom w:val="nil"/>
              <w:right w:val="nil"/>
            </w:tcBorders>
            <w:shd w:val="clear" w:color="000000" w:fill="FFFFFF"/>
            <w:noWrap/>
            <w:vAlign w:val="bottom"/>
            <w:hideMark/>
          </w:tcPr>
          <w:p w14:paraId="58FDB325"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190</w:t>
            </w:r>
          </w:p>
        </w:tc>
        <w:tc>
          <w:tcPr>
            <w:tcW w:w="960" w:type="dxa"/>
            <w:tcBorders>
              <w:top w:val="nil"/>
              <w:left w:val="nil"/>
              <w:bottom w:val="nil"/>
              <w:right w:val="single" w:sz="4" w:space="0" w:color="auto"/>
            </w:tcBorders>
            <w:shd w:val="clear" w:color="000000" w:fill="FFFFFF"/>
            <w:noWrap/>
            <w:vAlign w:val="bottom"/>
            <w:hideMark/>
          </w:tcPr>
          <w:p w14:paraId="17CE659D"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49.4%</w:t>
            </w:r>
          </w:p>
        </w:tc>
        <w:tc>
          <w:tcPr>
            <w:tcW w:w="960" w:type="dxa"/>
            <w:tcBorders>
              <w:top w:val="nil"/>
              <w:left w:val="nil"/>
              <w:bottom w:val="nil"/>
              <w:right w:val="nil"/>
            </w:tcBorders>
            <w:shd w:val="clear" w:color="000000" w:fill="FFFFFF"/>
            <w:noWrap/>
            <w:vAlign w:val="bottom"/>
            <w:hideMark/>
          </w:tcPr>
          <w:p w14:paraId="641D0356"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294</w:t>
            </w:r>
          </w:p>
        </w:tc>
        <w:tc>
          <w:tcPr>
            <w:tcW w:w="960" w:type="dxa"/>
            <w:tcBorders>
              <w:top w:val="nil"/>
              <w:left w:val="nil"/>
              <w:bottom w:val="nil"/>
              <w:right w:val="single" w:sz="4" w:space="0" w:color="auto"/>
            </w:tcBorders>
            <w:shd w:val="clear" w:color="000000" w:fill="FFFFFF"/>
            <w:noWrap/>
            <w:vAlign w:val="bottom"/>
            <w:hideMark/>
          </w:tcPr>
          <w:p w14:paraId="4815E923"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49.2%</w:t>
            </w:r>
          </w:p>
        </w:tc>
        <w:tc>
          <w:tcPr>
            <w:tcW w:w="960" w:type="dxa"/>
            <w:tcBorders>
              <w:top w:val="nil"/>
              <w:left w:val="nil"/>
              <w:bottom w:val="nil"/>
              <w:right w:val="nil"/>
            </w:tcBorders>
            <w:shd w:val="clear" w:color="000000" w:fill="FFFFFF"/>
            <w:noWrap/>
            <w:vAlign w:val="bottom"/>
            <w:hideMark/>
          </w:tcPr>
          <w:p w14:paraId="0B9DB6F7"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299</w:t>
            </w:r>
          </w:p>
        </w:tc>
        <w:tc>
          <w:tcPr>
            <w:tcW w:w="960" w:type="dxa"/>
            <w:tcBorders>
              <w:top w:val="nil"/>
              <w:left w:val="nil"/>
              <w:bottom w:val="nil"/>
              <w:right w:val="single" w:sz="4" w:space="0" w:color="auto"/>
            </w:tcBorders>
            <w:shd w:val="clear" w:color="000000" w:fill="FFFFFF"/>
            <w:noWrap/>
            <w:vAlign w:val="bottom"/>
            <w:hideMark/>
          </w:tcPr>
          <w:p w14:paraId="3C80CDA4"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47.7%</w:t>
            </w:r>
          </w:p>
        </w:tc>
      </w:tr>
      <w:tr w:rsidR="00C479D8" w:rsidRPr="007E2527" w14:paraId="5A253E95"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0E274D89" w14:textId="77777777" w:rsidR="00C479D8" w:rsidRPr="00C479D8" w:rsidRDefault="00C479D8" w:rsidP="00C479D8">
            <w:pPr>
              <w:spacing w:after="0" w:line="240" w:lineRule="auto"/>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14D62929"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6F5B9B2"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4BE1DD85"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13</w:t>
            </w:r>
          </w:p>
        </w:tc>
        <w:tc>
          <w:tcPr>
            <w:tcW w:w="960" w:type="dxa"/>
            <w:tcBorders>
              <w:top w:val="nil"/>
              <w:left w:val="nil"/>
              <w:bottom w:val="nil"/>
              <w:right w:val="single" w:sz="4" w:space="0" w:color="auto"/>
            </w:tcBorders>
            <w:shd w:val="clear" w:color="000000" w:fill="FFFFFF"/>
            <w:noWrap/>
            <w:vAlign w:val="bottom"/>
            <w:hideMark/>
          </w:tcPr>
          <w:p w14:paraId="32FC1AE6"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10.4%</w:t>
            </w:r>
          </w:p>
        </w:tc>
        <w:tc>
          <w:tcPr>
            <w:tcW w:w="960" w:type="dxa"/>
            <w:tcBorders>
              <w:top w:val="nil"/>
              <w:left w:val="nil"/>
              <w:bottom w:val="nil"/>
              <w:right w:val="nil"/>
            </w:tcBorders>
            <w:shd w:val="clear" w:color="000000" w:fill="FFFFFF"/>
            <w:noWrap/>
            <w:vAlign w:val="bottom"/>
            <w:hideMark/>
          </w:tcPr>
          <w:p w14:paraId="0CA0AC65"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28</w:t>
            </w:r>
          </w:p>
        </w:tc>
        <w:tc>
          <w:tcPr>
            <w:tcW w:w="960" w:type="dxa"/>
            <w:tcBorders>
              <w:top w:val="nil"/>
              <w:left w:val="nil"/>
              <w:bottom w:val="nil"/>
              <w:right w:val="single" w:sz="4" w:space="0" w:color="auto"/>
            </w:tcBorders>
            <w:shd w:val="clear" w:color="000000" w:fill="FFFFFF"/>
            <w:noWrap/>
            <w:vAlign w:val="bottom"/>
            <w:hideMark/>
          </w:tcPr>
          <w:p w14:paraId="0B025312"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7.3%</w:t>
            </w:r>
          </w:p>
        </w:tc>
        <w:tc>
          <w:tcPr>
            <w:tcW w:w="960" w:type="dxa"/>
            <w:tcBorders>
              <w:top w:val="nil"/>
              <w:left w:val="nil"/>
              <w:bottom w:val="nil"/>
              <w:right w:val="nil"/>
            </w:tcBorders>
            <w:shd w:val="clear" w:color="000000" w:fill="FFFFFF"/>
            <w:noWrap/>
            <w:vAlign w:val="bottom"/>
            <w:hideMark/>
          </w:tcPr>
          <w:p w14:paraId="73398BBD"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46</w:t>
            </w:r>
          </w:p>
        </w:tc>
        <w:tc>
          <w:tcPr>
            <w:tcW w:w="960" w:type="dxa"/>
            <w:tcBorders>
              <w:top w:val="nil"/>
              <w:left w:val="nil"/>
              <w:bottom w:val="nil"/>
              <w:right w:val="single" w:sz="4" w:space="0" w:color="auto"/>
            </w:tcBorders>
            <w:shd w:val="clear" w:color="000000" w:fill="FFFFFF"/>
            <w:noWrap/>
            <w:vAlign w:val="bottom"/>
            <w:hideMark/>
          </w:tcPr>
          <w:p w14:paraId="01B2C654"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7.7%</w:t>
            </w:r>
          </w:p>
        </w:tc>
        <w:tc>
          <w:tcPr>
            <w:tcW w:w="960" w:type="dxa"/>
            <w:tcBorders>
              <w:top w:val="nil"/>
              <w:left w:val="nil"/>
              <w:bottom w:val="nil"/>
              <w:right w:val="nil"/>
            </w:tcBorders>
            <w:shd w:val="clear" w:color="000000" w:fill="FFFFFF"/>
            <w:noWrap/>
            <w:vAlign w:val="bottom"/>
            <w:hideMark/>
          </w:tcPr>
          <w:p w14:paraId="426F30F3"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32</w:t>
            </w:r>
          </w:p>
        </w:tc>
        <w:tc>
          <w:tcPr>
            <w:tcW w:w="960" w:type="dxa"/>
            <w:tcBorders>
              <w:top w:val="nil"/>
              <w:left w:val="nil"/>
              <w:bottom w:val="nil"/>
              <w:right w:val="single" w:sz="4" w:space="0" w:color="auto"/>
            </w:tcBorders>
            <w:shd w:val="clear" w:color="000000" w:fill="FFFFFF"/>
            <w:noWrap/>
            <w:vAlign w:val="bottom"/>
            <w:hideMark/>
          </w:tcPr>
          <w:p w14:paraId="3EB5A91B"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5.1%</w:t>
            </w:r>
          </w:p>
        </w:tc>
      </w:tr>
      <w:tr w:rsidR="00C479D8" w:rsidRPr="007E2527" w14:paraId="28959D7C" w14:textId="77777777" w:rsidTr="00495791">
        <w:trPr>
          <w:trHeight w:val="300"/>
        </w:trPr>
        <w:tc>
          <w:tcPr>
            <w:tcW w:w="1757" w:type="dxa"/>
            <w:tcBorders>
              <w:top w:val="nil"/>
              <w:left w:val="single" w:sz="4" w:space="0" w:color="auto"/>
              <w:bottom w:val="nil"/>
              <w:right w:val="nil"/>
            </w:tcBorders>
            <w:shd w:val="clear" w:color="000000" w:fill="FFFFFF"/>
            <w:noWrap/>
            <w:vAlign w:val="bottom"/>
            <w:hideMark/>
          </w:tcPr>
          <w:p w14:paraId="61DEC8CC" w14:textId="77777777" w:rsidR="00C479D8" w:rsidRPr="00C479D8" w:rsidRDefault="00C479D8" w:rsidP="00C479D8">
            <w:pPr>
              <w:spacing w:after="0" w:line="240" w:lineRule="auto"/>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3ACA1ED0"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142</w:t>
            </w:r>
          </w:p>
        </w:tc>
        <w:tc>
          <w:tcPr>
            <w:tcW w:w="960" w:type="dxa"/>
            <w:tcBorders>
              <w:top w:val="nil"/>
              <w:left w:val="nil"/>
              <w:bottom w:val="nil"/>
              <w:right w:val="single" w:sz="4" w:space="0" w:color="auto"/>
            </w:tcBorders>
            <w:shd w:val="clear" w:color="000000" w:fill="FFFFFF"/>
            <w:noWrap/>
            <w:vAlign w:val="bottom"/>
            <w:hideMark/>
          </w:tcPr>
          <w:p w14:paraId="770CF032"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49.7%</w:t>
            </w:r>
          </w:p>
        </w:tc>
        <w:tc>
          <w:tcPr>
            <w:tcW w:w="960" w:type="dxa"/>
            <w:tcBorders>
              <w:top w:val="nil"/>
              <w:left w:val="nil"/>
              <w:bottom w:val="nil"/>
              <w:right w:val="nil"/>
            </w:tcBorders>
            <w:shd w:val="clear" w:color="000000" w:fill="FFFFFF"/>
            <w:noWrap/>
            <w:vAlign w:val="bottom"/>
            <w:hideMark/>
          </w:tcPr>
          <w:p w14:paraId="466797D0"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68</w:t>
            </w:r>
          </w:p>
        </w:tc>
        <w:tc>
          <w:tcPr>
            <w:tcW w:w="960" w:type="dxa"/>
            <w:tcBorders>
              <w:top w:val="nil"/>
              <w:left w:val="nil"/>
              <w:bottom w:val="nil"/>
              <w:right w:val="single" w:sz="4" w:space="0" w:color="auto"/>
            </w:tcBorders>
            <w:shd w:val="clear" w:color="000000" w:fill="FFFFFF"/>
            <w:noWrap/>
            <w:vAlign w:val="bottom"/>
            <w:hideMark/>
          </w:tcPr>
          <w:p w14:paraId="0F37E4E7"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54.4%</w:t>
            </w:r>
          </w:p>
        </w:tc>
        <w:tc>
          <w:tcPr>
            <w:tcW w:w="960" w:type="dxa"/>
            <w:tcBorders>
              <w:top w:val="nil"/>
              <w:left w:val="nil"/>
              <w:bottom w:val="nil"/>
              <w:right w:val="nil"/>
            </w:tcBorders>
            <w:shd w:val="clear" w:color="000000" w:fill="FFFFFF"/>
            <w:noWrap/>
            <w:vAlign w:val="bottom"/>
            <w:hideMark/>
          </w:tcPr>
          <w:p w14:paraId="6E551954"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167</w:t>
            </w:r>
          </w:p>
        </w:tc>
        <w:tc>
          <w:tcPr>
            <w:tcW w:w="960" w:type="dxa"/>
            <w:tcBorders>
              <w:top w:val="nil"/>
              <w:left w:val="nil"/>
              <w:bottom w:val="nil"/>
              <w:right w:val="single" w:sz="4" w:space="0" w:color="auto"/>
            </w:tcBorders>
            <w:shd w:val="clear" w:color="000000" w:fill="FFFFFF"/>
            <w:noWrap/>
            <w:vAlign w:val="bottom"/>
            <w:hideMark/>
          </w:tcPr>
          <w:p w14:paraId="51B99A2F"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43.4%</w:t>
            </w:r>
          </w:p>
        </w:tc>
        <w:tc>
          <w:tcPr>
            <w:tcW w:w="960" w:type="dxa"/>
            <w:tcBorders>
              <w:top w:val="nil"/>
              <w:left w:val="nil"/>
              <w:bottom w:val="nil"/>
              <w:right w:val="nil"/>
            </w:tcBorders>
            <w:shd w:val="clear" w:color="000000" w:fill="FFFFFF"/>
            <w:noWrap/>
            <w:vAlign w:val="bottom"/>
            <w:hideMark/>
          </w:tcPr>
          <w:p w14:paraId="585CE1DA"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258</w:t>
            </w:r>
          </w:p>
        </w:tc>
        <w:tc>
          <w:tcPr>
            <w:tcW w:w="960" w:type="dxa"/>
            <w:tcBorders>
              <w:top w:val="nil"/>
              <w:left w:val="nil"/>
              <w:bottom w:val="nil"/>
              <w:right w:val="single" w:sz="4" w:space="0" w:color="auto"/>
            </w:tcBorders>
            <w:shd w:val="clear" w:color="000000" w:fill="FFFFFF"/>
            <w:noWrap/>
            <w:vAlign w:val="bottom"/>
            <w:hideMark/>
          </w:tcPr>
          <w:p w14:paraId="7E514DCB"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43.1%</w:t>
            </w:r>
          </w:p>
        </w:tc>
        <w:tc>
          <w:tcPr>
            <w:tcW w:w="960" w:type="dxa"/>
            <w:tcBorders>
              <w:top w:val="nil"/>
              <w:left w:val="nil"/>
              <w:bottom w:val="nil"/>
              <w:right w:val="nil"/>
            </w:tcBorders>
            <w:shd w:val="clear" w:color="000000" w:fill="FFFFFF"/>
            <w:noWrap/>
            <w:vAlign w:val="bottom"/>
            <w:hideMark/>
          </w:tcPr>
          <w:p w14:paraId="102270A4"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296</w:t>
            </w:r>
          </w:p>
        </w:tc>
        <w:tc>
          <w:tcPr>
            <w:tcW w:w="960" w:type="dxa"/>
            <w:tcBorders>
              <w:top w:val="nil"/>
              <w:left w:val="nil"/>
              <w:bottom w:val="nil"/>
              <w:right w:val="single" w:sz="4" w:space="0" w:color="auto"/>
            </w:tcBorders>
            <w:shd w:val="clear" w:color="000000" w:fill="FFFFFF"/>
            <w:noWrap/>
            <w:vAlign w:val="bottom"/>
            <w:hideMark/>
          </w:tcPr>
          <w:p w14:paraId="1447FBDA" w14:textId="77777777" w:rsidR="00C479D8" w:rsidRPr="00C479D8" w:rsidRDefault="00C479D8" w:rsidP="00C479D8">
            <w:pPr>
              <w:spacing w:after="0" w:line="240" w:lineRule="auto"/>
              <w:jc w:val="right"/>
              <w:rPr>
                <w:rFonts w:asciiTheme="minorHAnsi" w:eastAsia="Times New Roman" w:hAnsiTheme="minorHAnsi" w:cs="Times New Roman"/>
                <w:color w:val="000000"/>
                <w:kern w:val="0"/>
                <w:szCs w:val="22"/>
                <w:lang w:eastAsia="en-GB"/>
                <w14:ligatures w14:val="none"/>
              </w:rPr>
            </w:pPr>
            <w:r w:rsidRPr="00C479D8">
              <w:rPr>
                <w:rFonts w:asciiTheme="minorHAnsi" w:eastAsia="Times New Roman" w:hAnsiTheme="minorHAnsi" w:cs="Times New Roman"/>
                <w:color w:val="000000"/>
                <w:kern w:val="0"/>
                <w:szCs w:val="22"/>
                <w:lang w:eastAsia="en-GB"/>
                <w14:ligatures w14:val="none"/>
              </w:rPr>
              <w:t>47.2%</w:t>
            </w:r>
          </w:p>
        </w:tc>
      </w:tr>
      <w:tr w:rsidR="00C479D8" w:rsidRPr="007E2527" w14:paraId="159D1A1F" w14:textId="77777777" w:rsidTr="00495791">
        <w:trPr>
          <w:trHeight w:val="315"/>
        </w:trPr>
        <w:tc>
          <w:tcPr>
            <w:tcW w:w="1757" w:type="dxa"/>
            <w:tcBorders>
              <w:top w:val="dotted" w:sz="4" w:space="0" w:color="auto"/>
              <w:left w:val="single" w:sz="4" w:space="0" w:color="auto"/>
              <w:bottom w:val="double" w:sz="6" w:space="0" w:color="auto"/>
              <w:right w:val="nil"/>
            </w:tcBorders>
            <w:shd w:val="clear" w:color="000000" w:fill="FFFFFF"/>
            <w:noWrap/>
            <w:vAlign w:val="bottom"/>
            <w:hideMark/>
          </w:tcPr>
          <w:p w14:paraId="0EC755DF" w14:textId="77777777" w:rsidR="00C479D8" w:rsidRPr="00C479D8" w:rsidRDefault="00C479D8" w:rsidP="00C479D8">
            <w:pPr>
              <w:spacing w:after="0" w:line="240" w:lineRule="auto"/>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0360BDB"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286</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4717ABF"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107EAEFB"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125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670B927F"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1FFFEA2"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385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4D8674B"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4CFF64F0"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598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7CD029F8"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58E706AE"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627</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1F81728" w14:textId="77777777" w:rsidR="00C479D8" w:rsidRPr="00C479D8" w:rsidRDefault="00C479D8" w:rsidP="00C479D8">
            <w:pPr>
              <w:spacing w:after="0" w:line="240" w:lineRule="auto"/>
              <w:jc w:val="right"/>
              <w:rPr>
                <w:rFonts w:asciiTheme="minorHAnsi" w:eastAsia="Times New Roman" w:hAnsiTheme="minorHAnsi" w:cs="Times New Roman"/>
                <w:b/>
                <w:bCs/>
                <w:color w:val="000000"/>
                <w:kern w:val="0"/>
                <w:szCs w:val="22"/>
                <w:lang w:eastAsia="en-GB"/>
                <w14:ligatures w14:val="none"/>
              </w:rPr>
            </w:pPr>
            <w:r w:rsidRPr="00C479D8">
              <w:rPr>
                <w:rFonts w:asciiTheme="minorHAnsi" w:eastAsia="Times New Roman" w:hAnsiTheme="minorHAnsi" w:cs="Times New Roman"/>
                <w:b/>
                <w:bCs/>
                <w:color w:val="000000"/>
                <w:kern w:val="0"/>
                <w:szCs w:val="22"/>
                <w:lang w:eastAsia="en-GB"/>
                <w14:ligatures w14:val="none"/>
              </w:rPr>
              <w:t>100%</w:t>
            </w:r>
          </w:p>
        </w:tc>
      </w:tr>
    </w:tbl>
    <w:p w14:paraId="78A87771" w14:textId="77777777" w:rsidR="00C479D8" w:rsidRPr="007E2527" w:rsidRDefault="00C479D8" w:rsidP="00C479D8">
      <w:pPr>
        <w:rPr>
          <w:rFonts w:asciiTheme="minorHAnsi" w:hAnsiTheme="minorHAnsi"/>
          <w:b/>
          <w:bCs/>
          <w:szCs w:val="22"/>
        </w:rPr>
      </w:pPr>
    </w:p>
    <w:tbl>
      <w:tblPr>
        <w:tblW w:w="9437" w:type="dxa"/>
        <w:tblLayout w:type="fixed"/>
        <w:tblLook w:val="04A0" w:firstRow="1" w:lastRow="0" w:firstColumn="1" w:lastColumn="0" w:noHBand="0" w:noVBand="1"/>
      </w:tblPr>
      <w:tblGrid>
        <w:gridCol w:w="1757"/>
        <w:gridCol w:w="960"/>
        <w:gridCol w:w="960"/>
        <w:gridCol w:w="960"/>
        <w:gridCol w:w="960"/>
        <w:gridCol w:w="960"/>
        <w:gridCol w:w="960"/>
        <w:gridCol w:w="960"/>
        <w:gridCol w:w="960"/>
      </w:tblGrid>
      <w:tr w:rsidR="001B5E3A" w:rsidRPr="001B5E3A" w14:paraId="477DB6AA" w14:textId="77777777" w:rsidTr="00495791">
        <w:trPr>
          <w:trHeight w:val="300"/>
        </w:trPr>
        <w:tc>
          <w:tcPr>
            <w:tcW w:w="1757" w:type="dxa"/>
            <w:tcBorders>
              <w:top w:val="single" w:sz="4" w:space="0" w:color="auto"/>
              <w:left w:val="single" w:sz="4" w:space="0" w:color="auto"/>
              <w:bottom w:val="nil"/>
              <w:right w:val="single" w:sz="4" w:space="0" w:color="auto"/>
            </w:tcBorders>
            <w:shd w:val="clear" w:color="000000" w:fill="FFFFFF"/>
            <w:noWrap/>
            <w:vAlign w:val="bottom"/>
            <w:hideMark/>
          </w:tcPr>
          <w:p w14:paraId="72CE3758" w14:textId="77777777" w:rsidR="001B5E3A" w:rsidRPr="001B5E3A" w:rsidRDefault="001B5E3A" w:rsidP="001B5E3A">
            <w:pPr>
              <w:spacing w:after="0" w:line="240" w:lineRule="auto"/>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 </w:t>
            </w:r>
          </w:p>
        </w:tc>
        <w:tc>
          <w:tcPr>
            <w:tcW w:w="1920" w:type="dxa"/>
            <w:gridSpan w:val="2"/>
            <w:tcBorders>
              <w:top w:val="single" w:sz="4" w:space="0" w:color="auto"/>
              <w:left w:val="single" w:sz="4" w:space="0" w:color="auto"/>
              <w:bottom w:val="nil"/>
              <w:right w:val="nil"/>
            </w:tcBorders>
            <w:shd w:val="clear" w:color="000000" w:fill="FFFFFF"/>
            <w:noWrap/>
            <w:vAlign w:val="bottom"/>
            <w:hideMark/>
          </w:tcPr>
          <w:p w14:paraId="6C2E2BC5" w14:textId="77777777" w:rsidR="001B5E3A" w:rsidRPr="001B5E3A" w:rsidRDefault="001B5E3A" w:rsidP="001B5E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Grade F</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425207B2" w14:textId="77777777" w:rsidR="001B5E3A" w:rsidRPr="001B5E3A" w:rsidRDefault="001B5E3A" w:rsidP="001B5E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Grade G</w:t>
            </w:r>
          </w:p>
        </w:tc>
        <w:tc>
          <w:tcPr>
            <w:tcW w:w="1920" w:type="dxa"/>
            <w:gridSpan w:val="2"/>
            <w:tcBorders>
              <w:top w:val="single" w:sz="4" w:space="0" w:color="auto"/>
              <w:left w:val="nil"/>
              <w:bottom w:val="nil"/>
              <w:right w:val="nil"/>
            </w:tcBorders>
            <w:shd w:val="clear" w:color="000000" w:fill="FFFFFF"/>
            <w:noWrap/>
            <w:vAlign w:val="bottom"/>
            <w:hideMark/>
          </w:tcPr>
          <w:p w14:paraId="5FFE1D7D" w14:textId="77777777" w:rsidR="001B5E3A" w:rsidRPr="001B5E3A" w:rsidRDefault="001B5E3A" w:rsidP="001B5E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Grade H</w:t>
            </w:r>
          </w:p>
        </w:tc>
        <w:tc>
          <w:tcPr>
            <w:tcW w:w="1920"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32BE3ED8" w14:textId="77777777" w:rsidR="001B5E3A" w:rsidRPr="001B5E3A" w:rsidRDefault="001B5E3A" w:rsidP="001B5E3A">
            <w:pPr>
              <w:spacing w:after="0" w:line="240" w:lineRule="auto"/>
              <w:jc w:val="center"/>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Grade I</w:t>
            </w:r>
          </w:p>
        </w:tc>
      </w:tr>
      <w:tr w:rsidR="001B5E3A" w:rsidRPr="007E2527" w14:paraId="679FEF8F" w14:textId="77777777" w:rsidTr="00495791">
        <w:trPr>
          <w:trHeight w:val="300"/>
        </w:trPr>
        <w:tc>
          <w:tcPr>
            <w:tcW w:w="1757" w:type="dxa"/>
            <w:tcBorders>
              <w:top w:val="nil"/>
              <w:left w:val="single" w:sz="4" w:space="0" w:color="auto"/>
              <w:bottom w:val="single" w:sz="4" w:space="0" w:color="auto"/>
              <w:right w:val="single" w:sz="4" w:space="0" w:color="auto"/>
            </w:tcBorders>
            <w:shd w:val="clear" w:color="000000" w:fill="FFFFFF"/>
            <w:noWrap/>
            <w:vAlign w:val="bottom"/>
            <w:hideMark/>
          </w:tcPr>
          <w:p w14:paraId="3CD57B90" w14:textId="77777777" w:rsidR="001B5E3A" w:rsidRPr="001B5E3A" w:rsidRDefault="001B5E3A" w:rsidP="001B5E3A">
            <w:pPr>
              <w:spacing w:after="0" w:line="240" w:lineRule="auto"/>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 </w:t>
            </w:r>
          </w:p>
        </w:tc>
        <w:tc>
          <w:tcPr>
            <w:tcW w:w="960" w:type="dxa"/>
            <w:tcBorders>
              <w:top w:val="nil"/>
              <w:left w:val="single" w:sz="4" w:space="0" w:color="auto"/>
              <w:bottom w:val="single" w:sz="4" w:space="0" w:color="auto"/>
              <w:right w:val="nil"/>
            </w:tcBorders>
            <w:shd w:val="clear" w:color="000000" w:fill="FFFFFF"/>
            <w:noWrap/>
            <w:vAlign w:val="bottom"/>
            <w:hideMark/>
          </w:tcPr>
          <w:p w14:paraId="64F21B0D"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3704B676"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4AD8A68E"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747A7FAE"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1A813E35"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B3C44CD"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single" w:sz="4" w:space="0" w:color="auto"/>
              <w:right w:val="nil"/>
            </w:tcBorders>
            <w:shd w:val="clear" w:color="000000" w:fill="FFFFFF"/>
            <w:noWrap/>
            <w:vAlign w:val="bottom"/>
            <w:hideMark/>
          </w:tcPr>
          <w:p w14:paraId="02286C9B"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n</w:t>
            </w:r>
          </w:p>
        </w:tc>
        <w:tc>
          <w:tcPr>
            <w:tcW w:w="960" w:type="dxa"/>
            <w:tcBorders>
              <w:top w:val="nil"/>
              <w:left w:val="nil"/>
              <w:bottom w:val="single" w:sz="4" w:space="0" w:color="auto"/>
              <w:right w:val="single" w:sz="4" w:space="0" w:color="auto"/>
            </w:tcBorders>
            <w:shd w:val="clear" w:color="000000" w:fill="FFFFFF"/>
            <w:noWrap/>
            <w:vAlign w:val="bottom"/>
            <w:hideMark/>
          </w:tcPr>
          <w:p w14:paraId="63DB1ACC" w14:textId="77777777" w:rsidR="001B5E3A" w:rsidRPr="001B5E3A" w:rsidRDefault="001B5E3A" w:rsidP="001B5E3A">
            <w:pPr>
              <w:spacing w:after="0" w:line="240" w:lineRule="auto"/>
              <w:jc w:val="center"/>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w:t>
            </w:r>
          </w:p>
        </w:tc>
      </w:tr>
      <w:tr w:rsidR="001B5E3A" w:rsidRPr="007E2527" w14:paraId="5039FDB6" w14:textId="77777777" w:rsidTr="00495791">
        <w:trPr>
          <w:trHeight w:val="300"/>
        </w:trPr>
        <w:tc>
          <w:tcPr>
            <w:tcW w:w="1757" w:type="dxa"/>
            <w:tcBorders>
              <w:top w:val="nil"/>
              <w:left w:val="single" w:sz="4" w:space="0" w:color="auto"/>
              <w:bottom w:val="nil"/>
              <w:right w:val="single" w:sz="4" w:space="0" w:color="auto"/>
            </w:tcBorders>
            <w:shd w:val="clear" w:color="000000" w:fill="FFFFFF"/>
            <w:noWrap/>
            <w:vAlign w:val="bottom"/>
            <w:hideMark/>
          </w:tcPr>
          <w:p w14:paraId="7DB61D8F" w14:textId="77777777" w:rsidR="001B5E3A" w:rsidRPr="001B5E3A" w:rsidRDefault="001B5E3A" w:rsidP="001B5E3A">
            <w:pPr>
              <w:spacing w:after="0" w:line="240" w:lineRule="auto"/>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Heterosexual</w:t>
            </w:r>
          </w:p>
        </w:tc>
        <w:tc>
          <w:tcPr>
            <w:tcW w:w="960" w:type="dxa"/>
            <w:tcBorders>
              <w:top w:val="nil"/>
              <w:left w:val="single" w:sz="4" w:space="0" w:color="auto"/>
              <w:bottom w:val="nil"/>
              <w:right w:val="nil"/>
            </w:tcBorders>
            <w:shd w:val="clear" w:color="000000" w:fill="FFFFFF"/>
            <w:noWrap/>
            <w:vAlign w:val="bottom"/>
            <w:hideMark/>
          </w:tcPr>
          <w:p w14:paraId="4E98E445"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398</w:t>
            </w:r>
          </w:p>
        </w:tc>
        <w:tc>
          <w:tcPr>
            <w:tcW w:w="960" w:type="dxa"/>
            <w:tcBorders>
              <w:top w:val="nil"/>
              <w:left w:val="nil"/>
              <w:bottom w:val="nil"/>
              <w:right w:val="single" w:sz="4" w:space="0" w:color="auto"/>
            </w:tcBorders>
            <w:shd w:val="clear" w:color="000000" w:fill="FFFFFF"/>
            <w:noWrap/>
            <w:vAlign w:val="bottom"/>
            <w:hideMark/>
          </w:tcPr>
          <w:p w14:paraId="5A7A0581"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48.1%</w:t>
            </w:r>
          </w:p>
        </w:tc>
        <w:tc>
          <w:tcPr>
            <w:tcW w:w="960" w:type="dxa"/>
            <w:tcBorders>
              <w:top w:val="nil"/>
              <w:left w:val="nil"/>
              <w:bottom w:val="nil"/>
              <w:right w:val="nil"/>
            </w:tcBorders>
            <w:shd w:val="clear" w:color="000000" w:fill="FFFFFF"/>
            <w:noWrap/>
            <w:vAlign w:val="bottom"/>
            <w:hideMark/>
          </w:tcPr>
          <w:p w14:paraId="163208EC"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196</w:t>
            </w:r>
          </w:p>
        </w:tc>
        <w:tc>
          <w:tcPr>
            <w:tcW w:w="960" w:type="dxa"/>
            <w:tcBorders>
              <w:top w:val="nil"/>
              <w:left w:val="nil"/>
              <w:bottom w:val="nil"/>
              <w:right w:val="single" w:sz="4" w:space="0" w:color="auto"/>
            </w:tcBorders>
            <w:shd w:val="clear" w:color="000000" w:fill="FFFFFF"/>
            <w:noWrap/>
            <w:vAlign w:val="bottom"/>
            <w:hideMark/>
          </w:tcPr>
          <w:p w14:paraId="188CFE28"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50.5%</w:t>
            </w:r>
          </w:p>
        </w:tc>
        <w:tc>
          <w:tcPr>
            <w:tcW w:w="960" w:type="dxa"/>
            <w:tcBorders>
              <w:top w:val="nil"/>
              <w:left w:val="nil"/>
              <w:bottom w:val="nil"/>
              <w:right w:val="nil"/>
            </w:tcBorders>
            <w:shd w:val="clear" w:color="000000" w:fill="FFFFFF"/>
            <w:noWrap/>
            <w:vAlign w:val="bottom"/>
            <w:hideMark/>
          </w:tcPr>
          <w:p w14:paraId="73FF15C0"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50</w:t>
            </w:r>
          </w:p>
        </w:tc>
        <w:tc>
          <w:tcPr>
            <w:tcW w:w="960" w:type="dxa"/>
            <w:tcBorders>
              <w:top w:val="nil"/>
              <w:left w:val="nil"/>
              <w:bottom w:val="nil"/>
              <w:right w:val="single" w:sz="4" w:space="0" w:color="auto"/>
            </w:tcBorders>
            <w:shd w:val="clear" w:color="000000" w:fill="FFFFFF"/>
            <w:noWrap/>
            <w:vAlign w:val="bottom"/>
            <w:hideMark/>
          </w:tcPr>
          <w:p w14:paraId="1BF2630F"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52.6%</w:t>
            </w:r>
          </w:p>
        </w:tc>
        <w:tc>
          <w:tcPr>
            <w:tcW w:w="960" w:type="dxa"/>
            <w:tcBorders>
              <w:top w:val="nil"/>
              <w:left w:val="nil"/>
              <w:bottom w:val="nil"/>
              <w:right w:val="nil"/>
            </w:tcBorders>
            <w:shd w:val="clear" w:color="000000" w:fill="FFFFFF"/>
            <w:noWrap/>
            <w:vAlign w:val="bottom"/>
            <w:hideMark/>
          </w:tcPr>
          <w:p w14:paraId="3CCEF71D"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18</w:t>
            </w:r>
          </w:p>
        </w:tc>
        <w:tc>
          <w:tcPr>
            <w:tcW w:w="960" w:type="dxa"/>
            <w:tcBorders>
              <w:top w:val="nil"/>
              <w:left w:val="nil"/>
              <w:bottom w:val="nil"/>
              <w:right w:val="single" w:sz="4" w:space="0" w:color="auto"/>
            </w:tcBorders>
            <w:shd w:val="clear" w:color="000000" w:fill="FFFFFF"/>
            <w:noWrap/>
            <w:vAlign w:val="bottom"/>
            <w:hideMark/>
          </w:tcPr>
          <w:p w14:paraId="6AEAE401"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36.7%</w:t>
            </w:r>
          </w:p>
        </w:tc>
      </w:tr>
      <w:tr w:rsidR="001B5E3A" w:rsidRPr="007E2527" w14:paraId="562330D4" w14:textId="77777777" w:rsidTr="00495791">
        <w:trPr>
          <w:trHeight w:val="300"/>
        </w:trPr>
        <w:tc>
          <w:tcPr>
            <w:tcW w:w="1757" w:type="dxa"/>
            <w:tcBorders>
              <w:top w:val="nil"/>
              <w:left w:val="single" w:sz="4" w:space="0" w:color="auto"/>
              <w:bottom w:val="nil"/>
              <w:right w:val="single" w:sz="4" w:space="0" w:color="auto"/>
            </w:tcBorders>
            <w:shd w:val="clear" w:color="000000" w:fill="FFFFFF"/>
            <w:noWrap/>
            <w:vAlign w:val="bottom"/>
            <w:hideMark/>
          </w:tcPr>
          <w:p w14:paraId="5BC718FD" w14:textId="77777777" w:rsidR="001B5E3A" w:rsidRPr="001B5E3A" w:rsidRDefault="001B5E3A" w:rsidP="001B5E3A">
            <w:pPr>
              <w:spacing w:after="0" w:line="240" w:lineRule="auto"/>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LGB+</w:t>
            </w:r>
          </w:p>
        </w:tc>
        <w:tc>
          <w:tcPr>
            <w:tcW w:w="960" w:type="dxa"/>
            <w:tcBorders>
              <w:top w:val="nil"/>
              <w:left w:val="single" w:sz="4" w:space="0" w:color="auto"/>
              <w:bottom w:val="nil"/>
              <w:right w:val="nil"/>
            </w:tcBorders>
            <w:shd w:val="clear" w:color="000000" w:fill="FFFFFF"/>
            <w:noWrap/>
            <w:vAlign w:val="bottom"/>
            <w:hideMark/>
          </w:tcPr>
          <w:p w14:paraId="00169501"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39</w:t>
            </w:r>
          </w:p>
        </w:tc>
        <w:tc>
          <w:tcPr>
            <w:tcW w:w="960" w:type="dxa"/>
            <w:tcBorders>
              <w:top w:val="nil"/>
              <w:left w:val="nil"/>
              <w:bottom w:val="nil"/>
              <w:right w:val="single" w:sz="4" w:space="0" w:color="auto"/>
            </w:tcBorders>
            <w:shd w:val="clear" w:color="000000" w:fill="FFFFFF"/>
            <w:noWrap/>
            <w:vAlign w:val="bottom"/>
            <w:hideMark/>
          </w:tcPr>
          <w:p w14:paraId="7D5EFAD6"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4.7%</w:t>
            </w:r>
          </w:p>
        </w:tc>
        <w:tc>
          <w:tcPr>
            <w:tcW w:w="960" w:type="dxa"/>
            <w:tcBorders>
              <w:top w:val="nil"/>
              <w:left w:val="nil"/>
              <w:bottom w:val="nil"/>
              <w:right w:val="nil"/>
            </w:tcBorders>
            <w:shd w:val="clear" w:color="000000" w:fill="FFFFFF"/>
            <w:noWrap/>
            <w:vAlign w:val="bottom"/>
            <w:hideMark/>
          </w:tcPr>
          <w:p w14:paraId="3FC9DBC7"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8</w:t>
            </w:r>
          </w:p>
        </w:tc>
        <w:tc>
          <w:tcPr>
            <w:tcW w:w="960" w:type="dxa"/>
            <w:tcBorders>
              <w:top w:val="nil"/>
              <w:left w:val="nil"/>
              <w:bottom w:val="nil"/>
              <w:right w:val="single" w:sz="4" w:space="0" w:color="auto"/>
            </w:tcBorders>
            <w:shd w:val="clear" w:color="000000" w:fill="FFFFFF"/>
            <w:noWrap/>
            <w:vAlign w:val="bottom"/>
            <w:hideMark/>
          </w:tcPr>
          <w:p w14:paraId="3E014878"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2.1%</w:t>
            </w:r>
          </w:p>
        </w:tc>
        <w:tc>
          <w:tcPr>
            <w:tcW w:w="960" w:type="dxa"/>
            <w:tcBorders>
              <w:top w:val="nil"/>
              <w:left w:val="nil"/>
              <w:bottom w:val="nil"/>
              <w:right w:val="nil"/>
            </w:tcBorders>
            <w:shd w:val="clear" w:color="000000" w:fill="FFFFFF"/>
            <w:noWrap/>
            <w:vAlign w:val="bottom"/>
            <w:hideMark/>
          </w:tcPr>
          <w:p w14:paraId="52460201"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62C7B51B"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w:t>
            </w:r>
          </w:p>
        </w:tc>
        <w:tc>
          <w:tcPr>
            <w:tcW w:w="960" w:type="dxa"/>
            <w:tcBorders>
              <w:top w:val="nil"/>
              <w:left w:val="nil"/>
              <w:bottom w:val="nil"/>
              <w:right w:val="nil"/>
            </w:tcBorders>
            <w:shd w:val="clear" w:color="000000" w:fill="FFFFFF"/>
            <w:noWrap/>
            <w:vAlign w:val="bottom"/>
            <w:hideMark/>
          </w:tcPr>
          <w:p w14:paraId="227BB75C"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&lt;7</w:t>
            </w:r>
          </w:p>
        </w:tc>
        <w:tc>
          <w:tcPr>
            <w:tcW w:w="960" w:type="dxa"/>
            <w:tcBorders>
              <w:top w:val="nil"/>
              <w:left w:val="nil"/>
              <w:bottom w:val="nil"/>
              <w:right w:val="single" w:sz="4" w:space="0" w:color="auto"/>
            </w:tcBorders>
            <w:shd w:val="clear" w:color="000000" w:fill="FFFFFF"/>
            <w:noWrap/>
            <w:vAlign w:val="bottom"/>
            <w:hideMark/>
          </w:tcPr>
          <w:p w14:paraId="7F360322"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w:t>
            </w:r>
          </w:p>
        </w:tc>
      </w:tr>
      <w:tr w:rsidR="001B5E3A" w:rsidRPr="007E2527" w14:paraId="6FEE7F2E" w14:textId="77777777" w:rsidTr="00495791">
        <w:trPr>
          <w:trHeight w:val="300"/>
        </w:trPr>
        <w:tc>
          <w:tcPr>
            <w:tcW w:w="1757" w:type="dxa"/>
            <w:tcBorders>
              <w:top w:val="nil"/>
              <w:left w:val="single" w:sz="4" w:space="0" w:color="auto"/>
              <w:bottom w:val="nil"/>
              <w:right w:val="single" w:sz="4" w:space="0" w:color="auto"/>
            </w:tcBorders>
            <w:shd w:val="clear" w:color="000000" w:fill="FFFFFF"/>
            <w:noWrap/>
            <w:vAlign w:val="bottom"/>
            <w:hideMark/>
          </w:tcPr>
          <w:p w14:paraId="1F150A10" w14:textId="77777777" w:rsidR="001B5E3A" w:rsidRPr="001B5E3A" w:rsidRDefault="001B5E3A" w:rsidP="001B5E3A">
            <w:pPr>
              <w:spacing w:after="0" w:line="240" w:lineRule="auto"/>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Prefer not to say</w:t>
            </w:r>
          </w:p>
        </w:tc>
        <w:tc>
          <w:tcPr>
            <w:tcW w:w="960" w:type="dxa"/>
            <w:tcBorders>
              <w:top w:val="nil"/>
              <w:left w:val="single" w:sz="4" w:space="0" w:color="auto"/>
              <w:bottom w:val="nil"/>
              <w:right w:val="nil"/>
            </w:tcBorders>
            <w:shd w:val="clear" w:color="000000" w:fill="FFFFFF"/>
            <w:noWrap/>
            <w:vAlign w:val="bottom"/>
            <w:hideMark/>
          </w:tcPr>
          <w:p w14:paraId="052FC183"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391</w:t>
            </w:r>
          </w:p>
        </w:tc>
        <w:tc>
          <w:tcPr>
            <w:tcW w:w="960" w:type="dxa"/>
            <w:tcBorders>
              <w:top w:val="nil"/>
              <w:left w:val="nil"/>
              <w:bottom w:val="nil"/>
              <w:right w:val="single" w:sz="4" w:space="0" w:color="auto"/>
            </w:tcBorders>
            <w:shd w:val="clear" w:color="000000" w:fill="FFFFFF"/>
            <w:noWrap/>
            <w:vAlign w:val="bottom"/>
            <w:hideMark/>
          </w:tcPr>
          <w:p w14:paraId="141F6CD3"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47.2%</w:t>
            </w:r>
          </w:p>
        </w:tc>
        <w:tc>
          <w:tcPr>
            <w:tcW w:w="960" w:type="dxa"/>
            <w:tcBorders>
              <w:top w:val="nil"/>
              <w:left w:val="nil"/>
              <w:bottom w:val="nil"/>
              <w:right w:val="nil"/>
            </w:tcBorders>
            <w:shd w:val="clear" w:color="000000" w:fill="FFFFFF"/>
            <w:noWrap/>
            <w:vAlign w:val="bottom"/>
            <w:hideMark/>
          </w:tcPr>
          <w:p w14:paraId="149E90E7"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184</w:t>
            </w:r>
          </w:p>
        </w:tc>
        <w:tc>
          <w:tcPr>
            <w:tcW w:w="960" w:type="dxa"/>
            <w:tcBorders>
              <w:top w:val="nil"/>
              <w:left w:val="nil"/>
              <w:bottom w:val="nil"/>
              <w:right w:val="single" w:sz="4" w:space="0" w:color="auto"/>
            </w:tcBorders>
            <w:shd w:val="clear" w:color="000000" w:fill="FFFFFF"/>
            <w:noWrap/>
            <w:vAlign w:val="bottom"/>
            <w:hideMark/>
          </w:tcPr>
          <w:p w14:paraId="2229B4E1"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47.4%</w:t>
            </w:r>
          </w:p>
        </w:tc>
        <w:tc>
          <w:tcPr>
            <w:tcW w:w="960" w:type="dxa"/>
            <w:tcBorders>
              <w:top w:val="nil"/>
              <w:left w:val="nil"/>
              <w:bottom w:val="nil"/>
              <w:right w:val="nil"/>
            </w:tcBorders>
            <w:shd w:val="clear" w:color="000000" w:fill="FFFFFF"/>
            <w:noWrap/>
            <w:vAlign w:val="bottom"/>
            <w:hideMark/>
          </w:tcPr>
          <w:p w14:paraId="350CCFBD"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44</w:t>
            </w:r>
          </w:p>
        </w:tc>
        <w:tc>
          <w:tcPr>
            <w:tcW w:w="960" w:type="dxa"/>
            <w:tcBorders>
              <w:top w:val="nil"/>
              <w:left w:val="nil"/>
              <w:bottom w:val="nil"/>
              <w:right w:val="single" w:sz="4" w:space="0" w:color="auto"/>
            </w:tcBorders>
            <w:shd w:val="clear" w:color="000000" w:fill="FFFFFF"/>
            <w:noWrap/>
            <w:vAlign w:val="bottom"/>
            <w:hideMark/>
          </w:tcPr>
          <w:p w14:paraId="478A61BF"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46.3%</w:t>
            </w:r>
          </w:p>
        </w:tc>
        <w:tc>
          <w:tcPr>
            <w:tcW w:w="960" w:type="dxa"/>
            <w:tcBorders>
              <w:top w:val="nil"/>
              <w:left w:val="nil"/>
              <w:bottom w:val="nil"/>
              <w:right w:val="nil"/>
            </w:tcBorders>
            <w:shd w:val="clear" w:color="000000" w:fill="FFFFFF"/>
            <w:noWrap/>
            <w:vAlign w:val="bottom"/>
            <w:hideMark/>
          </w:tcPr>
          <w:p w14:paraId="22D4BF4B"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30</w:t>
            </w:r>
          </w:p>
        </w:tc>
        <w:tc>
          <w:tcPr>
            <w:tcW w:w="960" w:type="dxa"/>
            <w:tcBorders>
              <w:top w:val="nil"/>
              <w:left w:val="nil"/>
              <w:bottom w:val="nil"/>
              <w:right w:val="single" w:sz="4" w:space="0" w:color="auto"/>
            </w:tcBorders>
            <w:shd w:val="clear" w:color="000000" w:fill="FFFFFF"/>
            <w:noWrap/>
            <w:vAlign w:val="bottom"/>
            <w:hideMark/>
          </w:tcPr>
          <w:p w14:paraId="56BB7118" w14:textId="77777777" w:rsidR="001B5E3A" w:rsidRPr="001B5E3A" w:rsidRDefault="001B5E3A" w:rsidP="001B5E3A">
            <w:pPr>
              <w:spacing w:after="0" w:line="240" w:lineRule="auto"/>
              <w:jc w:val="right"/>
              <w:rPr>
                <w:rFonts w:asciiTheme="minorHAnsi" w:eastAsia="Times New Roman" w:hAnsiTheme="minorHAnsi" w:cs="Times New Roman"/>
                <w:color w:val="000000"/>
                <w:kern w:val="0"/>
                <w:szCs w:val="22"/>
                <w:lang w:eastAsia="en-GB"/>
                <w14:ligatures w14:val="none"/>
              </w:rPr>
            </w:pPr>
            <w:r w:rsidRPr="001B5E3A">
              <w:rPr>
                <w:rFonts w:asciiTheme="minorHAnsi" w:eastAsia="Times New Roman" w:hAnsiTheme="minorHAnsi" w:cs="Times New Roman"/>
                <w:color w:val="000000"/>
                <w:kern w:val="0"/>
                <w:szCs w:val="22"/>
                <w:lang w:eastAsia="en-GB"/>
                <w14:ligatures w14:val="none"/>
              </w:rPr>
              <w:t>61.2%</w:t>
            </w:r>
          </w:p>
        </w:tc>
      </w:tr>
      <w:tr w:rsidR="001B5E3A" w:rsidRPr="007E2527" w14:paraId="72CE8241" w14:textId="77777777" w:rsidTr="00495791">
        <w:trPr>
          <w:trHeight w:val="315"/>
        </w:trPr>
        <w:tc>
          <w:tcPr>
            <w:tcW w:w="1757" w:type="dxa"/>
            <w:tcBorders>
              <w:top w:val="dotted" w:sz="4" w:space="0" w:color="auto"/>
              <w:left w:val="single" w:sz="4" w:space="0" w:color="auto"/>
              <w:bottom w:val="double" w:sz="6" w:space="0" w:color="auto"/>
              <w:right w:val="single" w:sz="4" w:space="0" w:color="auto"/>
            </w:tcBorders>
            <w:shd w:val="clear" w:color="000000" w:fill="FFFFFF"/>
            <w:noWrap/>
            <w:vAlign w:val="bottom"/>
            <w:hideMark/>
          </w:tcPr>
          <w:p w14:paraId="2B920345" w14:textId="77777777" w:rsidR="001B5E3A" w:rsidRPr="001B5E3A" w:rsidRDefault="001B5E3A" w:rsidP="001B5E3A">
            <w:pPr>
              <w:spacing w:after="0" w:line="240" w:lineRule="auto"/>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All colleagues</w:t>
            </w:r>
          </w:p>
        </w:tc>
        <w:tc>
          <w:tcPr>
            <w:tcW w:w="960" w:type="dxa"/>
            <w:tcBorders>
              <w:top w:val="dotted" w:sz="4" w:space="0" w:color="auto"/>
              <w:left w:val="single" w:sz="4" w:space="0" w:color="auto"/>
              <w:bottom w:val="double" w:sz="6" w:space="0" w:color="auto"/>
              <w:right w:val="nil"/>
            </w:tcBorders>
            <w:shd w:val="clear" w:color="000000" w:fill="FFFFFF"/>
            <w:noWrap/>
            <w:vAlign w:val="bottom"/>
            <w:hideMark/>
          </w:tcPr>
          <w:p w14:paraId="1B9435C6"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828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1FDFC041"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65DF307D"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388</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3E541210"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A45C3CF"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95</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2175A76E"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100%</w:t>
            </w:r>
          </w:p>
        </w:tc>
        <w:tc>
          <w:tcPr>
            <w:tcW w:w="960" w:type="dxa"/>
            <w:tcBorders>
              <w:top w:val="dotted" w:sz="4" w:space="0" w:color="auto"/>
              <w:left w:val="nil"/>
              <w:bottom w:val="double" w:sz="6" w:space="0" w:color="auto"/>
              <w:right w:val="nil"/>
            </w:tcBorders>
            <w:shd w:val="clear" w:color="000000" w:fill="FFFFFF"/>
            <w:noWrap/>
            <w:vAlign w:val="bottom"/>
            <w:hideMark/>
          </w:tcPr>
          <w:p w14:paraId="39A4E886"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49</w:t>
            </w:r>
          </w:p>
        </w:tc>
        <w:tc>
          <w:tcPr>
            <w:tcW w:w="960" w:type="dxa"/>
            <w:tcBorders>
              <w:top w:val="dotted" w:sz="4" w:space="0" w:color="auto"/>
              <w:left w:val="nil"/>
              <w:bottom w:val="double" w:sz="6" w:space="0" w:color="auto"/>
              <w:right w:val="single" w:sz="4" w:space="0" w:color="auto"/>
            </w:tcBorders>
            <w:shd w:val="clear" w:color="000000" w:fill="FFFFFF"/>
            <w:noWrap/>
            <w:vAlign w:val="bottom"/>
            <w:hideMark/>
          </w:tcPr>
          <w:p w14:paraId="0679340D" w14:textId="77777777" w:rsidR="001B5E3A" w:rsidRPr="001B5E3A" w:rsidRDefault="001B5E3A" w:rsidP="001B5E3A">
            <w:pPr>
              <w:spacing w:after="0" w:line="240" w:lineRule="auto"/>
              <w:jc w:val="right"/>
              <w:rPr>
                <w:rFonts w:asciiTheme="minorHAnsi" w:eastAsia="Times New Roman" w:hAnsiTheme="minorHAnsi" w:cs="Times New Roman"/>
                <w:b/>
                <w:bCs/>
                <w:color w:val="000000"/>
                <w:kern w:val="0"/>
                <w:szCs w:val="22"/>
                <w:lang w:eastAsia="en-GB"/>
                <w14:ligatures w14:val="none"/>
              </w:rPr>
            </w:pPr>
            <w:r w:rsidRPr="001B5E3A">
              <w:rPr>
                <w:rFonts w:asciiTheme="minorHAnsi" w:eastAsia="Times New Roman" w:hAnsiTheme="minorHAnsi" w:cs="Times New Roman"/>
                <w:b/>
                <w:bCs/>
                <w:color w:val="000000"/>
                <w:kern w:val="0"/>
                <w:szCs w:val="22"/>
                <w:lang w:eastAsia="en-GB"/>
                <w14:ligatures w14:val="none"/>
              </w:rPr>
              <w:t>100%</w:t>
            </w:r>
          </w:p>
        </w:tc>
      </w:tr>
    </w:tbl>
    <w:p w14:paraId="68938278" w14:textId="54F7D3FA" w:rsidR="001801EE" w:rsidRPr="007E2527" w:rsidRDefault="001801EE" w:rsidP="00DB3CD2">
      <w:pPr>
        <w:rPr>
          <w:rFonts w:asciiTheme="minorHAnsi" w:hAnsiTheme="minorHAnsi"/>
          <w:b/>
          <w:bCs/>
          <w:szCs w:val="22"/>
        </w:rPr>
      </w:pPr>
    </w:p>
    <w:sectPr w:rsidR="001801EE" w:rsidRPr="007E2527" w:rsidSect="00D30F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5D87" w14:textId="77777777" w:rsidR="00E616C4" w:rsidRDefault="00E616C4" w:rsidP="00857674">
      <w:pPr>
        <w:spacing w:after="0" w:line="240" w:lineRule="auto"/>
      </w:pPr>
      <w:r>
        <w:separator/>
      </w:r>
    </w:p>
  </w:endnote>
  <w:endnote w:type="continuationSeparator" w:id="0">
    <w:p w14:paraId="291C7B6B" w14:textId="77777777" w:rsidR="00E616C4" w:rsidRDefault="00E616C4" w:rsidP="00857674">
      <w:pPr>
        <w:spacing w:after="0" w:line="240" w:lineRule="auto"/>
      </w:pPr>
      <w:r>
        <w:continuationSeparator/>
      </w:r>
    </w:p>
  </w:endnote>
  <w:endnote w:type="continuationNotice" w:id="1">
    <w:p w14:paraId="4F163F0B" w14:textId="77777777" w:rsidR="00E616C4" w:rsidRDefault="00E61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6465916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64B6566E" w14:textId="0A386C38" w:rsidR="00831B4C" w:rsidRPr="00831B4C" w:rsidRDefault="00831B4C">
            <w:pPr>
              <w:pStyle w:val="Footer"/>
              <w:jc w:val="center"/>
              <w:rPr>
                <w:sz w:val="16"/>
                <w:szCs w:val="16"/>
              </w:rPr>
            </w:pPr>
            <w:r w:rsidRPr="00831B4C">
              <w:rPr>
                <w:sz w:val="16"/>
                <w:szCs w:val="16"/>
              </w:rPr>
              <w:t xml:space="preserve">Page </w:t>
            </w:r>
            <w:r w:rsidRPr="00831B4C">
              <w:rPr>
                <w:b/>
                <w:bCs/>
                <w:sz w:val="16"/>
                <w:szCs w:val="16"/>
              </w:rPr>
              <w:fldChar w:fldCharType="begin"/>
            </w:r>
            <w:r w:rsidRPr="00831B4C">
              <w:rPr>
                <w:b/>
                <w:bCs/>
                <w:sz w:val="16"/>
                <w:szCs w:val="16"/>
              </w:rPr>
              <w:instrText xml:space="preserve"> PAGE </w:instrText>
            </w:r>
            <w:r w:rsidRPr="00831B4C">
              <w:rPr>
                <w:b/>
                <w:bCs/>
                <w:sz w:val="16"/>
                <w:szCs w:val="16"/>
              </w:rPr>
              <w:fldChar w:fldCharType="separate"/>
            </w:r>
            <w:r w:rsidRPr="00831B4C">
              <w:rPr>
                <w:b/>
                <w:bCs/>
                <w:noProof/>
                <w:sz w:val="16"/>
                <w:szCs w:val="16"/>
              </w:rPr>
              <w:t>2</w:t>
            </w:r>
            <w:r w:rsidRPr="00831B4C">
              <w:rPr>
                <w:b/>
                <w:bCs/>
                <w:sz w:val="16"/>
                <w:szCs w:val="16"/>
              </w:rPr>
              <w:fldChar w:fldCharType="end"/>
            </w:r>
            <w:r w:rsidRPr="00831B4C">
              <w:rPr>
                <w:sz w:val="16"/>
                <w:szCs w:val="16"/>
              </w:rPr>
              <w:t xml:space="preserve"> of </w:t>
            </w:r>
            <w:r w:rsidRPr="00831B4C">
              <w:rPr>
                <w:b/>
                <w:bCs/>
                <w:sz w:val="16"/>
                <w:szCs w:val="16"/>
              </w:rPr>
              <w:fldChar w:fldCharType="begin"/>
            </w:r>
            <w:r w:rsidRPr="00831B4C">
              <w:rPr>
                <w:b/>
                <w:bCs/>
                <w:sz w:val="16"/>
                <w:szCs w:val="16"/>
              </w:rPr>
              <w:instrText xml:space="preserve"> NUMPAGES  </w:instrText>
            </w:r>
            <w:r w:rsidRPr="00831B4C">
              <w:rPr>
                <w:b/>
                <w:bCs/>
                <w:sz w:val="16"/>
                <w:szCs w:val="16"/>
              </w:rPr>
              <w:fldChar w:fldCharType="separate"/>
            </w:r>
            <w:r w:rsidRPr="00831B4C">
              <w:rPr>
                <w:b/>
                <w:bCs/>
                <w:noProof/>
                <w:sz w:val="16"/>
                <w:szCs w:val="16"/>
              </w:rPr>
              <w:t>2</w:t>
            </w:r>
            <w:r w:rsidRPr="00831B4C">
              <w:rPr>
                <w:b/>
                <w:bCs/>
                <w:sz w:val="16"/>
                <w:szCs w:val="16"/>
              </w:rPr>
              <w:fldChar w:fldCharType="end"/>
            </w:r>
          </w:p>
        </w:sdtContent>
      </w:sdt>
    </w:sdtContent>
  </w:sdt>
  <w:p w14:paraId="539E69AD" w14:textId="2A5EA571" w:rsidR="002D3717" w:rsidRDefault="002D3717" w:rsidP="002D371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E1F4" w14:textId="77777777" w:rsidR="00E616C4" w:rsidRDefault="00E616C4" w:rsidP="00857674">
      <w:pPr>
        <w:spacing w:after="0" w:line="240" w:lineRule="auto"/>
      </w:pPr>
      <w:r>
        <w:separator/>
      </w:r>
    </w:p>
  </w:footnote>
  <w:footnote w:type="continuationSeparator" w:id="0">
    <w:p w14:paraId="3705E791" w14:textId="77777777" w:rsidR="00E616C4" w:rsidRDefault="00E616C4" w:rsidP="00857674">
      <w:pPr>
        <w:spacing w:after="0" w:line="240" w:lineRule="auto"/>
      </w:pPr>
      <w:r>
        <w:continuationSeparator/>
      </w:r>
    </w:p>
  </w:footnote>
  <w:footnote w:type="continuationNotice" w:id="1">
    <w:p w14:paraId="7E6BB86D" w14:textId="77777777" w:rsidR="00E616C4" w:rsidRDefault="00E616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1AE3" w14:textId="77DDCC40" w:rsidR="002D3717" w:rsidRDefault="002D3717" w:rsidP="00D64667">
    <w:pPr>
      <w:pStyle w:val="Header"/>
      <w:ind w:left="-426"/>
      <w:rPr>
        <w:sz w:val="16"/>
        <w:szCs w:val="16"/>
      </w:rPr>
    </w:pPr>
    <w:r w:rsidRPr="00831B4C">
      <w:rPr>
        <w:sz w:val="16"/>
        <w:szCs w:val="16"/>
      </w:rPr>
      <w:t>Newcastle University</w:t>
    </w:r>
    <w:r w:rsidR="0050195F">
      <w:rPr>
        <w:sz w:val="16"/>
        <w:szCs w:val="16"/>
      </w:rPr>
      <w:t xml:space="preserve"> Annual</w:t>
    </w:r>
    <w:r w:rsidRPr="00831B4C">
      <w:rPr>
        <w:sz w:val="16"/>
        <w:szCs w:val="16"/>
      </w:rPr>
      <w:t xml:space="preserve"> Equality, Diversity &amp; Inclusion</w:t>
    </w:r>
    <w:r w:rsidR="0050195F">
      <w:rPr>
        <w:sz w:val="16"/>
        <w:szCs w:val="16"/>
      </w:rPr>
      <w:t xml:space="preserve"> and Gender Pay Gap</w:t>
    </w:r>
    <w:r w:rsidRPr="00831B4C">
      <w:rPr>
        <w:sz w:val="16"/>
        <w:szCs w:val="16"/>
      </w:rPr>
      <w:t xml:space="preserve"> Report 2025</w:t>
    </w:r>
  </w:p>
  <w:p w14:paraId="0DCB5025" w14:textId="77777777" w:rsidR="00D64667" w:rsidRPr="00831B4C" w:rsidRDefault="00D64667" w:rsidP="00D6466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155"/>
    <w:multiLevelType w:val="hybridMultilevel"/>
    <w:tmpl w:val="4C34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27389"/>
    <w:multiLevelType w:val="multilevel"/>
    <w:tmpl w:val="2C4813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8A789A"/>
    <w:multiLevelType w:val="multilevel"/>
    <w:tmpl w:val="B262E7F6"/>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56765A"/>
    <w:multiLevelType w:val="hybridMultilevel"/>
    <w:tmpl w:val="40FA0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AC1540"/>
    <w:multiLevelType w:val="hybridMultilevel"/>
    <w:tmpl w:val="DA4E7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D2883"/>
    <w:multiLevelType w:val="hybridMultilevel"/>
    <w:tmpl w:val="CDC22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190AA2"/>
    <w:multiLevelType w:val="hybridMultilevel"/>
    <w:tmpl w:val="52724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670356"/>
    <w:multiLevelType w:val="multilevel"/>
    <w:tmpl w:val="63BA7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D9758EC"/>
    <w:multiLevelType w:val="hybridMultilevel"/>
    <w:tmpl w:val="1DEE7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42445"/>
    <w:multiLevelType w:val="hybridMultilevel"/>
    <w:tmpl w:val="347827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073D5B"/>
    <w:multiLevelType w:val="hybridMultilevel"/>
    <w:tmpl w:val="2762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812BD"/>
    <w:multiLevelType w:val="hybridMultilevel"/>
    <w:tmpl w:val="C55AAA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2843198">
    <w:abstractNumId w:val="3"/>
  </w:num>
  <w:num w:numId="2" w16cid:durableId="905460250">
    <w:abstractNumId w:val="5"/>
  </w:num>
  <w:num w:numId="3" w16cid:durableId="772088135">
    <w:abstractNumId w:val="11"/>
  </w:num>
  <w:num w:numId="4" w16cid:durableId="883836720">
    <w:abstractNumId w:val="6"/>
  </w:num>
  <w:num w:numId="5" w16cid:durableId="2005088107">
    <w:abstractNumId w:val="9"/>
  </w:num>
  <w:num w:numId="6" w16cid:durableId="1720201784">
    <w:abstractNumId w:val="10"/>
  </w:num>
  <w:num w:numId="7" w16cid:durableId="1643388681">
    <w:abstractNumId w:val="8"/>
  </w:num>
  <w:num w:numId="8" w16cid:durableId="15930789">
    <w:abstractNumId w:val="0"/>
  </w:num>
  <w:num w:numId="9" w16cid:durableId="563444108">
    <w:abstractNumId w:val="4"/>
  </w:num>
  <w:num w:numId="10" w16cid:durableId="724723192">
    <w:abstractNumId w:val="1"/>
  </w:num>
  <w:num w:numId="11" w16cid:durableId="713191358">
    <w:abstractNumId w:val="2"/>
  </w:num>
  <w:num w:numId="12" w16cid:durableId="1264151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displayBackgroundShap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17"/>
    <w:rsid w:val="00003605"/>
    <w:rsid w:val="00006DD8"/>
    <w:rsid w:val="0001009E"/>
    <w:rsid w:val="00010EEE"/>
    <w:rsid w:val="00011DA7"/>
    <w:rsid w:val="000125C4"/>
    <w:rsid w:val="00012708"/>
    <w:rsid w:val="000147AB"/>
    <w:rsid w:val="00014F71"/>
    <w:rsid w:val="00014F83"/>
    <w:rsid w:val="000201C6"/>
    <w:rsid w:val="0002050A"/>
    <w:rsid w:val="000206A3"/>
    <w:rsid w:val="000218F6"/>
    <w:rsid w:val="000225D4"/>
    <w:rsid w:val="00022F68"/>
    <w:rsid w:val="00023DC0"/>
    <w:rsid w:val="00024155"/>
    <w:rsid w:val="000248E4"/>
    <w:rsid w:val="00025711"/>
    <w:rsid w:val="000257C2"/>
    <w:rsid w:val="000261C8"/>
    <w:rsid w:val="000262F8"/>
    <w:rsid w:val="00026851"/>
    <w:rsid w:val="000279A6"/>
    <w:rsid w:val="00027A95"/>
    <w:rsid w:val="000331E8"/>
    <w:rsid w:val="0003449A"/>
    <w:rsid w:val="0003477B"/>
    <w:rsid w:val="00034E9A"/>
    <w:rsid w:val="00035A63"/>
    <w:rsid w:val="00035F07"/>
    <w:rsid w:val="0003722C"/>
    <w:rsid w:val="00037CAE"/>
    <w:rsid w:val="000442CD"/>
    <w:rsid w:val="00045C6B"/>
    <w:rsid w:val="0004622A"/>
    <w:rsid w:val="00046B22"/>
    <w:rsid w:val="00046C33"/>
    <w:rsid w:val="00046F73"/>
    <w:rsid w:val="000471E7"/>
    <w:rsid w:val="00047D50"/>
    <w:rsid w:val="00051163"/>
    <w:rsid w:val="00051BD4"/>
    <w:rsid w:val="0005245C"/>
    <w:rsid w:val="000536FE"/>
    <w:rsid w:val="0005495F"/>
    <w:rsid w:val="00054A29"/>
    <w:rsid w:val="00054F71"/>
    <w:rsid w:val="00054F9C"/>
    <w:rsid w:val="000551BE"/>
    <w:rsid w:val="00055C1F"/>
    <w:rsid w:val="000568AF"/>
    <w:rsid w:val="00057EE7"/>
    <w:rsid w:val="00060AA1"/>
    <w:rsid w:val="00061068"/>
    <w:rsid w:val="0006342C"/>
    <w:rsid w:val="00064764"/>
    <w:rsid w:val="000649BD"/>
    <w:rsid w:val="000655C6"/>
    <w:rsid w:val="000709F9"/>
    <w:rsid w:val="00070AA9"/>
    <w:rsid w:val="00070D8B"/>
    <w:rsid w:val="00071176"/>
    <w:rsid w:val="00071D10"/>
    <w:rsid w:val="0007214A"/>
    <w:rsid w:val="0007295E"/>
    <w:rsid w:val="00072C78"/>
    <w:rsid w:val="0007384B"/>
    <w:rsid w:val="00073AAF"/>
    <w:rsid w:val="000742C2"/>
    <w:rsid w:val="000757AC"/>
    <w:rsid w:val="00075E64"/>
    <w:rsid w:val="0008008B"/>
    <w:rsid w:val="00080EB5"/>
    <w:rsid w:val="00081133"/>
    <w:rsid w:val="000816C7"/>
    <w:rsid w:val="000817AA"/>
    <w:rsid w:val="00082E79"/>
    <w:rsid w:val="00082F48"/>
    <w:rsid w:val="00083823"/>
    <w:rsid w:val="00085EA4"/>
    <w:rsid w:val="00086429"/>
    <w:rsid w:val="00087F88"/>
    <w:rsid w:val="000937CC"/>
    <w:rsid w:val="00094C9B"/>
    <w:rsid w:val="00095B4A"/>
    <w:rsid w:val="0009649C"/>
    <w:rsid w:val="000977F6"/>
    <w:rsid w:val="000A2552"/>
    <w:rsid w:val="000A33C4"/>
    <w:rsid w:val="000A3717"/>
    <w:rsid w:val="000A647A"/>
    <w:rsid w:val="000A66D2"/>
    <w:rsid w:val="000A6CBB"/>
    <w:rsid w:val="000B17AC"/>
    <w:rsid w:val="000B17B1"/>
    <w:rsid w:val="000B64FA"/>
    <w:rsid w:val="000B7EAB"/>
    <w:rsid w:val="000C1388"/>
    <w:rsid w:val="000C2EEB"/>
    <w:rsid w:val="000C30D5"/>
    <w:rsid w:val="000C311A"/>
    <w:rsid w:val="000C319A"/>
    <w:rsid w:val="000C331A"/>
    <w:rsid w:val="000C42D9"/>
    <w:rsid w:val="000C4DCE"/>
    <w:rsid w:val="000C634B"/>
    <w:rsid w:val="000C68C1"/>
    <w:rsid w:val="000D0363"/>
    <w:rsid w:val="000D1098"/>
    <w:rsid w:val="000D1BD7"/>
    <w:rsid w:val="000D3F57"/>
    <w:rsid w:val="000D46BA"/>
    <w:rsid w:val="000D4CF5"/>
    <w:rsid w:val="000D5822"/>
    <w:rsid w:val="000D5E14"/>
    <w:rsid w:val="000D7F52"/>
    <w:rsid w:val="000E1A7C"/>
    <w:rsid w:val="000E298F"/>
    <w:rsid w:val="000E32EF"/>
    <w:rsid w:val="000E470F"/>
    <w:rsid w:val="000E51E0"/>
    <w:rsid w:val="000E5365"/>
    <w:rsid w:val="000E574F"/>
    <w:rsid w:val="000E5BC8"/>
    <w:rsid w:val="000E5DA0"/>
    <w:rsid w:val="000E6442"/>
    <w:rsid w:val="000E7295"/>
    <w:rsid w:val="000F006F"/>
    <w:rsid w:val="000F0550"/>
    <w:rsid w:val="000F204F"/>
    <w:rsid w:val="000F2786"/>
    <w:rsid w:val="000F2AA0"/>
    <w:rsid w:val="000F316E"/>
    <w:rsid w:val="000F31E2"/>
    <w:rsid w:val="000F5084"/>
    <w:rsid w:val="000F5771"/>
    <w:rsid w:val="000F638A"/>
    <w:rsid w:val="000F76F0"/>
    <w:rsid w:val="000F796B"/>
    <w:rsid w:val="000F7BB4"/>
    <w:rsid w:val="001001D9"/>
    <w:rsid w:val="00100E0B"/>
    <w:rsid w:val="00101335"/>
    <w:rsid w:val="0010137B"/>
    <w:rsid w:val="001019D0"/>
    <w:rsid w:val="001034E5"/>
    <w:rsid w:val="00103C44"/>
    <w:rsid w:val="0010426E"/>
    <w:rsid w:val="0010524F"/>
    <w:rsid w:val="00105311"/>
    <w:rsid w:val="00105C15"/>
    <w:rsid w:val="00107512"/>
    <w:rsid w:val="001075C1"/>
    <w:rsid w:val="001077B7"/>
    <w:rsid w:val="00110EED"/>
    <w:rsid w:val="00111119"/>
    <w:rsid w:val="00111780"/>
    <w:rsid w:val="00111CE0"/>
    <w:rsid w:val="00112760"/>
    <w:rsid w:val="0011501E"/>
    <w:rsid w:val="00115CBF"/>
    <w:rsid w:val="00116CBA"/>
    <w:rsid w:val="001172E5"/>
    <w:rsid w:val="00117B74"/>
    <w:rsid w:val="00123220"/>
    <w:rsid w:val="00123572"/>
    <w:rsid w:val="00123624"/>
    <w:rsid w:val="00127174"/>
    <w:rsid w:val="0013053A"/>
    <w:rsid w:val="00130AE2"/>
    <w:rsid w:val="001318C5"/>
    <w:rsid w:val="00131F9B"/>
    <w:rsid w:val="00133710"/>
    <w:rsid w:val="00134DBA"/>
    <w:rsid w:val="00134E52"/>
    <w:rsid w:val="00135359"/>
    <w:rsid w:val="0013584E"/>
    <w:rsid w:val="00136754"/>
    <w:rsid w:val="00136EF2"/>
    <w:rsid w:val="0013739A"/>
    <w:rsid w:val="001401EF"/>
    <w:rsid w:val="00140928"/>
    <w:rsid w:val="001417E8"/>
    <w:rsid w:val="00141E88"/>
    <w:rsid w:val="00142954"/>
    <w:rsid w:val="00143025"/>
    <w:rsid w:val="00144871"/>
    <w:rsid w:val="00144B7C"/>
    <w:rsid w:val="00146191"/>
    <w:rsid w:val="00147E21"/>
    <w:rsid w:val="001508E6"/>
    <w:rsid w:val="001519A5"/>
    <w:rsid w:val="00151E1D"/>
    <w:rsid w:val="00152E2B"/>
    <w:rsid w:val="00154A3A"/>
    <w:rsid w:val="00154C01"/>
    <w:rsid w:val="00156F19"/>
    <w:rsid w:val="0016024E"/>
    <w:rsid w:val="001607A0"/>
    <w:rsid w:val="00161152"/>
    <w:rsid w:val="00162176"/>
    <w:rsid w:val="00162894"/>
    <w:rsid w:val="00163EF0"/>
    <w:rsid w:val="00163F80"/>
    <w:rsid w:val="00166480"/>
    <w:rsid w:val="00166C36"/>
    <w:rsid w:val="00166C6D"/>
    <w:rsid w:val="00167576"/>
    <w:rsid w:val="00167F92"/>
    <w:rsid w:val="0017029E"/>
    <w:rsid w:val="001708AF"/>
    <w:rsid w:val="00170AAE"/>
    <w:rsid w:val="001721C1"/>
    <w:rsid w:val="00173AB5"/>
    <w:rsid w:val="001743A4"/>
    <w:rsid w:val="001743DC"/>
    <w:rsid w:val="001765A8"/>
    <w:rsid w:val="00177573"/>
    <w:rsid w:val="001801EE"/>
    <w:rsid w:val="00180B2F"/>
    <w:rsid w:val="00180CB5"/>
    <w:rsid w:val="00180D9E"/>
    <w:rsid w:val="001824BD"/>
    <w:rsid w:val="00184787"/>
    <w:rsid w:val="00187691"/>
    <w:rsid w:val="00187734"/>
    <w:rsid w:val="00190479"/>
    <w:rsid w:val="00190D38"/>
    <w:rsid w:val="00193071"/>
    <w:rsid w:val="00194203"/>
    <w:rsid w:val="00194958"/>
    <w:rsid w:val="00194F24"/>
    <w:rsid w:val="0019522E"/>
    <w:rsid w:val="001953DF"/>
    <w:rsid w:val="001957AB"/>
    <w:rsid w:val="001958D2"/>
    <w:rsid w:val="00197B58"/>
    <w:rsid w:val="001A03B2"/>
    <w:rsid w:val="001A1B1B"/>
    <w:rsid w:val="001A232F"/>
    <w:rsid w:val="001A2CE6"/>
    <w:rsid w:val="001A3DD0"/>
    <w:rsid w:val="001A4C00"/>
    <w:rsid w:val="001A4E88"/>
    <w:rsid w:val="001A50D3"/>
    <w:rsid w:val="001A57BF"/>
    <w:rsid w:val="001A59B2"/>
    <w:rsid w:val="001A6503"/>
    <w:rsid w:val="001B2011"/>
    <w:rsid w:val="001B2111"/>
    <w:rsid w:val="001B4B22"/>
    <w:rsid w:val="001B5E3A"/>
    <w:rsid w:val="001B7E0C"/>
    <w:rsid w:val="001C118A"/>
    <w:rsid w:val="001C19A2"/>
    <w:rsid w:val="001C1D42"/>
    <w:rsid w:val="001C224A"/>
    <w:rsid w:val="001C2444"/>
    <w:rsid w:val="001C2EAC"/>
    <w:rsid w:val="001C391B"/>
    <w:rsid w:val="001C437D"/>
    <w:rsid w:val="001C6BFA"/>
    <w:rsid w:val="001C6DED"/>
    <w:rsid w:val="001D0D07"/>
    <w:rsid w:val="001D1496"/>
    <w:rsid w:val="001D158A"/>
    <w:rsid w:val="001D1E7D"/>
    <w:rsid w:val="001D253A"/>
    <w:rsid w:val="001D28C8"/>
    <w:rsid w:val="001D44FE"/>
    <w:rsid w:val="001D4560"/>
    <w:rsid w:val="001D5A53"/>
    <w:rsid w:val="001D6A37"/>
    <w:rsid w:val="001D77C0"/>
    <w:rsid w:val="001D7D21"/>
    <w:rsid w:val="001E0AE1"/>
    <w:rsid w:val="001E14AC"/>
    <w:rsid w:val="001E228D"/>
    <w:rsid w:val="001E2861"/>
    <w:rsid w:val="001E4590"/>
    <w:rsid w:val="001E4BF9"/>
    <w:rsid w:val="001E4C13"/>
    <w:rsid w:val="001E4D59"/>
    <w:rsid w:val="001E5A4A"/>
    <w:rsid w:val="001E5CAC"/>
    <w:rsid w:val="001E7195"/>
    <w:rsid w:val="001E7559"/>
    <w:rsid w:val="001E7BC6"/>
    <w:rsid w:val="001F076B"/>
    <w:rsid w:val="001F0E41"/>
    <w:rsid w:val="001F1251"/>
    <w:rsid w:val="001F18E5"/>
    <w:rsid w:val="001F1A1F"/>
    <w:rsid w:val="001F1F60"/>
    <w:rsid w:val="001F2C5F"/>
    <w:rsid w:val="001F4D83"/>
    <w:rsid w:val="001F4E27"/>
    <w:rsid w:val="001F53E9"/>
    <w:rsid w:val="001F5FCA"/>
    <w:rsid w:val="001F6290"/>
    <w:rsid w:val="001F6FF0"/>
    <w:rsid w:val="001F7A38"/>
    <w:rsid w:val="002061AC"/>
    <w:rsid w:val="00206300"/>
    <w:rsid w:val="00206B43"/>
    <w:rsid w:val="002073AF"/>
    <w:rsid w:val="00211331"/>
    <w:rsid w:val="002117AA"/>
    <w:rsid w:val="0021374D"/>
    <w:rsid w:val="00214173"/>
    <w:rsid w:val="0021446D"/>
    <w:rsid w:val="0021480A"/>
    <w:rsid w:val="00214E6C"/>
    <w:rsid w:val="00216CED"/>
    <w:rsid w:val="0021764A"/>
    <w:rsid w:val="00222AAA"/>
    <w:rsid w:val="00222D6A"/>
    <w:rsid w:val="0022379F"/>
    <w:rsid w:val="00224A1C"/>
    <w:rsid w:val="00224C0D"/>
    <w:rsid w:val="002263B7"/>
    <w:rsid w:val="00226894"/>
    <w:rsid w:val="0022695A"/>
    <w:rsid w:val="00227D0A"/>
    <w:rsid w:val="002307AB"/>
    <w:rsid w:val="00230845"/>
    <w:rsid w:val="002328CC"/>
    <w:rsid w:val="0023569A"/>
    <w:rsid w:val="00235DB9"/>
    <w:rsid w:val="00235F81"/>
    <w:rsid w:val="00236585"/>
    <w:rsid w:val="002372A6"/>
    <w:rsid w:val="00237666"/>
    <w:rsid w:val="00240B27"/>
    <w:rsid w:val="00240E44"/>
    <w:rsid w:val="00241BC4"/>
    <w:rsid w:val="00243CD7"/>
    <w:rsid w:val="0024490A"/>
    <w:rsid w:val="00245209"/>
    <w:rsid w:val="00250FBD"/>
    <w:rsid w:val="00251090"/>
    <w:rsid w:val="0025230D"/>
    <w:rsid w:val="00253065"/>
    <w:rsid w:val="00253B38"/>
    <w:rsid w:val="0025436A"/>
    <w:rsid w:val="002547CB"/>
    <w:rsid w:val="00255BDE"/>
    <w:rsid w:val="00256165"/>
    <w:rsid w:val="00256651"/>
    <w:rsid w:val="00256DED"/>
    <w:rsid w:val="002571AD"/>
    <w:rsid w:val="00257603"/>
    <w:rsid w:val="00260913"/>
    <w:rsid w:val="00262910"/>
    <w:rsid w:val="002633A3"/>
    <w:rsid w:val="00263805"/>
    <w:rsid w:val="0026440A"/>
    <w:rsid w:val="00267563"/>
    <w:rsid w:val="00267A26"/>
    <w:rsid w:val="00271292"/>
    <w:rsid w:val="0027142D"/>
    <w:rsid w:val="002727A9"/>
    <w:rsid w:val="002731C9"/>
    <w:rsid w:val="002749DE"/>
    <w:rsid w:val="00274BE5"/>
    <w:rsid w:val="002751E3"/>
    <w:rsid w:val="0027681C"/>
    <w:rsid w:val="00276EF9"/>
    <w:rsid w:val="00277305"/>
    <w:rsid w:val="00277C16"/>
    <w:rsid w:val="00280FFE"/>
    <w:rsid w:val="002812E7"/>
    <w:rsid w:val="00281791"/>
    <w:rsid w:val="0028253A"/>
    <w:rsid w:val="00282EF5"/>
    <w:rsid w:val="0028480E"/>
    <w:rsid w:val="00284EE6"/>
    <w:rsid w:val="00292687"/>
    <w:rsid w:val="00293F03"/>
    <w:rsid w:val="00294D90"/>
    <w:rsid w:val="00294E42"/>
    <w:rsid w:val="00294ED5"/>
    <w:rsid w:val="00295F1C"/>
    <w:rsid w:val="00296A85"/>
    <w:rsid w:val="00297383"/>
    <w:rsid w:val="002A02AD"/>
    <w:rsid w:val="002A20DD"/>
    <w:rsid w:val="002A3C8D"/>
    <w:rsid w:val="002A4D7F"/>
    <w:rsid w:val="002A6B1E"/>
    <w:rsid w:val="002A7699"/>
    <w:rsid w:val="002A7B4F"/>
    <w:rsid w:val="002B1291"/>
    <w:rsid w:val="002B1872"/>
    <w:rsid w:val="002B19F1"/>
    <w:rsid w:val="002B22E4"/>
    <w:rsid w:val="002B3425"/>
    <w:rsid w:val="002B43CA"/>
    <w:rsid w:val="002B49D5"/>
    <w:rsid w:val="002B4D8A"/>
    <w:rsid w:val="002B5A2B"/>
    <w:rsid w:val="002B61BB"/>
    <w:rsid w:val="002B6F8B"/>
    <w:rsid w:val="002B7166"/>
    <w:rsid w:val="002B744F"/>
    <w:rsid w:val="002C0FE9"/>
    <w:rsid w:val="002C2821"/>
    <w:rsid w:val="002C2F15"/>
    <w:rsid w:val="002C353B"/>
    <w:rsid w:val="002C4088"/>
    <w:rsid w:val="002C4655"/>
    <w:rsid w:val="002C54E2"/>
    <w:rsid w:val="002C57A3"/>
    <w:rsid w:val="002C70FB"/>
    <w:rsid w:val="002C72C6"/>
    <w:rsid w:val="002C7A99"/>
    <w:rsid w:val="002C7BD2"/>
    <w:rsid w:val="002C7EFF"/>
    <w:rsid w:val="002D0015"/>
    <w:rsid w:val="002D037D"/>
    <w:rsid w:val="002D0549"/>
    <w:rsid w:val="002D10FD"/>
    <w:rsid w:val="002D1114"/>
    <w:rsid w:val="002D132A"/>
    <w:rsid w:val="002D1824"/>
    <w:rsid w:val="002D1F12"/>
    <w:rsid w:val="002D259E"/>
    <w:rsid w:val="002D2DBB"/>
    <w:rsid w:val="002D32EE"/>
    <w:rsid w:val="002D35F2"/>
    <w:rsid w:val="002D3717"/>
    <w:rsid w:val="002D4A7F"/>
    <w:rsid w:val="002D5415"/>
    <w:rsid w:val="002D5D4D"/>
    <w:rsid w:val="002D7278"/>
    <w:rsid w:val="002E172C"/>
    <w:rsid w:val="002E39DC"/>
    <w:rsid w:val="002E3ED1"/>
    <w:rsid w:val="002E4B53"/>
    <w:rsid w:val="002E58E5"/>
    <w:rsid w:val="002E61C4"/>
    <w:rsid w:val="002E7043"/>
    <w:rsid w:val="002E78E3"/>
    <w:rsid w:val="002F1E50"/>
    <w:rsid w:val="002F2FB5"/>
    <w:rsid w:val="002F4B1F"/>
    <w:rsid w:val="002F6C38"/>
    <w:rsid w:val="002F6D90"/>
    <w:rsid w:val="0030073B"/>
    <w:rsid w:val="0030126D"/>
    <w:rsid w:val="003019AE"/>
    <w:rsid w:val="0030313A"/>
    <w:rsid w:val="003034BA"/>
    <w:rsid w:val="00304696"/>
    <w:rsid w:val="00304CA5"/>
    <w:rsid w:val="00304DAF"/>
    <w:rsid w:val="00305DE4"/>
    <w:rsid w:val="00306C14"/>
    <w:rsid w:val="003077D7"/>
    <w:rsid w:val="0031046F"/>
    <w:rsid w:val="003104A7"/>
    <w:rsid w:val="00310859"/>
    <w:rsid w:val="00310BC2"/>
    <w:rsid w:val="00311441"/>
    <w:rsid w:val="00311F00"/>
    <w:rsid w:val="00312B12"/>
    <w:rsid w:val="00312B33"/>
    <w:rsid w:val="003135F1"/>
    <w:rsid w:val="00316037"/>
    <w:rsid w:val="003166B2"/>
    <w:rsid w:val="003178D3"/>
    <w:rsid w:val="00320CBA"/>
    <w:rsid w:val="00321236"/>
    <w:rsid w:val="003223FD"/>
    <w:rsid w:val="00322D7E"/>
    <w:rsid w:val="00323EB2"/>
    <w:rsid w:val="00325FCC"/>
    <w:rsid w:val="003274D1"/>
    <w:rsid w:val="00331DD2"/>
    <w:rsid w:val="0033259D"/>
    <w:rsid w:val="00332F34"/>
    <w:rsid w:val="00332F81"/>
    <w:rsid w:val="003332E2"/>
    <w:rsid w:val="00333D83"/>
    <w:rsid w:val="00334A0C"/>
    <w:rsid w:val="0033517A"/>
    <w:rsid w:val="00336E6F"/>
    <w:rsid w:val="003375F1"/>
    <w:rsid w:val="003376A8"/>
    <w:rsid w:val="00337A85"/>
    <w:rsid w:val="0034044A"/>
    <w:rsid w:val="003406D9"/>
    <w:rsid w:val="003420A9"/>
    <w:rsid w:val="00342D6B"/>
    <w:rsid w:val="00343A73"/>
    <w:rsid w:val="00345348"/>
    <w:rsid w:val="003461BC"/>
    <w:rsid w:val="003463A9"/>
    <w:rsid w:val="00346D20"/>
    <w:rsid w:val="003502E2"/>
    <w:rsid w:val="00351091"/>
    <w:rsid w:val="0035183E"/>
    <w:rsid w:val="00351D9F"/>
    <w:rsid w:val="00354987"/>
    <w:rsid w:val="00355777"/>
    <w:rsid w:val="00355793"/>
    <w:rsid w:val="00355A21"/>
    <w:rsid w:val="00355C2C"/>
    <w:rsid w:val="00360564"/>
    <w:rsid w:val="003610B7"/>
    <w:rsid w:val="003611D7"/>
    <w:rsid w:val="0036290C"/>
    <w:rsid w:val="00364BD5"/>
    <w:rsid w:val="00364E46"/>
    <w:rsid w:val="00365029"/>
    <w:rsid w:val="003659D9"/>
    <w:rsid w:val="00365A3C"/>
    <w:rsid w:val="00365C62"/>
    <w:rsid w:val="00365E0B"/>
    <w:rsid w:val="00367912"/>
    <w:rsid w:val="00370317"/>
    <w:rsid w:val="00372AD1"/>
    <w:rsid w:val="00375500"/>
    <w:rsid w:val="00376753"/>
    <w:rsid w:val="00377CA7"/>
    <w:rsid w:val="00380652"/>
    <w:rsid w:val="00380B4C"/>
    <w:rsid w:val="003815E4"/>
    <w:rsid w:val="00381CD1"/>
    <w:rsid w:val="00383687"/>
    <w:rsid w:val="00383A03"/>
    <w:rsid w:val="003846D1"/>
    <w:rsid w:val="00391CA4"/>
    <w:rsid w:val="003920DB"/>
    <w:rsid w:val="00392ADA"/>
    <w:rsid w:val="00392EEE"/>
    <w:rsid w:val="003931E4"/>
    <w:rsid w:val="00393B92"/>
    <w:rsid w:val="00393C04"/>
    <w:rsid w:val="00394406"/>
    <w:rsid w:val="003965B0"/>
    <w:rsid w:val="00397777"/>
    <w:rsid w:val="003978A7"/>
    <w:rsid w:val="003979CD"/>
    <w:rsid w:val="003A171D"/>
    <w:rsid w:val="003A2A28"/>
    <w:rsid w:val="003A3385"/>
    <w:rsid w:val="003A4299"/>
    <w:rsid w:val="003A4B0E"/>
    <w:rsid w:val="003A4BB9"/>
    <w:rsid w:val="003A5011"/>
    <w:rsid w:val="003A5C52"/>
    <w:rsid w:val="003A6FCD"/>
    <w:rsid w:val="003A72B5"/>
    <w:rsid w:val="003B21B2"/>
    <w:rsid w:val="003B393F"/>
    <w:rsid w:val="003B3CA4"/>
    <w:rsid w:val="003B485A"/>
    <w:rsid w:val="003B4DE6"/>
    <w:rsid w:val="003B5B53"/>
    <w:rsid w:val="003B5D4B"/>
    <w:rsid w:val="003B6329"/>
    <w:rsid w:val="003B7117"/>
    <w:rsid w:val="003C2548"/>
    <w:rsid w:val="003C43CD"/>
    <w:rsid w:val="003C7C67"/>
    <w:rsid w:val="003C7C75"/>
    <w:rsid w:val="003D0745"/>
    <w:rsid w:val="003D1868"/>
    <w:rsid w:val="003D58C2"/>
    <w:rsid w:val="003D5BBB"/>
    <w:rsid w:val="003D5FE5"/>
    <w:rsid w:val="003D75FB"/>
    <w:rsid w:val="003E1C91"/>
    <w:rsid w:val="003E1EF2"/>
    <w:rsid w:val="003E2145"/>
    <w:rsid w:val="003E2D98"/>
    <w:rsid w:val="003E2EAD"/>
    <w:rsid w:val="003E3104"/>
    <w:rsid w:val="003E33EC"/>
    <w:rsid w:val="003E49F8"/>
    <w:rsid w:val="003E4A35"/>
    <w:rsid w:val="003F007F"/>
    <w:rsid w:val="003F4389"/>
    <w:rsid w:val="003F6019"/>
    <w:rsid w:val="003F72C8"/>
    <w:rsid w:val="003F7FBD"/>
    <w:rsid w:val="0040031F"/>
    <w:rsid w:val="004007AA"/>
    <w:rsid w:val="004021CE"/>
    <w:rsid w:val="0040247E"/>
    <w:rsid w:val="004029FD"/>
    <w:rsid w:val="00404258"/>
    <w:rsid w:val="00404A75"/>
    <w:rsid w:val="00404E6F"/>
    <w:rsid w:val="004054F4"/>
    <w:rsid w:val="00405AA8"/>
    <w:rsid w:val="00407E35"/>
    <w:rsid w:val="00410F44"/>
    <w:rsid w:val="0041209E"/>
    <w:rsid w:val="004137EB"/>
    <w:rsid w:val="00413CFC"/>
    <w:rsid w:val="00414AF1"/>
    <w:rsid w:val="00416188"/>
    <w:rsid w:val="00416DCA"/>
    <w:rsid w:val="00417119"/>
    <w:rsid w:val="0041745F"/>
    <w:rsid w:val="004179A7"/>
    <w:rsid w:val="00422478"/>
    <w:rsid w:val="00422488"/>
    <w:rsid w:val="00423931"/>
    <w:rsid w:val="00424E5E"/>
    <w:rsid w:val="00430141"/>
    <w:rsid w:val="0043102B"/>
    <w:rsid w:val="00434FD5"/>
    <w:rsid w:val="004350AD"/>
    <w:rsid w:val="00435122"/>
    <w:rsid w:val="00436507"/>
    <w:rsid w:val="00437158"/>
    <w:rsid w:val="0043777E"/>
    <w:rsid w:val="004419EB"/>
    <w:rsid w:val="0044368D"/>
    <w:rsid w:val="004438E5"/>
    <w:rsid w:val="004455B1"/>
    <w:rsid w:val="00445BB6"/>
    <w:rsid w:val="00446A84"/>
    <w:rsid w:val="00450828"/>
    <w:rsid w:val="00450F18"/>
    <w:rsid w:val="00451D62"/>
    <w:rsid w:val="00452414"/>
    <w:rsid w:val="004539FE"/>
    <w:rsid w:val="00455667"/>
    <w:rsid w:val="00455EC6"/>
    <w:rsid w:val="004565BA"/>
    <w:rsid w:val="00457546"/>
    <w:rsid w:val="004630B9"/>
    <w:rsid w:val="0046445C"/>
    <w:rsid w:val="0046537E"/>
    <w:rsid w:val="004663A5"/>
    <w:rsid w:val="00466B3B"/>
    <w:rsid w:val="00467771"/>
    <w:rsid w:val="004702B9"/>
    <w:rsid w:val="0047084A"/>
    <w:rsid w:val="0047096B"/>
    <w:rsid w:val="00472057"/>
    <w:rsid w:val="00473202"/>
    <w:rsid w:val="00473EF4"/>
    <w:rsid w:val="00474E77"/>
    <w:rsid w:val="00476A03"/>
    <w:rsid w:val="0048096A"/>
    <w:rsid w:val="00480D5C"/>
    <w:rsid w:val="0048132D"/>
    <w:rsid w:val="0048177F"/>
    <w:rsid w:val="00482B2A"/>
    <w:rsid w:val="004837D9"/>
    <w:rsid w:val="00484312"/>
    <w:rsid w:val="00484F8B"/>
    <w:rsid w:val="00485E98"/>
    <w:rsid w:val="004872E2"/>
    <w:rsid w:val="00490873"/>
    <w:rsid w:val="00490B23"/>
    <w:rsid w:val="00491866"/>
    <w:rsid w:val="0049278C"/>
    <w:rsid w:val="00492889"/>
    <w:rsid w:val="00493DDE"/>
    <w:rsid w:val="004946AF"/>
    <w:rsid w:val="004954C0"/>
    <w:rsid w:val="00495791"/>
    <w:rsid w:val="00496186"/>
    <w:rsid w:val="004A06BA"/>
    <w:rsid w:val="004A261D"/>
    <w:rsid w:val="004A2E04"/>
    <w:rsid w:val="004A460F"/>
    <w:rsid w:val="004B02BA"/>
    <w:rsid w:val="004B1584"/>
    <w:rsid w:val="004B2232"/>
    <w:rsid w:val="004B2C5D"/>
    <w:rsid w:val="004B3891"/>
    <w:rsid w:val="004B4EB6"/>
    <w:rsid w:val="004B682F"/>
    <w:rsid w:val="004B754C"/>
    <w:rsid w:val="004C0D0E"/>
    <w:rsid w:val="004C0D56"/>
    <w:rsid w:val="004C2047"/>
    <w:rsid w:val="004C2099"/>
    <w:rsid w:val="004C259C"/>
    <w:rsid w:val="004C33A6"/>
    <w:rsid w:val="004C5FD3"/>
    <w:rsid w:val="004C6BDE"/>
    <w:rsid w:val="004C77C4"/>
    <w:rsid w:val="004D0F98"/>
    <w:rsid w:val="004D1005"/>
    <w:rsid w:val="004D105C"/>
    <w:rsid w:val="004D20AF"/>
    <w:rsid w:val="004D2608"/>
    <w:rsid w:val="004D4EE5"/>
    <w:rsid w:val="004D5178"/>
    <w:rsid w:val="004E19DE"/>
    <w:rsid w:val="004E2B3A"/>
    <w:rsid w:val="004E4191"/>
    <w:rsid w:val="004E479D"/>
    <w:rsid w:val="004E6999"/>
    <w:rsid w:val="004F0991"/>
    <w:rsid w:val="004F09A6"/>
    <w:rsid w:val="004F0C5A"/>
    <w:rsid w:val="004F185F"/>
    <w:rsid w:val="004F227A"/>
    <w:rsid w:val="004F263A"/>
    <w:rsid w:val="004F2824"/>
    <w:rsid w:val="004F363F"/>
    <w:rsid w:val="00500753"/>
    <w:rsid w:val="0050195F"/>
    <w:rsid w:val="00501A85"/>
    <w:rsid w:val="00502B88"/>
    <w:rsid w:val="0050305B"/>
    <w:rsid w:val="00503441"/>
    <w:rsid w:val="005077BC"/>
    <w:rsid w:val="005077CD"/>
    <w:rsid w:val="00511DC5"/>
    <w:rsid w:val="0051209C"/>
    <w:rsid w:val="005132FE"/>
    <w:rsid w:val="00514C69"/>
    <w:rsid w:val="00515D80"/>
    <w:rsid w:val="00515E91"/>
    <w:rsid w:val="00516A74"/>
    <w:rsid w:val="00516B00"/>
    <w:rsid w:val="005171C8"/>
    <w:rsid w:val="00520121"/>
    <w:rsid w:val="00520469"/>
    <w:rsid w:val="0052051C"/>
    <w:rsid w:val="005205E2"/>
    <w:rsid w:val="005210DC"/>
    <w:rsid w:val="0052236C"/>
    <w:rsid w:val="0052406D"/>
    <w:rsid w:val="00525C28"/>
    <w:rsid w:val="005261E9"/>
    <w:rsid w:val="00527151"/>
    <w:rsid w:val="00527DC5"/>
    <w:rsid w:val="00527F9E"/>
    <w:rsid w:val="00527FB1"/>
    <w:rsid w:val="005300C0"/>
    <w:rsid w:val="00531896"/>
    <w:rsid w:val="005320E2"/>
    <w:rsid w:val="0053252D"/>
    <w:rsid w:val="005330C3"/>
    <w:rsid w:val="0053391E"/>
    <w:rsid w:val="00534FAF"/>
    <w:rsid w:val="005352FC"/>
    <w:rsid w:val="00535E34"/>
    <w:rsid w:val="0053707B"/>
    <w:rsid w:val="00541E6F"/>
    <w:rsid w:val="00541FBF"/>
    <w:rsid w:val="00542531"/>
    <w:rsid w:val="005425A0"/>
    <w:rsid w:val="00543908"/>
    <w:rsid w:val="00544073"/>
    <w:rsid w:val="00544229"/>
    <w:rsid w:val="00547AF8"/>
    <w:rsid w:val="00550028"/>
    <w:rsid w:val="005522D1"/>
    <w:rsid w:val="005525C4"/>
    <w:rsid w:val="0055333C"/>
    <w:rsid w:val="00553D03"/>
    <w:rsid w:val="00555DA7"/>
    <w:rsid w:val="00556E6E"/>
    <w:rsid w:val="0055797A"/>
    <w:rsid w:val="00557BF0"/>
    <w:rsid w:val="005606DF"/>
    <w:rsid w:val="00562830"/>
    <w:rsid w:val="0056452C"/>
    <w:rsid w:val="00567065"/>
    <w:rsid w:val="005673D2"/>
    <w:rsid w:val="00567834"/>
    <w:rsid w:val="00567F2D"/>
    <w:rsid w:val="0057248F"/>
    <w:rsid w:val="00572807"/>
    <w:rsid w:val="005743DF"/>
    <w:rsid w:val="00574E4C"/>
    <w:rsid w:val="00576503"/>
    <w:rsid w:val="00577015"/>
    <w:rsid w:val="00577FCC"/>
    <w:rsid w:val="0058039C"/>
    <w:rsid w:val="005822F7"/>
    <w:rsid w:val="00584353"/>
    <w:rsid w:val="00585585"/>
    <w:rsid w:val="005903B2"/>
    <w:rsid w:val="00590522"/>
    <w:rsid w:val="0059061A"/>
    <w:rsid w:val="00591179"/>
    <w:rsid w:val="00594E95"/>
    <w:rsid w:val="00595265"/>
    <w:rsid w:val="005966D6"/>
    <w:rsid w:val="00597E70"/>
    <w:rsid w:val="005A22AB"/>
    <w:rsid w:val="005A27F5"/>
    <w:rsid w:val="005A2E09"/>
    <w:rsid w:val="005A3195"/>
    <w:rsid w:val="005A4741"/>
    <w:rsid w:val="005A5A0A"/>
    <w:rsid w:val="005A60C3"/>
    <w:rsid w:val="005A7457"/>
    <w:rsid w:val="005A7B9A"/>
    <w:rsid w:val="005B4631"/>
    <w:rsid w:val="005B51AE"/>
    <w:rsid w:val="005B5223"/>
    <w:rsid w:val="005B5F82"/>
    <w:rsid w:val="005B619A"/>
    <w:rsid w:val="005B69EC"/>
    <w:rsid w:val="005C0139"/>
    <w:rsid w:val="005C08E1"/>
    <w:rsid w:val="005C49A3"/>
    <w:rsid w:val="005C4C36"/>
    <w:rsid w:val="005C5AFB"/>
    <w:rsid w:val="005C5C34"/>
    <w:rsid w:val="005C6F54"/>
    <w:rsid w:val="005C7307"/>
    <w:rsid w:val="005D0B94"/>
    <w:rsid w:val="005D31A3"/>
    <w:rsid w:val="005D3DD8"/>
    <w:rsid w:val="005D4222"/>
    <w:rsid w:val="005D6343"/>
    <w:rsid w:val="005D6B6B"/>
    <w:rsid w:val="005D7124"/>
    <w:rsid w:val="005D7A97"/>
    <w:rsid w:val="005D7F3A"/>
    <w:rsid w:val="005E0C86"/>
    <w:rsid w:val="005E0EB0"/>
    <w:rsid w:val="005E1AAF"/>
    <w:rsid w:val="005E2A33"/>
    <w:rsid w:val="005E43BE"/>
    <w:rsid w:val="005E4ECA"/>
    <w:rsid w:val="005E6C2C"/>
    <w:rsid w:val="005F1A31"/>
    <w:rsid w:val="005F1C99"/>
    <w:rsid w:val="005F1CCB"/>
    <w:rsid w:val="005F25AC"/>
    <w:rsid w:val="005F31CC"/>
    <w:rsid w:val="005F378A"/>
    <w:rsid w:val="005F56C1"/>
    <w:rsid w:val="005F6EE2"/>
    <w:rsid w:val="005F7681"/>
    <w:rsid w:val="005F7C9E"/>
    <w:rsid w:val="00602CB1"/>
    <w:rsid w:val="00604CA3"/>
    <w:rsid w:val="0060514F"/>
    <w:rsid w:val="00605EF6"/>
    <w:rsid w:val="00606520"/>
    <w:rsid w:val="00606962"/>
    <w:rsid w:val="00606B6A"/>
    <w:rsid w:val="0061220C"/>
    <w:rsid w:val="0061377F"/>
    <w:rsid w:val="0061411F"/>
    <w:rsid w:val="00615973"/>
    <w:rsid w:val="00615D14"/>
    <w:rsid w:val="0062012D"/>
    <w:rsid w:val="00620387"/>
    <w:rsid w:val="00621503"/>
    <w:rsid w:val="0062162E"/>
    <w:rsid w:val="00621D8A"/>
    <w:rsid w:val="006233CC"/>
    <w:rsid w:val="006253C5"/>
    <w:rsid w:val="00625572"/>
    <w:rsid w:val="00627054"/>
    <w:rsid w:val="00627C8B"/>
    <w:rsid w:val="00627D3B"/>
    <w:rsid w:val="00630562"/>
    <w:rsid w:val="00630A2F"/>
    <w:rsid w:val="00630FF4"/>
    <w:rsid w:val="00631302"/>
    <w:rsid w:val="006315C5"/>
    <w:rsid w:val="00631972"/>
    <w:rsid w:val="00631BF5"/>
    <w:rsid w:val="006328E1"/>
    <w:rsid w:val="00632990"/>
    <w:rsid w:val="00632E24"/>
    <w:rsid w:val="006330E9"/>
    <w:rsid w:val="00634730"/>
    <w:rsid w:val="00634F5A"/>
    <w:rsid w:val="00635AC7"/>
    <w:rsid w:val="00636FED"/>
    <w:rsid w:val="0063719F"/>
    <w:rsid w:val="00642138"/>
    <w:rsid w:val="006426B2"/>
    <w:rsid w:val="00642A36"/>
    <w:rsid w:val="0064332A"/>
    <w:rsid w:val="00643B07"/>
    <w:rsid w:val="006446D6"/>
    <w:rsid w:val="00645C29"/>
    <w:rsid w:val="00651A2E"/>
    <w:rsid w:val="006522B8"/>
    <w:rsid w:val="00652300"/>
    <w:rsid w:val="00652B2D"/>
    <w:rsid w:val="00654A2B"/>
    <w:rsid w:val="00654F54"/>
    <w:rsid w:val="00655EEE"/>
    <w:rsid w:val="00656EDD"/>
    <w:rsid w:val="006570A1"/>
    <w:rsid w:val="00657589"/>
    <w:rsid w:val="006576D9"/>
    <w:rsid w:val="00660636"/>
    <w:rsid w:val="00661779"/>
    <w:rsid w:val="0066222A"/>
    <w:rsid w:val="00662328"/>
    <w:rsid w:val="006646F4"/>
    <w:rsid w:val="00667466"/>
    <w:rsid w:val="006675CD"/>
    <w:rsid w:val="00667E31"/>
    <w:rsid w:val="00671C15"/>
    <w:rsid w:val="00671EBF"/>
    <w:rsid w:val="00672374"/>
    <w:rsid w:val="00672392"/>
    <w:rsid w:val="006728AA"/>
    <w:rsid w:val="00673621"/>
    <w:rsid w:val="0067473F"/>
    <w:rsid w:val="00674991"/>
    <w:rsid w:val="00674A8E"/>
    <w:rsid w:val="00674F45"/>
    <w:rsid w:val="0067504D"/>
    <w:rsid w:val="006760D2"/>
    <w:rsid w:val="00677055"/>
    <w:rsid w:val="00680751"/>
    <w:rsid w:val="006818B6"/>
    <w:rsid w:val="00681D87"/>
    <w:rsid w:val="006828B3"/>
    <w:rsid w:val="006828D2"/>
    <w:rsid w:val="00682BAE"/>
    <w:rsid w:val="006832CF"/>
    <w:rsid w:val="00683C30"/>
    <w:rsid w:val="006858BA"/>
    <w:rsid w:val="006867D3"/>
    <w:rsid w:val="00686CBC"/>
    <w:rsid w:val="00686F60"/>
    <w:rsid w:val="00687ECA"/>
    <w:rsid w:val="00691455"/>
    <w:rsid w:val="00692763"/>
    <w:rsid w:val="00692CA2"/>
    <w:rsid w:val="00693DEE"/>
    <w:rsid w:val="006947E3"/>
    <w:rsid w:val="00694B32"/>
    <w:rsid w:val="006969D3"/>
    <w:rsid w:val="006A1590"/>
    <w:rsid w:val="006A189B"/>
    <w:rsid w:val="006A213C"/>
    <w:rsid w:val="006A2297"/>
    <w:rsid w:val="006A243C"/>
    <w:rsid w:val="006A3FAD"/>
    <w:rsid w:val="006A5476"/>
    <w:rsid w:val="006A56FD"/>
    <w:rsid w:val="006B0CC3"/>
    <w:rsid w:val="006B1F18"/>
    <w:rsid w:val="006B2511"/>
    <w:rsid w:val="006B2AA9"/>
    <w:rsid w:val="006B2D77"/>
    <w:rsid w:val="006B4035"/>
    <w:rsid w:val="006B4327"/>
    <w:rsid w:val="006B497E"/>
    <w:rsid w:val="006B6FE7"/>
    <w:rsid w:val="006B7617"/>
    <w:rsid w:val="006C1A57"/>
    <w:rsid w:val="006C396A"/>
    <w:rsid w:val="006C42E0"/>
    <w:rsid w:val="006C5000"/>
    <w:rsid w:val="006C50F2"/>
    <w:rsid w:val="006C540D"/>
    <w:rsid w:val="006C56FA"/>
    <w:rsid w:val="006C601A"/>
    <w:rsid w:val="006C6679"/>
    <w:rsid w:val="006D020C"/>
    <w:rsid w:val="006D0360"/>
    <w:rsid w:val="006D0B97"/>
    <w:rsid w:val="006D16F7"/>
    <w:rsid w:val="006D4B2B"/>
    <w:rsid w:val="006D61C1"/>
    <w:rsid w:val="006D633A"/>
    <w:rsid w:val="006D7724"/>
    <w:rsid w:val="006E0D7D"/>
    <w:rsid w:val="006E176F"/>
    <w:rsid w:val="006E2F1D"/>
    <w:rsid w:val="006E3146"/>
    <w:rsid w:val="006E4318"/>
    <w:rsid w:val="006E4407"/>
    <w:rsid w:val="006E6A28"/>
    <w:rsid w:val="006E7EFB"/>
    <w:rsid w:val="006F02A0"/>
    <w:rsid w:val="006F07BF"/>
    <w:rsid w:val="006F0D92"/>
    <w:rsid w:val="006F0DA9"/>
    <w:rsid w:val="006F1A64"/>
    <w:rsid w:val="006F2ED7"/>
    <w:rsid w:val="006F3A96"/>
    <w:rsid w:val="006F456D"/>
    <w:rsid w:val="006F4A9D"/>
    <w:rsid w:val="006F4FC0"/>
    <w:rsid w:val="006F590B"/>
    <w:rsid w:val="006F5DB4"/>
    <w:rsid w:val="006F79D9"/>
    <w:rsid w:val="00700A18"/>
    <w:rsid w:val="00701277"/>
    <w:rsid w:val="00701360"/>
    <w:rsid w:val="007015C5"/>
    <w:rsid w:val="00702CC7"/>
    <w:rsid w:val="0070302E"/>
    <w:rsid w:val="00705688"/>
    <w:rsid w:val="0070609D"/>
    <w:rsid w:val="00706D63"/>
    <w:rsid w:val="00706E2A"/>
    <w:rsid w:val="007076B6"/>
    <w:rsid w:val="00707933"/>
    <w:rsid w:val="00711CF9"/>
    <w:rsid w:val="0071273B"/>
    <w:rsid w:val="007150E2"/>
    <w:rsid w:val="00715F83"/>
    <w:rsid w:val="007201B3"/>
    <w:rsid w:val="00720294"/>
    <w:rsid w:val="00722EAD"/>
    <w:rsid w:val="0072342F"/>
    <w:rsid w:val="0072409B"/>
    <w:rsid w:val="00724C31"/>
    <w:rsid w:val="00725872"/>
    <w:rsid w:val="007258FD"/>
    <w:rsid w:val="007264AC"/>
    <w:rsid w:val="0073044E"/>
    <w:rsid w:val="0073101E"/>
    <w:rsid w:val="00731959"/>
    <w:rsid w:val="00731BEC"/>
    <w:rsid w:val="0073249A"/>
    <w:rsid w:val="00733098"/>
    <w:rsid w:val="00733289"/>
    <w:rsid w:val="0073338E"/>
    <w:rsid w:val="00734667"/>
    <w:rsid w:val="007349E3"/>
    <w:rsid w:val="00734CEB"/>
    <w:rsid w:val="0073616D"/>
    <w:rsid w:val="00737C21"/>
    <w:rsid w:val="00737EBD"/>
    <w:rsid w:val="007402F8"/>
    <w:rsid w:val="00740305"/>
    <w:rsid w:val="00740BBE"/>
    <w:rsid w:val="00741BE4"/>
    <w:rsid w:val="00741F1A"/>
    <w:rsid w:val="00741F84"/>
    <w:rsid w:val="0074217E"/>
    <w:rsid w:val="00743A04"/>
    <w:rsid w:val="0075009F"/>
    <w:rsid w:val="007503B7"/>
    <w:rsid w:val="0075071F"/>
    <w:rsid w:val="00753624"/>
    <w:rsid w:val="00754F0B"/>
    <w:rsid w:val="00756716"/>
    <w:rsid w:val="00756E02"/>
    <w:rsid w:val="007610F1"/>
    <w:rsid w:val="00761612"/>
    <w:rsid w:val="00761ADF"/>
    <w:rsid w:val="0076300D"/>
    <w:rsid w:val="00764D2C"/>
    <w:rsid w:val="00765467"/>
    <w:rsid w:val="00766C7B"/>
    <w:rsid w:val="00771B40"/>
    <w:rsid w:val="00771F1D"/>
    <w:rsid w:val="00772974"/>
    <w:rsid w:val="00772DB1"/>
    <w:rsid w:val="00772E23"/>
    <w:rsid w:val="00775AE5"/>
    <w:rsid w:val="00775E6C"/>
    <w:rsid w:val="00777958"/>
    <w:rsid w:val="00780623"/>
    <w:rsid w:val="0078090E"/>
    <w:rsid w:val="00782A73"/>
    <w:rsid w:val="00784281"/>
    <w:rsid w:val="00784A38"/>
    <w:rsid w:val="00785C34"/>
    <w:rsid w:val="0078640C"/>
    <w:rsid w:val="00786BB8"/>
    <w:rsid w:val="00786C27"/>
    <w:rsid w:val="007870E1"/>
    <w:rsid w:val="00787643"/>
    <w:rsid w:val="00787FF3"/>
    <w:rsid w:val="00792D8C"/>
    <w:rsid w:val="00793094"/>
    <w:rsid w:val="00793437"/>
    <w:rsid w:val="0079354B"/>
    <w:rsid w:val="00794113"/>
    <w:rsid w:val="007973F2"/>
    <w:rsid w:val="00797416"/>
    <w:rsid w:val="00797745"/>
    <w:rsid w:val="00797FF2"/>
    <w:rsid w:val="007A27D3"/>
    <w:rsid w:val="007A3130"/>
    <w:rsid w:val="007A33AC"/>
    <w:rsid w:val="007A357C"/>
    <w:rsid w:val="007A3A78"/>
    <w:rsid w:val="007A545E"/>
    <w:rsid w:val="007A5924"/>
    <w:rsid w:val="007A5E92"/>
    <w:rsid w:val="007A65D7"/>
    <w:rsid w:val="007A751D"/>
    <w:rsid w:val="007B1928"/>
    <w:rsid w:val="007B4A45"/>
    <w:rsid w:val="007B4EF1"/>
    <w:rsid w:val="007B5097"/>
    <w:rsid w:val="007B513E"/>
    <w:rsid w:val="007B61B6"/>
    <w:rsid w:val="007B6639"/>
    <w:rsid w:val="007B67FC"/>
    <w:rsid w:val="007C0724"/>
    <w:rsid w:val="007C075A"/>
    <w:rsid w:val="007C0769"/>
    <w:rsid w:val="007C10DE"/>
    <w:rsid w:val="007C1C49"/>
    <w:rsid w:val="007C2767"/>
    <w:rsid w:val="007C40D6"/>
    <w:rsid w:val="007C7902"/>
    <w:rsid w:val="007C7ADD"/>
    <w:rsid w:val="007D1144"/>
    <w:rsid w:val="007D1686"/>
    <w:rsid w:val="007D21DF"/>
    <w:rsid w:val="007D2858"/>
    <w:rsid w:val="007D2F04"/>
    <w:rsid w:val="007D378B"/>
    <w:rsid w:val="007D3FDE"/>
    <w:rsid w:val="007D4148"/>
    <w:rsid w:val="007D4B5B"/>
    <w:rsid w:val="007D5B49"/>
    <w:rsid w:val="007D7122"/>
    <w:rsid w:val="007D725F"/>
    <w:rsid w:val="007D7358"/>
    <w:rsid w:val="007D73B6"/>
    <w:rsid w:val="007D7728"/>
    <w:rsid w:val="007E00DE"/>
    <w:rsid w:val="007E0895"/>
    <w:rsid w:val="007E08E7"/>
    <w:rsid w:val="007E1E5E"/>
    <w:rsid w:val="007E2527"/>
    <w:rsid w:val="007E4739"/>
    <w:rsid w:val="007E4CE4"/>
    <w:rsid w:val="007E4D8E"/>
    <w:rsid w:val="007E52A6"/>
    <w:rsid w:val="007F01D8"/>
    <w:rsid w:val="007F0E30"/>
    <w:rsid w:val="007F1ED8"/>
    <w:rsid w:val="007F29CA"/>
    <w:rsid w:val="007F31FA"/>
    <w:rsid w:val="007F3CD6"/>
    <w:rsid w:val="007F3E0D"/>
    <w:rsid w:val="007F462D"/>
    <w:rsid w:val="007F4FAD"/>
    <w:rsid w:val="007F5B9C"/>
    <w:rsid w:val="007F6F58"/>
    <w:rsid w:val="007F79ED"/>
    <w:rsid w:val="007F79F9"/>
    <w:rsid w:val="00800262"/>
    <w:rsid w:val="00801185"/>
    <w:rsid w:val="00801DE9"/>
    <w:rsid w:val="00801E19"/>
    <w:rsid w:val="00802D16"/>
    <w:rsid w:val="008031A5"/>
    <w:rsid w:val="008034B7"/>
    <w:rsid w:val="0080463F"/>
    <w:rsid w:val="0080705F"/>
    <w:rsid w:val="0081223E"/>
    <w:rsid w:val="00812568"/>
    <w:rsid w:val="00812831"/>
    <w:rsid w:val="00813C82"/>
    <w:rsid w:val="00816379"/>
    <w:rsid w:val="008163AB"/>
    <w:rsid w:val="00816E6B"/>
    <w:rsid w:val="008201C5"/>
    <w:rsid w:val="008201E6"/>
    <w:rsid w:val="0082078F"/>
    <w:rsid w:val="00820826"/>
    <w:rsid w:val="00822A05"/>
    <w:rsid w:val="0082549E"/>
    <w:rsid w:val="0082744C"/>
    <w:rsid w:val="0082792F"/>
    <w:rsid w:val="00830337"/>
    <w:rsid w:val="00830BDD"/>
    <w:rsid w:val="00830C4E"/>
    <w:rsid w:val="00831B4C"/>
    <w:rsid w:val="00832152"/>
    <w:rsid w:val="0083336A"/>
    <w:rsid w:val="00833B58"/>
    <w:rsid w:val="0083654F"/>
    <w:rsid w:val="00836B41"/>
    <w:rsid w:val="00837729"/>
    <w:rsid w:val="00837A0E"/>
    <w:rsid w:val="008409DC"/>
    <w:rsid w:val="00841A93"/>
    <w:rsid w:val="00841CDF"/>
    <w:rsid w:val="00841E57"/>
    <w:rsid w:val="0084282D"/>
    <w:rsid w:val="00843249"/>
    <w:rsid w:val="00843695"/>
    <w:rsid w:val="00843C79"/>
    <w:rsid w:val="00844603"/>
    <w:rsid w:val="008462D9"/>
    <w:rsid w:val="00846F74"/>
    <w:rsid w:val="00850E18"/>
    <w:rsid w:val="00850F1A"/>
    <w:rsid w:val="008529C4"/>
    <w:rsid w:val="00853DD9"/>
    <w:rsid w:val="0085441A"/>
    <w:rsid w:val="00855613"/>
    <w:rsid w:val="008556FB"/>
    <w:rsid w:val="00857674"/>
    <w:rsid w:val="008576E9"/>
    <w:rsid w:val="008609C4"/>
    <w:rsid w:val="008622F4"/>
    <w:rsid w:val="008630C0"/>
    <w:rsid w:val="0086411B"/>
    <w:rsid w:val="00866EB4"/>
    <w:rsid w:val="00873776"/>
    <w:rsid w:val="008738F3"/>
    <w:rsid w:val="0087392D"/>
    <w:rsid w:val="00873C39"/>
    <w:rsid w:val="00874B5A"/>
    <w:rsid w:val="00874D37"/>
    <w:rsid w:val="00874E7C"/>
    <w:rsid w:val="008755B5"/>
    <w:rsid w:val="008765FA"/>
    <w:rsid w:val="008778FB"/>
    <w:rsid w:val="00877934"/>
    <w:rsid w:val="008812EF"/>
    <w:rsid w:val="008852BF"/>
    <w:rsid w:val="00886248"/>
    <w:rsid w:val="00887205"/>
    <w:rsid w:val="008906DA"/>
    <w:rsid w:val="00892975"/>
    <w:rsid w:val="00892E51"/>
    <w:rsid w:val="00893681"/>
    <w:rsid w:val="00894157"/>
    <w:rsid w:val="00894ABF"/>
    <w:rsid w:val="00895D41"/>
    <w:rsid w:val="008A049B"/>
    <w:rsid w:val="008A12B5"/>
    <w:rsid w:val="008A2A5A"/>
    <w:rsid w:val="008A2F99"/>
    <w:rsid w:val="008A3836"/>
    <w:rsid w:val="008A43A6"/>
    <w:rsid w:val="008A5459"/>
    <w:rsid w:val="008A64C4"/>
    <w:rsid w:val="008A6965"/>
    <w:rsid w:val="008A699A"/>
    <w:rsid w:val="008A6F9A"/>
    <w:rsid w:val="008A70EC"/>
    <w:rsid w:val="008A738D"/>
    <w:rsid w:val="008B04F6"/>
    <w:rsid w:val="008B0544"/>
    <w:rsid w:val="008B0FB7"/>
    <w:rsid w:val="008B2204"/>
    <w:rsid w:val="008B30FA"/>
    <w:rsid w:val="008B355A"/>
    <w:rsid w:val="008B3CBB"/>
    <w:rsid w:val="008B55C6"/>
    <w:rsid w:val="008B581B"/>
    <w:rsid w:val="008B5D09"/>
    <w:rsid w:val="008B709D"/>
    <w:rsid w:val="008B7279"/>
    <w:rsid w:val="008C04BC"/>
    <w:rsid w:val="008C1371"/>
    <w:rsid w:val="008C1EEF"/>
    <w:rsid w:val="008C250F"/>
    <w:rsid w:val="008C4CFA"/>
    <w:rsid w:val="008C5310"/>
    <w:rsid w:val="008C60C8"/>
    <w:rsid w:val="008C63D8"/>
    <w:rsid w:val="008C6484"/>
    <w:rsid w:val="008C64A0"/>
    <w:rsid w:val="008C678F"/>
    <w:rsid w:val="008C6E40"/>
    <w:rsid w:val="008C6F46"/>
    <w:rsid w:val="008C7939"/>
    <w:rsid w:val="008D0F5B"/>
    <w:rsid w:val="008D17E2"/>
    <w:rsid w:val="008D1BC8"/>
    <w:rsid w:val="008D3719"/>
    <w:rsid w:val="008D375A"/>
    <w:rsid w:val="008D389B"/>
    <w:rsid w:val="008D3AF2"/>
    <w:rsid w:val="008D3B5A"/>
    <w:rsid w:val="008D4789"/>
    <w:rsid w:val="008D5368"/>
    <w:rsid w:val="008D6589"/>
    <w:rsid w:val="008D7A6F"/>
    <w:rsid w:val="008E1AF8"/>
    <w:rsid w:val="008E2BF9"/>
    <w:rsid w:val="008E3B20"/>
    <w:rsid w:val="008E4D05"/>
    <w:rsid w:val="008E6644"/>
    <w:rsid w:val="008E6C38"/>
    <w:rsid w:val="008E6F46"/>
    <w:rsid w:val="008E71F6"/>
    <w:rsid w:val="008F012A"/>
    <w:rsid w:val="008F1007"/>
    <w:rsid w:val="008F164E"/>
    <w:rsid w:val="008F2135"/>
    <w:rsid w:val="008F2575"/>
    <w:rsid w:val="008F287A"/>
    <w:rsid w:val="008F2EDC"/>
    <w:rsid w:val="008F36BC"/>
    <w:rsid w:val="008F374E"/>
    <w:rsid w:val="008F4E96"/>
    <w:rsid w:val="008F51F3"/>
    <w:rsid w:val="008F5364"/>
    <w:rsid w:val="008F5619"/>
    <w:rsid w:val="008F5F5B"/>
    <w:rsid w:val="008F7ADA"/>
    <w:rsid w:val="008F7D5D"/>
    <w:rsid w:val="00901376"/>
    <w:rsid w:val="0090559B"/>
    <w:rsid w:val="00906EBE"/>
    <w:rsid w:val="00907370"/>
    <w:rsid w:val="00907D48"/>
    <w:rsid w:val="00910912"/>
    <w:rsid w:val="00912974"/>
    <w:rsid w:val="0091432E"/>
    <w:rsid w:val="0091467B"/>
    <w:rsid w:val="009148EF"/>
    <w:rsid w:val="00914C4A"/>
    <w:rsid w:val="00915897"/>
    <w:rsid w:val="00916BE2"/>
    <w:rsid w:val="00916D45"/>
    <w:rsid w:val="00917698"/>
    <w:rsid w:val="00920007"/>
    <w:rsid w:val="009201B9"/>
    <w:rsid w:val="009206C7"/>
    <w:rsid w:val="00920F93"/>
    <w:rsid w:val="00921C39"/>
    <w:rsid w:val="009223E2"/>
    <w:rsid w:val="009235AF"/>
    <w:rsid w:val="00923FC1"/>
    <w:rsid w:val="00925643"/>
    <w:rsid w:val="0092629B"/>
    <w:rsid w:val="0092766B"/>
    <w:rsid w:val="00931C53"/>
    <w:rsid w:val="00932793"/>
    <w:rsid w:val="009329A5"/>
    <w:rsid w:val="00933184"/>
    <w:rsid w:val="00933265"/>
    <w:rsid w:val="00935976"/>
    <w:rsid w:val="00936CDA"/>
    <w:rsid w:val="009432C6"/>
    <w:rsid w:val="0094421C"/>
    <w:rsid w:val="00945DD4"/>
    <w:rsid w:val="00946944"/>
    <w:rsid w:val="00946A75"/>
    <w:rsid w:val="009470A4"/>
    <w:rsid w:val="00947199"/>
    <w:rsid w:val="009500A8"/>
    <w:rsid w:val="0095130A"/>
    <w:rsid w:val="0095165F"/>
    <w:rsid w:val="00953C39"/>
    <w:rsid w:val="00954991"/>
    <w:rsid w:val="00955583"/>
    <w:rsid w:val="009573C5"/>
    <w:rsid w:val="00957491"/>
    <w:rsid w:val="00957DDD"/>
    <w:rsid w:val="0096102B"/>
    <w:rsid w:val="009616A4"/>
    <w:rsid w:val="00962218"/>
    <w:rsid w:val="0096239C"/>
    <w:rsid w:val="00963E71"/>
    <w:rsid w:val="009640D6"/>
    <w:rsid w:val="00964A8A"/>
    <w:rsid w:val="00965585"/>
    <w:rsid w:val="00965E8C"/>
    <w:rsid w:val="00966C08"/>
    <w:rsid w:val="009670E5"/>
    <w:rsid w:val="0096773A"/>
    <w:rsid w:val="00967F4A"/>
    <w:rsid w:val="009709FE"/>
    <w:rsid w:val="00972FA7"/>
    <w:rsid w:val="009736CB"/>
    <w:rsid w:val="00975E4D"/>
    <w:rsid w:val="00976E87"/>
    <w:rsid w:val="00977F9E"/>
    <w:rsid w:val="00980CBD"/>
    <w:rsid w:val="009818E2"/>
    <w:rsid w:val="00981C21"/>
    <w:rsid w:val="00982531"/>
    <w:rsid w:val="0098383E"/>
    <w:rsid w:val="009840EA"/>
    <w:rsid w:val="009842B5"/>
    <w:rsid w:val="009856CE"/>
    <w:rsid w:val="0098636F"/>
    <w:rsid w:val="00986DB8"/>
    <w:rsid w:val="0098706F"/>
    <w:rsid w:val="009879DD"/>
    <w:rsid w:val="009901FF"/>
    <w:rsid w:val="00992456"/>
    <w:rsid w:val="009930F5"/>
    <w:rsid w:val="00994B7E"/>
    <w:rsid w:val="0099555D"/>
    <w:rsid w:val="0099702E"/>
    <w:rsid w:val="009A2767"/>
    <w:rsid w:val="009A4B46"/>
    <w:rsid w:val="009A5BA7"/>
    <w:rsid w:val="009A64F0"/>
    <w:rsid w:val="009A6AC6"/>
    <w:rsid w:val="009A6AFC"/>
    <w:rsid w:val="009B0C85"/>
    <w:rsid w:val="009B0EF9"/>
    <w:rsid w:val="009B1267"/>
    <w:rsid w:val="009B3A8D"/>
    <w:rsid w:val="009B3CFB"/>
    <w:rsid w:val="009B4961"/>
    <w:rsid w:val="009B5905"/>
    <w:rsid w:val="009C00E1"/>
    <w:rsid w:val="009C01E0"/>
    <w:rsid w:val="009C1C2F"/>
    <w:rsid w:val="009C3AC0"/>
    <w:rsid w:val="009C73AF"/>
    <w:rsid w:val="009D0AFF"/>
    <w:rsid w:val="009D1D0B"/>
    <w:rsid w:val="009D1F13"/>
    <w:rsid w:val="009D27F2"/>
    <w:rsid w:val="009D3BAB"/>
    <w:rsid w:val="009D6B61"/>
    <w:rsid w:val="009E2EDA"/>
    <w:rsid w:val="009E3735"/>
    <w:rsid w:val="009E4E52"/>
    <w:rsid w:val="009E4F99"/>
    <w:rsid w:val="009E660D"/>
    <w:rsid w:val="009E6AD9"/>
    <w:rsid w:val="009E6D10"/>
    <w:rsid w:val="009E7139"/>
    <w:rsid w:val="009E743E"/>
    <w:rsid w:val="009E7B40"/>
    <w:rsid w:val="009F08C0"/>
    <w:rsid w:val="009F1F47"/>
    <w:rsid w:val="009F209D"/>
    <w:rsid w:val="009F250A"/>
    <w:rsid w:val="009F2A75"/>
    <w:rsid w:val="009F306C"/>
    <w:rsid w:val="009F3A5F"/>
    <w:rsid w:val="009F3FB8"/>
    <w:rsid w:val="009F4FB9"/>
    <w:rsid w:val="009F5A65"/>
    <w:rsid w:val="009F7D3D"/>
    <w:rsid w:val="00A00C6A"/>
    <w:rsid w:val="00A012FC"/>
    <w:rsid w:val="00A01418"/>
    <w:rsid w:val="00A017E5"/>
    <w:rsid w:val="00A01DC5"/>
    <w:rsid w:val="00A02A86"/>
    <w:rsid w:val="00A04340"/>
    <w:rsid w:val="00A0582D"/>
    <w:rsid w:val="00A06153"/>
    <w:rsid w:val="00A065BD"/>
    <w:rsid w:val="00A072C5"/>
    <w:rsid w:val="00A0751E"/>
    <w:rsid w:val="00A07DE1"/>
    <w:rsid w:val="00A10F4B"/>
    <w:rsid w:val="00A122E7"/>
    <w:rsid w:val="00A14927"/>
    <w:rsid w:val="00A14FA3"/>
    <w:rsid w:val="00A1773A"/>
    <w:rsid w:val="00A17880"/>
    <w:rsid w:val="00A179A8"/>
    <w:rsid w:val="00A17BE3"/>
    <w:rsid w:val="00A215AC"/>
    <w:rsid w:val="00A215FF"/>
    <w:rsid w:val="00A238EB"/>
    <w:rsid w:val="00A23C7E"/>
    <w:rsid w:val="00A23DCF"/>
    <w:rsid w:val="00A25494"/>
    <w:rsid w:val="00A25BF8"/>
    <w:rsid w:val="00A266B3"/>
    <w:rsid w:val="00A277B1"/>
    <w:rsid w:val="00A27D58"/>
    <w:rsid w:val="00A30C77"/>
    <w:rsid w:val="00A311B0"/>
    <w:rsid w:val="00A3250D"/>
    <w:rsid w:val="00A3269C"/>
    <w:rsid w:val="00A33909"/>
    <w:rsid w:val="00A33BFE"/>
    <w:rsid w:val="00A33D0E"/>
    <w:rsid w:val="00A36D64"/>
    <w:rsid w:val="00A37CEE"/>
    <w:rsid w:val="00A37D94"/>
    <w:rsid w:val="00A40947"/>
    <w:rsid w:val="00A41E07"/>
    <w:rsid w:val="00A41FFA"/>
    <w:rsid w:val="00A424AF"/>
    <w:rsid w:val="00A43F7D"/>
    <w:rsid w:val="00A44D5C"/>
    <w:rsid w:val="00A45D86"/>
    <w:rsid w:val="00A47B56"/>
    <w:rsid w:val="00A5019A"/>
    <w:rsid w:val="00A507BF"/>
    <w:rsid w:val="00A5101C"/>
    <w:rsid w:val="00A5285D"/>
    <w:rsid w:val="00A5308E"/>
    <w:rsid w:val="00A533EA"/>
    <w:rsid w:val="00A53994"/>
    <w:rsid w:val="00A554DB"/>
    <w:rsid w:val="00A55D89"/>
    <w:rsid w:val="00A57F2B"/>
    <w:rsid w:val="00A606AC"/>
    <w:rsid w:val="00A6105E"/>
    <w:rsid w:val="00A6128A"/>
    <w:rsid w:val="00A61667"/>
    <w:rsid w:val="00A61FE1"/>
    <w:rsid w:val="00A6382A"/>
    <w:rsid w:val="00A64976"/>
    <w:rsid w:val="00A64CA0"/>
    <w:rsid w:val="00A65E1A"/>
    <w:rsid w:val="00A66C61"/>
    <w:rsid w:val="00A7011C"/>
    <w:rsid w:val="00A70C88"/>
    <w:rsid w:val="00A70D20"/>
    <w:rsid w:val="00A727EE"/>
    <w:rsid w:val="00A73A79"/>
    <w:rsid w:val="00A73BB2"/>
    <w:rsid w:val="00A74843"/>
    <w:rsid w:val="00A7594C"/>
    <w:rsid w:val="00A810AC"/>
    <w:rsid w:val="00A82A70"/>
    <w:rsid w:val="00A8337D"/>
    <w:rsid w:val="00A84D35"/>
    <w:rsid w:val="00A85505"/>
    <w:rsid w:val="00A855E3"/>
    <w:rsid w:val="00A85609"/>
    <w:rsid w:val="00A85CAF"/>
    <w:rsid w:val="00A873EA"/>
    <w:rsid w:val="00A87499"/>
    <w:rsid w:val="00A87575"/>
    <w:rsid w:val="00A905DE"/>
    <w:rsid w:val="00A91C95"/>
    <w:rsid w:val="00A92809"/>
    <w:rsid w:val="00A94676"/>
    <w:rsid w:val="00A946E6"/>
    <w:rsid w:val="00A9536E"/>
    <w:rsid w:val="00A979FB"/>
    <w:rsid w:val="00AA0327"/>
    <w:rsid w:val="00AA089D"/>
    <w:rsid w:val="00AA0FF8"/>
    <w:rsid w:val="00AA1446"/>
    <w:rsid w:val="00AA21A8"/>
    <w:rsid w:val="00AA271F"/>
    <w:rsid w:val="00AA2FD5"/>
    <w:rsid w:val="00AA4251"/>
    <w:rsid w:val="00AA4F45"/>
    <w:rsid w:val="00AA6650"/>
    <w:rsid w:val="00AA668A"/>
    <w:rsid w:val="00AA70D6"/>
    <w:rsid w:val="00AB02C1"/>
    <w:rsid w:val="00AB0724"/>
    <w:rsid w:val="00AB202F"/>
    <w:rsid w:val="00AB2B05"/>
    <w:rsid w:val="00AB2E34"/>
    <w:rsid w:val="00AB2F35"/>
    <w:rsid w:val="00AB3973"/>
    <w:rsid w:val="00AB47CF"/>
    <w:rsid w:val="00AB5214"/>
    <w:rsid w:val="00AC0047"/>
    <w:rsid w:val="00AC0829"/>
    <w:rsid w:val="00AC211E"/>
    <w:rsid w:val="00AC27C3"/>
    <w:rsid w:val="00AC531E"/>
    <w:rsid w:val="00AC5A00"/>
    <w:rsid w:val="00AC750E"/>
    <w:rsid w:val="00AC7EA7"/>
    <w:rsid w:val="00AD0348"/>
    <w:rsid w:val="00AD08E4"/>
    <w:rsid w:val="00AD43FE"/>
    <w:rsid w:val="00AD459D"/>
    <w:rsid w:val="00AD4A59"/>
    <w:rsid w:val="00AD5F60"/>
    <w:rsid w:val="00AD7B91"/>
    <w:rsid w:val="00AE1198"/>
    <w:rsid w:val="00AE1B71"/>
    <w:rsid w:val="00AE2746"/>
    <w:rsid w:val="00AE3782"/>
    <w:rsid w:val="00AE480F"/>
    <w:rsid w:val="00AE4B9C"/>
    <w:rsid w:val="00AE5113"/>
    <w:rsid w:val="00AE5195"/>
    <w:rsid w:val="00AE597D"/>
    <w:rsid w:val="00AE6153"/>
    <w:rsid w:val="00AE6EFD"/>
    <w:rsid w:val="00AE7801"/>
    <w:rsid w:val="00AE7F50"/>
    <w:rsid w:val="00AF076F"/>
    <w:rsid w:val="00AF37CA"/>
    <w:rsid w:val="00AF49BF"/>
    <w:rsid w:val="00AF6AF7"/>
    <w:rsid w:val="00AF6E02"/>
    <w:rsid w:val="00AF6E74"/>
    <w:rsid w:val="00B00240"/>
    <w:rsid w:val="00B002F3"/>
    <w:rsid w:val="00B00C1D"/>
    <w:rsid w:val="00B01897"/>
    <w:rsid w:val="00B02163"/>
    <w:rsid w:val="00B042E0"/>
    <w:rsid w:val="00B05005"/>
    <w:rsid w:val="00B05074"/>
    <w:rsid w:val="00B05583"/>
    <w:rsid w:val="00B0676D"/>
    <w:rsid w:val="00B06B21"/>
    <w:rsid w:val="00B06C02"/>
    <w:rsid w:val="00B06CCE"/>
    <w:rsid w:val="00B0798E"/>
    <w:rsid w:val="00B104B9"/>
    <w:rsid w:val="00B11760"/>
    <w:rsid w:val="00B11C9D"/>
    <w:rsid w:val="00B11CDF"/>
    <w:rsid w:val="00B11DE9"/>
    <w:rsid w:val="00B1356A"/>
    <w:rsid w:val="00B13A34"/>
    <w:rsid w:val="00B1520F"/>
    <w:rsid w:val="00B159A3"/>
    <w:rsid w:val="00B16FD4"/>
    <w:rsid w:val="00B21F58"/>
    <w:rsid w:val="00B251C7"/>
    <w:rsid w:val="00B251C8"/>
    <w:rsid w:val="00B25389"/>
    <w:rsid w:val="00B26438"/>
    <w:rsid w:val="00B264A7"/>
    <w:rsid w:val="00B26BB3"/>
    <w:rsid w:val="00B26CDD"/>
    <w:rsid w:val="00B27D90"/>
    <w:rsid w:val="00B3008D"/>
    <w:rsid w:val="00B307F7"/>
    <w:rsid w:val="00B30B6B"/>
    <w:rsid w:val="00B313AD"/>
    <w:rsid w:val="00B33A0B"/>
    <w:rsid w:val="00B34432"/>
    <w:rsid w:val="00B35A49"/>
    <w:rsid w:val="00B35CDA"/>
    <w:rsid w:val="00B364B9"/>
    <w:rsid w:val="00B36B28"/>
    <w:rsid w:val="00B37F9F"/>
    <w:rsid w:val="00B407FA"/>
    <w:rsid w:val="00B41BAA"/>
    <w:rsid w:val="00B41BB3"/>
    <w:rsid w:val="00B42307"/>
    <w:rsid w:val="00B42685"/>
    <w:rsid w:val="00B4274F"/>
    <w:rsid w:val="00B44D48"/>
    <w:rsid w:val="00B458DA"/>
    <w:rsid w:val="00B45D5E"/>
    <w:rsid w:val="00B4606A"/>
    <w:rsid w:val="00B4627E"/>
    <w:rsid w:val="00B46967"/>
    <w:rsid w:val="00B50593"/>
    <w:rsid w:val="00B50D81"/>
    <w:rsid w:val="00B5139E"/>
    <w:rsid w:val="00B52321"/>
    <w:rsid w:val="00B53D8E"/>
    <w:rsid w:val="00B54CEF"/>
    <w:rsid w:val="00B56381"/>
    <w:rsid w:val="00B56630"/>
    <w:rsid w:val="00B61404"/>
    <w:rsid w:val="00B640A2"/>
    <w:rsid w:val="00B64991"/>
    <w:rsid w:val="00B65DCB"/>
    <w:rsid w:val="00B675F3"/>
    <w:rsid w:val="00B70CBF"/>
    <w:rsid w:val="00B7204B"/>
    <w:rsid w:val="00B73C5C"/>
    <w:rsid w:val="00B75751"/>
    <w:rsid w:val="00B75FB7"/>
    <w:rsid w:val="00B763E2"/>
    <w:rsid w:val="00B7746D"/>
    <w:rsid w:val="00B77B2D"/>
    <w:rsid w:val="00B823A1"/>
    <w:rsid w:val="00B831D1"/>
    <w:rsid w:val="00B859CC"/>
    <w:rsid w:val="00B85FCA"/>
    <w:rsid w:val="00B9107B"/>
    <w:rsid w:val="00B9108B"/>
    <w:rsid w:val="00B9189C"/>
    <w:rsid w:val="00B91EDD"/>
    <w:rsid w:val="00B9331D"/>
    <w:rsid w:val="00B93601"/>
    <w:rsid w:val="00B938B9"/>
    <w:rsid w:val="00B94670"/>
    <w:rsid w:val="00B94A79"/>
    <w:rsid w:val="00B957F7"/>
    <w:rsid w:val="00B965A6"/>
    <w:rsid w:val="00B966EF"/>
    <w:rsid w:val="00B97DA6"/>
    <w:rsid w:val="00BA2503"/>
    <w:rsid w:val="00BA3667"/>
    <w:rsid w:val="00BA4B34"/>
    <w:rsid w:val="00BA57DF"/>
    <w:rsid w:val="00BA5B44"/>
    <w:rsid w:val="00BA7E9C"/>
    <w:rsid w:val="00BB0F3E"/>
    <w:rsid w:val="00BB15BC"/>
    <w:rsid w:val="00BB1A65"/>
    <w:rsid w:val="00BB212A"/>
    <w:rsid w:val="00BB3F80"/>
    <w:rsid w:val="00BB560F"/>
    <w:rsid w:val="00BB5738"/>
    <w:rsid w:val="00BB5925"/>
    <w:rsid w:val="00BB7483"/>
    <w:rsid w:val="00BC16FE"/>
    <w:rsid w:val="00BC32F7"/>
    <w:rsid w:val="00BC399C"/>
    <w:rsid w:val="00BC3DBF"/>
    <w:rsid w:val="00BC4331"/>
    <w:rsid w:val="00BC5A6B"/>
    <w:rsid w:val="00BC5D7A"/>
    <w:rsid w:val="00BC69F6"/>
    <w:rsid w:val="00BC6E11"/>
    <w:rsid w:val="00BC78F9"/>
    <w:rsid w:val="00BD0165"/>
    <w:rsid w:val="00BD0445"/>
    <w:rsid w:val="00BD15A2"/>
    <w:rsid w:val="00BD2CAB"/>
    <w:rsid w:val="00BD35AF"/>
    <w:rsid w:val="00BD41EE"/>
    <w:rsid w:val="00BD52D5"/>
    <w:rsid w:val="00BD5783"/>
    <w:rsid w:val="00BD5A70"/>
    <w:rsid w:val="00BD5B92"/>
    <w:rsid w:val="00BD63CC"/>
    <w:rsid w:val="00BD642B"/>
    <w:rsid w:val="00BD69BE"/>
    <w:rsid w:val="00BD6DB6"/>
    <w:rsid w:val="00BE06D1"/>
    <w:rsid w:val="00BE2600"/>
    <w:rsid w:val="00BE6E4C"/>
    <w:rsid w:val="00BE7A39"/>
    <w:rsid w:val="00BF0487"/>
    <w:rsid w:val="00BF1ED3"/>
    <w:rsid w:val="00BF45DF"/>
    <w:rsid w:val="00BF4BD9"/>
    <w:rsid w:val="00BF57B9"/>
    <w:rsid w:val="00BF5A03"/>
    <w:rsid w:val="00BF6730"/>
    <w:rsid w:val="00BF6B18"/>
    <w:rsid w:val="00BF6FE7"/>
    <w:rsid w:val="00C001AD"/>
    <w:rsid w:val="00C00508"/>
    <w:rsid w:val="00C00659"/>
    <w:rsid w:val="00C02774"/>
    <w:rsid w:val="00C02D0A"/>
    <w:rsid w:val="00C02D26"/>
    <w:rsid w:val="00C03136"/>
    <w:rsid w:val="00C05B0E"/>
    <w:rsid w:val="00C0755B"/>
    <w:rsid w:val="00C07BEA"/>
    <w:rsid w:val="00C113A2"/>
    <w:rsid w:val="00C12E32"/>
    <w:rsid w:val="00C12F01"/>
    <w:rsid w:val="00C13CF1"/>
    <w:rsid w:val="00C15C07"/>
    <w:rsid w:val="00C15E96"/>
    <w:rsid w:val="00C15F39"/>
    <w:rsid w:val="00C16157"/>
    <w:rsid w:val="00C1692D"/>
    <w:rsid w:val="00C16E52"/>
    <w:rsid w:val="00C17D08"/>
    <w:rsid w:val="00C17E66"/>
    <w:rsid w:val="00C208D0"/>
    <w:rsid w:val="00C227D1"/>
    <w:rsid w:val="00C23DA4"/>
    <w:rsid w:val="00C26A4E"/>
    <w:rsid w:val="00C279D3"/>
    <w:rsid w:val="00C27AED"/>
    <w:rsid w:val="00C311FA"/>
    <w:rsid w:val="00C31C33"/>
    <w:rsid w:val="00C33416"/>
    <w:rsid w:val="00C34913"/>
    <w:rsid w:val="00C3542F"/>
    <w:rsid w:val="00C442AB"/>
    <w:rsid w:val="00C47496"/>
    <w:rsid w:val="00C47811"/>
    <w:rsid w:val="00C479B9"/>
    <w:rsid w:val="00C479D8"/>
    <w:rsid w:val="00C50596"/>
    <w:rsid w:val="00C50B98"/>
    <w:rsid w:val="00C5169F"/>
    <w:rsid w:val="00C52E4F"/>
    <w:rsid w:val="00C539DB"/>
    <w:rsid w:val="00C54677"/>
    <w:rsid w:val="00C5485B"/>
    <w:rsid w:val="00C553B8"/>
    <w:rsid w:val="00C55742"/>
    <w:rsid w:val="00C56333"/>
    <w:rsid w:val="00C57043"/>
    <w:rsid w:val="00C57C21"/>
    <w:rsid w:val="00C6042B"/>
    <w:rsid w:val="00C60D2E"/>
    <w:rsid w:val="00C634B8"/>
    <w:rsid w:val="00C64983"/>
    <w:rsid w:val="00C64AA1"/>
    <w:rsid w:val="00C65E3A"/>
    <w:rsid w:val="00C702AA"/>
    <w:rsid w:val="00C73112"/>
    <w:rsid w:val="00C7315A"/>
    <w:rsid w:val="00C74E7E"/>
    <w:rsid w:val="00C75048"/>
    <w:rsid w:val="00C7585C"/>
    <w:rsid w:val="00C76865"/>
    <w:rsid w:val="00C76900"/>
    <w:rsid w:val="00C807A1"/>
    <w:rsid w:val="00C81EB3"/>
    <w:rsid w:val="00C828C2"/>
    <w:rsid w:val="00C8304B"/>
    <w:rsid w:val="00C83411"/>
    <w:rsid w:val="00C83D52"/>
    <w:rsid w:val="00C85182"/>
    <w:rsid w:val="00C85A9B"/>
    <w:rsid w:val="00C861DA"/>
    <w:rsid w:val="00C867F6"/>
    <w:rsid w:val="00C86C51"/>
    <w:rsid w:val="00C8770D"/>
    <w:rsid w:val="00C90D22"/>
    <w:rsid w:val="00C9365F"/>
    <w:rsid w:val="00C94468"/>
    <w:rsid w:val="00C94FD3"/>
    <w:rsid w:val="00C96078"/>
    <w:rsid w:val="00C9671F"/>
    <w:rsid w:val="00C973CB"/>
    <w:rsid w:val="00C97482"/>
    <w:rsid w:val="00C97510"/>
    <w:rsid w:val="00CA0273"/>
    <w:rsid w:val="00CA3A60"/>
    <w:rsid w:val="00CA5477"/>
    <w:rsid w:val="00CA6D71"/>
    <w:rsid w:val="00CA78F4"/>
    <w:rsid w:val="00CB1049"/>
    <w:rsid w:val="00CB504A"/>
    <w:rsid w:val="00CB5E11"/>
    <w:rsid w:val="00CC0BA0"/>
    <w:rsid w:val="00CC2AF0"/>
    <w:rsid w:val="00CC33D8"/>
    <w:rsid w:val="00CC3701"/>
    <w:rsid w:val="00CC3F0B"/>
    <w:rsid w:val="00CC4615"/>
    <w:rsid w:val="00CC5409"/>
    <w:rsid w:val="00CC61A2"/>
    <w:rsid w:val="00CC63CE"/>
    <w:rsid w:val="00CC726B"/>
    <w:rsid w:val="00CCE244"/>
    <w:rsid w:val="00CD1824"/>
    <w:rsid w:val="00CD2CED"/>
    <w:rsid w:val="00CD3A45"/>
    <w:rsid w:val="00CD4DDB"/>
    <w:rsid w:val="00CD65DD"/>
    <w:rsid w:val="00CD706D"/>
    <w:rsid w:val="00CE03EF"/>
    <w:rsid w:val="00CE0A30"/>
    <w:rsid w:val="00CE1208"/>
    <w:rsid w:val="00CE589E"/>
    <w:rsid w:val="00CE5A17"/>
    <w:rsid w:val="00CE6286"/>
    <w:rsid w:val="00CE7641"/>
    <w:rsid w:val="00CE7736"/>
    <w:rsid w:val="00CF18A9"/>
    <w:rsid w:val="00CF30B7"/>
    <w:rsid w:val="00CF3E50"/>
    <w:rsid w:val="00CF4E62"/>
    <w:rsid w:val="00CF5162"/>
    <w:rsid w:val="00CF5566"/>
    <w:rsid w:val="00CF61FB"/>
    <w:rsid w:val="00CF7A1C"/>
    <w:rsid w:val="00D00BFA"/>
    <w:rsid w:val="00D0110D"/>
    <w:rsid w:val="00D01C87"/>
    <w:rsid w:val="00D02381"/>
    <w:rsid w:val="00D023DB"/>
    <w:rsid w:val="00D03BF5"/>
    <w:rsid w:val="00D04036"/>
    <w:rsid w:val="00D0574C"/>
    <w:rsid w:val="00D068D9"/>
    <w:rsid w:val="00D075F2"/>
    <w:rsid w:val="00D11619"/>
    <w:rsid w:val="00D1288F"/>
    <w:rsid w:val="00D128AD"/>
    <w:rsid w:val="00D12A49"/>
    <w:rsid w:val="00D13ABF"/>
    <w:rsid w:val="00D1432B"/>
    <w:rsid w:val="00D14786"/>
    <w:rsid w:val="00D14C0B"/>
    <w:rsid w:val="00D15B19"/>
    <w:rsid w:val="00D166D3"/>
    <w:rsid w:val="00D211F4"/>
    <w:rsid w:val="00D236DF"/>
    <w:rsid w:val="00D259AF"/>
    <w:rsid w:val="00D25A3A"/>
    <w:rsid w:val="00D25F59"/>
    <w:rsid w:val="00D2604C"/>
    <w:rsid w:val="00D26349"/>
    <w:rsid w:val="00D267B9"/>
    <w:rsid w:val="00D2768E"/>
    <w:rsid w:val="00D30334"/>
    <w:rsid w:val="00D3085E"/>
    <w:rsid w:val="00D30A7B"/>
    <w:rsid w:val="00D30B92"/>
    <w:rsid w:val="00D30F25"/>
    <w:rsid w:val="00D32658"/>
    <w:rsid w:val="00D33E4F"/>
    <w:rsid w:val="00D368FC"/>
    <w:rsid w:val="00D369E1"/>
    <w:rsid w:val="00D37CB0"/>
    <w:rsid w:val="00D409B5"/>
    <w:rsid w:val="00D40BBF"/>
    <w:rsid w:val="00D41403"/>
    <w:rsid w:val="00D415D6"/>
    <w:rsid w:val="00D4215B"/>
    <w:rsid w:val="00D44D7B"/>
    <w:rsid w:val="00D45982"/>
    <w:rsid w:val="00D4646B"/>
    <w:rsid w:val="00D4686C"/>
    <w:rsid w:val="00D47316"/>
    <w:rsid w:val="00D50782"/>
    <w:rsid w:val="00D5154F"/>
    <w:rsid w:val="00D517E1"/>
    <w:rsid w:val="00D5189D"/>
    <w:rsid w:val="00D5635A"/>
    <w:rsid w:val="00D56C8A"/>
    <w:rsid w:val="00D57AFE"/>
    <w:rsid w:val="00D60674"/>
    <w:rsid w:val="00D616E5"/>
    <w:rsid w:val="00D61964"/>
    <w:rsid w:val="00D62AF5"/>
    <w:rsid w:val="00D631E2"/>
    <w:rsid w:val="00D64667"/>
    <w:rsid w:val="00D67534"/>
    <w:rsid w:val="00D702C0"/>
    <w:rsid w:val="00D71B2D"/>
    <w:rsid w:val="00D71F40"/>
    <w:rsid w:val="00D77CDA"/>
    <w:rsid w:val="00D80070"/>
    <w:rsid w:val="00D801DF"/>
    <w:rsid w:val="00D81283"/>
    <w:rsid w:val="00D81612"/>
    <w:rsid w:val="00D84893"/>
    <w:rsid w:val="00D8597A"/>
    <w:rsid w:val="00D85A92"/>
    <w:rsid w:val="00D86848"/>
    <w:rsid w:val="00D86E50"/>
    <w:rsid w:val="00D86F9D"/>
    <w:rsid w:val="00D872B9"/>
    <w:rsid w:val="00D87AEF"/>
    <w:rsid w:val="00D87C5E"/>
    <w:rsid w:val="00D87DF2"/>
    <w:rsid w:val="00D87EA9"/>
    <w:rsid w:val="00D90128"/>
    <w:rsid w:val="00D959F8"/>
    <w:rsid w:val="00D963BB"/>
    <w:rsid w:val="00D969CE"/>
    <w:rsid w:val="00D97151"/>
    <w:rsid w:val="00D9746B"/>
    <w:rsid w:val="00DA146A"/>
    <w:rsid w:val="00DA2336"/>
    <w:rsid w:val="00DA26E9"/>
    <w:rsid w:val="00DA3D30"/>
    <w:rsid w:val="00DA3D58"/>
    <w:rsid w:val="00DA5699"/>
    <w:rsid w:val="00DA5F42"/>
    <w:rsid w:val="00DB06B3"/>
    <w:rsid w:val="00DB0F17"/>
    <w:rsid w:val="00DB2686"/>
    <w:rsid w:val="00DB29AC"/>
    <w:rsid w:val="00DB2FE7"/>
    <w:rsid w:val="00DB3CD2"/>
    <w:rsid w:val="00DB5380"/>
    <w:rsid w:val="00DB5ECD"/>
    <w:rsid w:val="00DB7422"/>
    <w:rsid w:val="00DC01F4"/>
    <w:rsid w:val="00DC0BAE"/>
    <w:rsid w:val="00DC0E12"/>
    <w:rsid w:val="00DC18C3"/>
    <w:rsid w:val="00DC19A4"/>
    <w:rsid w:val="00DC22D9"/>
    <w:rsid w:val="00DC35F9"/>
    <w:rsid w:val="00DC405F"/>
    <w:rsid w:val="00DC4857"/>
    <w:rsid w:val="00DC4A64"/>
    <w:rsid w:val="00DC4C0A"/>
    <w:rsid w:val="00DC5171"/>
    <w:rsid w:val="00DC5B9F"/>
    <w:rsid w:val="00DD0128"/>
    <w:rsid w:val="00DD10DF"/>
    <w:rsid w:val="00DD1135"/>
    <w:rsid w:val="00DD3776"/>
    <w:rsid w:val="00DD3D83"/>
    <w:rsid w:val="00DD58E4"/>
    <w:rsid w:val="00DD60CF"/>
    <w:rsid w:val="00DD632B"/>
    <w:rsid w:val="00DD6C83"/>
    <w:rsid w:val="00DD6E1F"/>
    <w:rsid w:val="00DD73D7"/>
    <w:rsid w:val="00DE0149"/>
    <w:rsid w:val="00DE03D5"/>
    <w:rsid w:val="00DE2675"/>
    <w:rsid w:val="00DE30D0"/>
    <w:rsid w:val="00DE4108"/>
    <w:rsid w:val="00DE4F0C"/>
    <w:rsid w:val="00DF04E8"/>
    <w:rsid w:val="00DF094D"/>
    <w:rsid w:val="00DF1AAA"/>
    <w:rsid w:val="00DF1D05"/>
    <w:rsid w:val="00DF3041"/>
    <w:rsid w:val="00DF33E3"/>
    <w:rsid w:val="00DF34C1"/>
    <w:rsid w:val="00DF3568"/>
    <w:rsid w:val="00DF3983"/>
    <w:rsid w:val="00DF4E64"/>
    <w:rsid w:val="00DF51FE"/>
    <w:rsid w:val="00DF5351"/>
    <w:rsid w:val="00DF5F3F"/>
    <w:rsid w:val="00DF6092"/>
    <w:rsid w:val="00E0477E"/>
    <w:rsid w:val="00E05523"/>
    <w:rsid w:val="00E05E25"/>
    <w:rsid w:val="00E07335"/>
    <w:rsid w:val="00E10A82"/>
    <w:rsid w:val="00E11094"/>
    <w:rsid w:val="00E11E1C"/>
    <w:rsid w:val="00E14ACE"/>
    <w:rsid w:val="00E15B3F"/>
    <w:rsid w:val="00E16F3A"/>
    <w:rsid w:val="00E2061F"/>
    <w:rsid w:val="00E206C0"/>
    <w:rsid w:val="00E218BC"/>
    <w:rsid w:val="00E21A9E"/>
    <w:rsid w:val="00E221A7"/>
    <w:rsid w:val="00E22527"/>
    <w:rsid w:val="00E22C12"/>
    <w:rsid w:val="00E239D3"/>
    <w:rsid w:val="00E23A48"/>
    <w:rsid w:val="00E245BA"/>
    <w:rsid w:val="00E24B4F"/>
    <w:rsid w:val="00E25A5D"/>
    <w:rsid w:val="00E25CE5"/>
    <w:rsid w:val="00E265F1"/>
    <w:rsid w:val="00E26853"/>
    <w:rsid w:val="00E26903"/>
    <w:rsid w:val="00E26E89"/>
    <w:rsid w:val="00E315A7"/>
    <w:rsid w:val="00E33031"/>
    <w:rsid w:val="00E3318F"/>
    <w:rsid w:val="00E342E2"/>
    <w:rsid w:val="00E36BDC"/>
    <w:rsid w:val="00E36CC3"/>
    <w:rsid w:val="00E40D66"/>
    <w:rsid w:val="00E41B64"/>
    <w:rsid w:val="00E41ED3"/>
    <w:rsid w:val="00E41FC1"/>
    <w:rsid w:val="00E420FE"/>
    <w:rsid w:val="00E444EB"/>
    <w:rsid w:val="00E45261"/>
    <w:rsid w:val="00E457BB"/>
    <w:rsid w:val="00E45F63"/>
    <w:rsid w:val="00E46469"/>
    <w:rsid w:val="00E46AE7"/>
    <w:rsid w:val="00E47986"/>
    <w:rsid w:val="00E47E36"/>
    <w:rsid w:val="00E502FE"/>
    <w:rsid w:val="00E50FBB"/>
    <w:rsid w:val="00E51197"/>
    <w:rsid w:val="00E5163D"/>
    <w:rsid w:val="00E51917"/>
    <w:rsid w:val="00E52CBC"/>
    <w:rsid w:val="00E53F05"/>
    <w:rsid w:val="00E53FD0"/>
    <w:rsid w:val="00E55230"/>
    <w:rsid w:val="00E56854"/>
    <w:rsid w:val="00E56A07"/>
    <w:rsid w:val="00E56C91"/>
    <w:rsid w:val="00E573DC"/>
    <w:rsid w:val="00E609D9"/>
    <w:rsid w:val="00E60C72"/>
    <w:rsid w:val="00E6155A"/>
    <w:rsid w:val="00E616C4"/>
    <w:rsid w:val="00E63405"/>
    <w:rsid w:val="00E63C85"/>
    <w:rsid w:val="00E641F0"/>
    <w:rsid w:val="00E64558"/>
    <w:rsid w:val="00E645E9"/>
    <w:rsid w:val="00E64906"/>
    <w:rsid w:val="00E66951"/>
    <w:rsid w:val="00E670FE"/>
    <w:rsid w:val="00E71B05"/>
    <w:rsid w:val="00E72A06"/>
    <w:rsid w:val="00E72B1C"/>
    <w:rsid w:val="00E73AFC"/>
    <w:rsid w:val="00E7421E"/>
    <w:rsid w:val="00E74B40"/>
    <w:rsid w:val="00E74DD8"/>
    <w:rsid w:val="00E765AE"/>
    <w:rsid w:val="00E768CD"/>
    <w:rsid w:val="00E76A61"/>
    <w:rsid w:val="00E81C1C"/>
    <w:rsid w:val="00E8228B"/>
    <w:rsid w:val="00E8403C"/>
    <w:rsid w:val="00E848F5"/>
    <w:rsid w:val="00E850DB"/>
    <w:rsid w:val="00E860BB"/>
    <w:rsid w:val="00E86D41"/>
    <w:rsid w:val="00E870DA"/>
    <w:rsid w:val="00E876B8"/>
    <w:rsid w:val="00E90E29"/>
    <w:rsid w:val="00E9233C"/>
    <w:rsid w:val="00E9283E"/>
    <w:rsid w:val="00E9302F"/>
    <w:rsid w:val="00E9318B"/>
    <w:rsid w:val="00E96ADA"/>
    <w:rsid w:val="00E96FFD"/>
    <w:rsid w:val="00E973C9"/>
    <w:rsid w:val="00E97FCD"/>
    <w:rsid w:val="00EA0543"/>
    <w:rsid w:val="00EA24E7"/>
    <w:rsid w:val="00EA3794"/>
    <w:rsid w:val="00EA55C0"/>
    <w:rsid w:val="00EA61B0"/>
    <w:rsid w:val="00EB0448"/>
    <w:rsid w:val="00EB1AB7"/>
    <w:rsid w:val="00EB1E6B"/>
    <w:rsid w:val="00EB2001"/>
    <w:rsid w:val="00EB2AC7"/>
    <w:rsid w:val="00EB3640"/>
    <w:rsid w:val="00EB48D8"/>
    <w:rsid w:val="00EB6C11"/>
    <w:rsid w:val="00EB7499"/>
    <w:rsid w:val="00EC13F2"/>
    <w:rsid w:val="00EC26F2"/>
    <w:rsid w:val="00EC2CDB"/>
    <w:rsid w:val="00EC3C97"/>
    <w:rsid w:val="00EC53AA"/>
    <w:rsid w:val="00EC6E15"/>
    <w:rsid w:val="00ED06CA"/>
    <w:rsid w:val="00ED189B"/>
    <w:rsid w:val="00ED2626"/>
    <w:rsid w:val="00ED3744"/>
    <w:rsid w:val="00ED4F67"/>
    <w:rsid w:val="00ED51CB"/>
    <w:rsid w:val="00ED5A7A"/>
    <w:rsid w:val="00ED63CB"/>
    <w:rsid w:val="00EE1A1E"/>
    <w:rsid w:val="00EE1A33"/>
    <w:rsid w:val="00EE292A"/>
    <w:rsid w:val="00EE2EAA"/>
    <w:rsid w:val="00EE4EAB"/>
    <w:rsid w:val="00EE54A6"/>
    <w:rsid w:val="00EE5549"/>
    <w:rsid w:val="00EE5FD3"/>
    <w:rsid w:val="00EE676C"/>
    <w:rsid w:val="00EE6FB8"/>
    <w:rsid w:val="00EF0650"/>
    <w:rsid w:val="00EF396C"/>
    <w:rsid w:val="00EF42C2"/>
    <w:rsid w:val="00EF5931"/>
    <w:rsid w:val="00EF6799"/>
    <w:rsid w:val="00EF6CEA"/>
    <w:rsid w:val="00F00089"/>
    <w:rsid w:val="00F00E45"/>
    <w:rsid w:val="00F01475"/>
    <w:rsid w:val="00F01E93"/>
    <w:rsid w:val="00F03C00"/>
    <w:rsid w:val="00F03F7F"/>
    <w:rsid w:val="00F0415C"/>
    <w:rsid w:val="00F05F93"/>
    <w:rsid w:val="00F07BAE"/>
    <w:rsid w:val="00F07C04"/>
    <w:rsid w:val="00F07E37"/>
    <w:rsid w:val="00F10B43"/>
    <w:rsid w:val="00F11758"/>
    <w:rsid w:val="00F117BE"/>
    <w:rsid w:val="00F122FD"/>
    <w:rsid w:val="00F12368"/>
    <w:rsid w:val="00F1346F"/>
    <w:rsid w:val="00F15A2F"/>
    <w:rsid w:val="00F17181"/>
    <w:rsid w:val="00F1764C"/>
    <w:rsid w:val="00F17FBA"/>
    <w:rsid w:val="00F20572"/>
    <w:rsid w:val="00F20F3D"/>
    <w:rsid w:val="00F216E4"/>
    <w:rsid w:val="00F21CE4"/>
    <w:rsid w:val="00F22107"/>
    <w:rsid w:val="00F24EB9"/>
    <w:rsid w:val="00F260BD"/>
    <w:rsid w:val="00F261CA"/>
    <w:rsid w:val="00F264E4"/>
    <w:rsid w:val="00F30F5A"/>
    <w:rsid w:val="00F310C3"/>
    <w:rsid w:val="00F31EEF"/>
    <w:rsid w:val="00F322F9"/>
    <w:rsid w:val="00F32937"/>
    <w:rsid w:val="00F331F4"/>
    <w:rsid w:val="00F33456"/>
    <w:rsid w:val="00F342FB"/>
    <w:rsid w:val="00F370D9"/>
    <w:rsid w:val="00F37716"/>
    <w:rsid w:val="00F42078"/>
    <w:rsid w:val="00F43049"/>
    <w:rsid w:val="00F43A53"/>
    <w:rsid w:val="00F43ACC"/>
    <w:rsid w:val="00F44BDB"/>
    <w:rsid w:val="00F4511E"/>
    <w:rsid w:val="00F45359"/>
    <w:rsid w:val="00F50171"/>
    <w:rsid w:val="00F51988"/>
    <w:rsid w:val="00F549E5"/>
    <w:rsid w:val="00F55A21"/>
    <w:rsid w:val="00F56F4B"/>
    <w:rsid w:val="00F5756B"/>
    <w:rsid w:val="00F577A7"/>
    <w:rsid w:val="00F61F92"/>
    <w:rsid w:val="00F6225E"/>
    <w:rsid w:val="00F63427"/>
    <w:rsid w:val="00F64F5E"/>
    <w:rsid w:val="00F6502E"/>
    <w:rsid w:val="00F6685C"/>
    <w:rsid w:val="00F701F3"/>
    <w:rsid w:val="00F707D1"/>
    <w:rsid w:val="00F70EF4"/>
    <w:rsid w:val="00F70FEB"/>
    <w:rsid w:val="00F71220"/>
    <w:rsid w:val="00F7122A"/>
    <w:rsid w:val="00F71A90"/>
    <w:rsid w:val="00F72480"/>
    <w:rsid w:val="00F7298D"/>
    <w:rsid w:val="00F72B19"/>
    <w:rsid w:val="00F73525"/>
    <w:rsid w:val="00F74AB0"/>
    <w:rsid w:val="00F8070A"/>
    <w:rsid w:val="00F80AE6"/>
    <w:rsid w:val="00F8173E"/>
    <w:rsid w:val="00F81C7B"/>
    <w:rsid w:val="00F82B4A"/>
    <w:rsid w:val="00F82E51"/>
    <w:rsid w:val="00F84F6A"/>
    <w:rsid w:val="00F85088"/>
    <w:rsid w:val="00F85FD5"/>
    <w:rsid w:val="00F86959"/>
    <w:rsid w:val="00F87BE7"/>
    <w:rsid w:val="00F91568"/>
    <w:rsid w:val="00F91BF3"/>
    <w:rsid w:val="00F921BE"/>
    <w:rsid w:val="00F930B3"/>
    <w:rsid w:val="00F940FD"/>
    <w:rsid w:val="00F95048"/>
    <w:rsid w:val="00F9570C"/>
    <w:rsid w:val="00F963E9"/>
    <w:rsid w:val="00F97DBD"/>
    <w:rsid w:val="00F97DFC"/>
    <w:rsid w:val="00FA0A68"/>
    <w:rsid w:val="00FA1F24"/>
    <w:rsid w:val="00FA259D"/>
    <w:rsid w:val="00FA4AEB"/>
    <w:rsid w:val="00FA5F04"/>
    <w:rsid w:val="00FA6205"/>
    <w:rsid w:val="00FA6486"/>
    <w:rsid w:val="00FA758A"/>
    <w:rsid w:val="00FA78C5"/>
    <w:rsid w:val="00FB030A"/>
    <w:rsid w:val="00FB0745"/>
    <w:rsid w:val="00FB0842"/>
    <w:rsid w:val="00FB0CE8"/>
    <w:rsid w:val="00FB0F7C"/>
    <w:rsid w:val="00FB1F47"/>
    <w:rsid w:val="00FB390F"/>
    <w:rsid w:val="00FB448B"/>
    <w:rsid w:val="00FB4D01"/>
    <w:rsid w:val="00FB5528"/>
    <w:rsid w:val="00FB6461"/>
    <w:rsid w:val="00FB6475"/>
    <w:rsid w:val="00FC01FA"/>
    <w:rsid w:val="00FC1A6D"/>
    <w:rsid w:val="00FC2CB7"/>
    <w:rsid w:val="00FC2EA6"/>
    <w:rsid w:val="00FC4E5B"/>
    <w:rsid w:val="00FC5118"/>
    <w:rsid w:val="00FC6168"/>
    <w:rsid w:val="00FD015C"/>
    <w:rsid w:val="00FD0620"/>
    <w:rsid w:val="00FD0EEF"/>
    <w:rsid w:val="00FD151D"/>
    <w:rsid w:val="00FD1FFE"/>
    <w:rsid w:val="00FD3DDE"/>
    <w:rsid w:val="00FD442A"/>
    <w:rsid w:val="00FD484F"/>
    <w:rsid w:val="00FD5470"/>
    <w:rsid w:val="00FD5DBC"/>
    <w:rsid w:val="00FD5E49"/>
    <w:rsid w:val="00FE0B5E"/>
    <w:rsid w:val="00FE6139"/>
    <w:rsid w:val="00FE617B"/>
    <w:rsid w:val="00FE663E"/>
    <w:rsid w:val="00FF3D1D"/>
    <w:rsid w:val="00FF4415"/>
    <w:rsid w:val="00FF48D7"/>
    <w:rsid w:val="00FF5985"/>
    <w:rsid w:val="00FF64AF"/>
    <w:rsid w:val="00FF6BBC"/>
    <w:rsid w:val="00FF6F50"/>
    <w:rsid w:val="014FBE0B"/>
    <w:rsid w:val="0161DD2D"/>
    <w:rsid w:val="01B54ADE"/>
    <w:rsid w:val="01DD0B42"/>
    <w:rsid w:val="02CE7042"/>
    <w:rsid w:val="077D740B"/>
    <w:rsid w:val="07C8EF83"/>
    <w:rsid w:val="081A794B"/>
    <w:rsid w:val="081E2102"/>
    <w:rsid w:val="09391505"/>
    <w:rsid w:val="09DCEC0F"/>
    <w:rsid w:val="0AD93206"/>
    <w:rsid w:val="0B777B26"/>
    <w:rsid w:val="0D4AF363"/>
    <w:rsid w:val="0E8A2189"/>
    <w:rsid w:val="0EEC2AA6"/>
    <w:rsid w:val="0FEE1104"/>
    <w:rsid w:val="10CEDCDF"/>
    <w:rsid w:val="11B50BA3"/>
    <w:rsid w:val="11D3A557"/>
    <w:rsid w:val="11F509E7"/>
    <w:rsid w:val="120AE931"/>
    <w:rsid w:val="12882D67"/>
    <w:rsid w:val="12BB6F3B"/>
    <w:rsid w:val="14125B21"/>
    <w:rsid w:val="15168DE2"/>
    <w:rsid w:val="15AF9750"/>
    <w:rsid w:val="160EC85A"/>
    <w:rsid w:val="16B08B82"/>
    <w:rsid w:val="18132708"/>
    <w:rsid w:val="18849553"/>
    <w:rsid w:val="18D3A2B6"/>
    <w:rsid w:val="1BD9DC87"/>
    <w:rsid w:val="1C95283A"/>
    <w:rsid w:val="1D88AF05"/>
    <w:rsid w:val="1DCBC385"/>
    <w:rsid w:val="1E937112"/>
    <w:rsid w:val="1ED1CE1D"/>
    <w:rsid w:val="1F365C97"/>
    <w:rsid w:val="1FC8EAA1"/>
    <w:rsid w:val="20539CA8"/>
    <w:rsid w:val="20A3C574"/>
    <w:rsid w:val="20F9494F"/>
    <w:rsid w:val="212FE7E3"/>
    <w:rsid w:val="214E0C0A"/>
    <w:rsid w:val="22032790"/>
    <w:rsid w:val="22D7EE0B"/>
    <w:rsid w:val="23F14846"/>
    <w:rsid w:val="23F168A8"/>
    <w:rsid w:val="25683F24"/>
    <w:rsid w:val="257D22B1"/>
    <w:rsid w:val="25F15442"/>
    <w:rsid w:val="26234226"/>
    <w:rsid w:val="2640F2DD"/>
    <w:rsid w:val="267374EE"/>
    <w:rsid w:val="269C498D"/>
    <w:rsid w:val="2780E2C3"/>
    <w:rsid w:val="2797D2E1"/>
    <w:rsid w:val="27B41CCA"/>
    <w:rsid w:val="2829FB01"/>
    <w:rsid w:val="28C22CEF"/>
    <w:rsid w:val="28CED89D"/>
    <w:rsid w:val="2A3F8384"/>
    <w:rsid w:val="2A63677D"/>
    <w:rsid w:val="2D263ADE"/>
    <w:rsid w:val="2E19DA30"/>
    <w:rsid w:val="2E4967A6"/>
    <w:rsid w:val="3044E7E9"/>
    <w:rsid w:val="30D49069"/>
    <w:rsid w:val="331A3AD7"/>
    <w:rsid w:val="33BEBE42"/>
    <w:rsid w:val="34F4F145"/>
    <w:rsid w:val="36B3194C"/>
    <w:rsid w:val="370DCBCD"/>
    <w:rsid w:val="371147AE"/>
    <w:rsid w:val="375BF76E"/>
    <w:rsid w:val="39121718"/>
    <w:rsid w:val="3968689A"/>
    <w:rsid w:val="3A2E5DCD"/>
    <w:rsid w:val="3A37BC02"/>
    <w:rsid w:val="3AFCB65D"/>
    <w:rsid w:val="3B135A9E"/>
    <w:rsid w:val="3B2473B3"/>
    <w:rsid w:val="3B40C991"/>
    <w:rsid w:val="3BAFF1CC"/>
    <w:rsid w:val="3D1A9490"/>
    <w:rsid w:val="3D7D425F"/>
    <w:rsid w:val="3DD7BB5D"/>
    <w:rsid w:val="401D8A4C"/>
    <w:rsid w:val="418F2F49"/>
    <w:rsid w:val="41CB8B1E"/>
    <w:rsid w:val="41FDEF83"/>
    <w:rsid w:val="4308B017"/>
    <w:rsid w:val="43748A78"/>
    <w:rsid w:val="43B28B41"/>
    <w:rsid w:val="44757F90"/>
    <w:rsid w:val="45055AC4"/>
    <w:rsid w:val="45F025AA"/>
    <w:rsid w:val="469B60C1"/>
    <w:rsid w:val="49341B2D"/>
    <w:rsid w:val="495405B8"/>
    <w:rsid w:val="49A1C103"/>
    <w:rsid w:val="49E21CB7"/>
    <w:rsid w:val="4A5694E9"/>
    <w:rsid w:val="4AE8652A"/>
    <w:rsid w:val="4BEB8EF3"/>
    <w:rsid w:val="4C653A3D"/>
    <w:rsid w:val="4C7F6AC9"/>
    <w:rsid w:val="4D29103D"/>
    <w:rsid w:val="4ED3A4B1"/>
    <w:rsid w:val="4FD6B4C4"/>
    <w:rsid w:val="501F57C3"/>
    <w:rsid w:val="52539A01"/>
    <w:rsid w:val="530556AA"/>
    <w:rsid w:val="549CD284"/>
    <w:rsid w:val="5504EEC2"/>
    <w:rsid w:val="5537EB3C"/>
    <w:rsid w:val="558DAD55"/>
    <w:rsid w:val="569FDA66"/>
    <w:rsid w:val="573EB80F"/>
    <w:rsid w:val="57B9DAAA"/>
    <w:rsid w:val="58F02EC6"/>
    <w:rsid w:val="59147957"/>
    <w:rsid w:val="5A10B8FD"/>
    <w:rsid w:val="5B26572D"/>
    <w:rsid w:val="5CAD49B5"/>
    <w:rsid w:val="5D059ED5"/>
    <w:rsid w:val="5D307582"/>
    <w:rsid w:val="5DAF5672"/>
    <w:rsid w:val="5E10569E"/>
    <w:rsid w:val="5E4EF569"/>
    <w:rsid w:val="5EC4C414"/>
    <w:rsid w:val="5FF5063C"/>
    <w:rsid w:val="60BFB31F"/>
    <w:rsid w:val="60FD5B07"/>
    <w:rsid w:val="61B5EC73"/>
    <w:rsid w:val="62788BCE"/>
    <w:rsid w:val="63991C98"/>
    <w:rsid w:val="63B45807"/>
    <w:rsid w:val="6468A3D7"/>
    <w:rsid w:val="666BE6F0"/>
    <w:rsid w:val="66752166"/>
    <w:rsid w:val="67100179"/>
    <w:rsid w:val="67D80814"/>
    <w:rsid w:val="687F3B57"/>
    <w:rsid w:val="696944A4"/>
    <w:rsid w:val="69AC645A"/>
    <w:rsid w:val="6D5849EC"/>
    <w:rsid w:val="6D613A69"/>
    <w:rsid w:val="6D6CE58C"/>
    <w:rsid w:val="6DA39535"/>
    <w:rsid w:val="6E951F9C"/>
    <w:rsid w:val="6EB75CE4"/>
    <w:rsid w:val="6F50BAE9"/>
    <w:rsid w:val="6FA5A2F5"/>
    <w:rsid w:val="6FAFC371"/>
    <w:rsid w:val="6FEB27DC"/>
    <w:rsid w:val="70B672D3"/>
    <w:rsid w:val="70F33C3F"/>
    <w:rsid w:val="70F9253C"/>
    <w:rsid w:val="716E54CF"/>
    <w:rsid w:val="71DF2726"/>
    <w:rsid w:val="71EA3FA4"/>
    <w:rsid w:val="753AB752"/>
    <w:rsid w:val="762A5F29"/>
    <w:rsid w:val="76D0F699"/>
    <w:rsid w:val="783243F4"/>
    <w:rsid w:val="78BF765C"/>
    <w:rsid w:val="78F2065C"/>
    <w:rsid w:val="7AB915A8"/>
    <w:rsid w:val="7AD64420"/>
    <w:rsid w:val="7AE3DCD7"/>
    <w:rsid w:val="7AE9E5D2"/>
    <w:rsid w:val="7AF41245"/>
    <w:rsid w:val="7B323522"/>
    <w:rsid w:val="7DE38483"/>
    <w:rsid w:val="7E15EBB6"/>
    <w:rsid w:val="7F286A40"/>
    <w:rsid w:val="7F4B1979"/>
    <w:rsid w:val="7FB93F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3F3F"/>
  <w15:chartTrackingRefBased/>
  <w15:docId w15:val="{6FC751B9-2B42-42BC-BFCF-D6165E73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heme="minorBidi"/>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A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A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E5A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E5A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5A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5A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5A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A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A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5A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5A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5A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5A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5A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5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A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A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5A17"/>
    <w:pPr>
      <w:spacing w:before="160"/>
      <w:jc w:val="center"/>
    </w:pPr>
    <w:rPr>
      <w:i/>
      <w:iCs/>
      <w:color w:val="404040" w:themeColor="text1" w:themeTint="BF"/>
    </w:rPr>
  </w:style>
  <w:style w:type="character" w:customStyle="1" w:styleId="QuoteChar">
    <w:name w:val="Quote Char"/>
    <w:basedOn w:val="DefaultParagraphFont"/>
    <w:link w:val="Quote"/>
    <w:uiPriority w:val="29"/>
    <w:rsid w:val="00CE5A17"/>
    <w:rPr>
      <w:i/>
      <w:iCs/>
      <w:color w:val="404040" w:themeColor="text1" w:themeTint="BF"/>
    </w:rPr>
  </w:style>
  <w:style w:type="paragraph" w:styleId="ListParagraph">
    <w:name w:val="List Paragraph"/>
    <w:basedOn w:val="Normal"/>
    <w:uiPriority w:val="34"/>
    <w:qFormat/>
    <w:rsid w:val="00CE5A17"/>
    <w:pPr>
      <w:ind w:left="720"/>
      <w:contextualSpacing/>
    </w:pPr>
  </w:style>
  <w:style w:type="character" w:styleId="IntenseEmphasis">
    <w:name w:val="Intense Emphasis"/>
    <w:basedOn w:val="DefaultParagraphFont"/>
    <w:uiPriority w:val="21"/>
    <w:qFormat/>
    <w:rsid w:val="00CE5A17"/>
    <w:rPr>
      <w:i/>
      <w:iCs/>
      <w:color w:val="0F4761" w:themeColor="accent1" w:themeShade="BF"/>
    </w:rPr>
  </w:style>
  <w:style w:type="paragraph" w:styleId="IntenseQuote">
    <w:name w:val="Intense Quote"/>
    <w:basedOn w:val="Normal"/>
    <w:next w:val="Normal"/>
    <w:link w:val="IntenseQuoteChar"/>
    <w:uiPriority w:val="30"/>
    <w:qFormat/>
    <w:rsid w:val="00CE5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A17"/>
    <w:rPr>
      <w:i/>
      <w:iCs/>
      <w:color w:val="0F4761" w:themeColor="accent1" w:themeShade="BF"/>
    </w:rPr>
  </w:style>
  <w:style w:type="character" w:styleId="IntenseReference">
    <w:name w:val="Intense Reference"/>
    <w:basedOn w:val="DefaultParagraphFont"/>
    <w:uiPriority w:val="32"/>
    <w:qFormat/>
    <w:rsid w:val="00CE5A17"/>
    <w:rPr>
      <w:b/>
      <w:bCs/>
      <w:smallCaps/>
      <w:color w:val="0F4761" w:themeColor="accent1" w:themeShade="BF"/>
      <w:spacing w:val="5"/>
    </w:rPr>
  </w:style>
  <w:style w:type="character" w:styleId="CommentReference">
    <w:name w:val="annotation reference"/>
    <w:basedOn w:val="DefaultParagraphFont"/>
    <w:uiPriority w:val="99"/>
    <w:semiHidden/>
    <w:unhideWhenUsed/>
    <w:rsid w:val="00A33D0E"/>
    <w:rPr>
      <w:sz w:val="16"/>
      <w:szCs w:val="16"/>
    </w:rPr>
  </w:style>
  <w:style w:type="paragraph" w:styleId="CommentText">
    <w:name w:val="annotation text"/>
    <w:basedOn w:val="Normal"/>
    <w:link w:val="CommentTextChar"/>
    <w:uiPriority w:val="99"/>
    <w:unhideWhenUsed/>
    <w:rsid w:val="00A33D0E"/>
    <w:pPr>
      <w:spacing w:line="240" w:lineRule="auto"/>
    </w:pPr>
    <w:rPr>
      <w:sz w:val="20"/>
      <w:szCs w:val="20"/>
    </w:rPr>
  </w:style>
  <w:style w:type="character" w:customStyle="1" w:styleId="CommentTextChar">
    <w:name w:val="Comment Text Char"/>
    <w:basedOn w:val="DefaultParagraphFont"/>
    <w:link w:val="CommentText"/>
    <w:uiPriority w:val="99"/>
    <w:rsid w:val="00A33D0E"/>
    <w:rPr>
      <w:sz w:val="20"/>
      <w:szCs w:val="20"/>
    </w:rPr>
  </w:style>
  <w:style w:type="paragraph" w:styleId="CommentSubject">
    <w:name w:val="annotation subject"/>
    <w:basedOn w:val="CommentText"/>
    <w:next w:val="CommentText"/>
    <w:link w:val="CommentSubjectChar"/>
    <w:uiPriority w:val="99"/>
    <w:semiHidden/>
    <w:unhideWhenUsed/>
    <w:rsid w:val="00A33D0E"/>
    <w:rPr>
      <w:b/>
      <w:bCs/>
    </w:rPr>
  </w:style>
  <w:style w:type="character" w:customStyle="1" w:styleId="CommentSubjectChar">
    <w:name w:val="Comment Subject Char"/>
    <w:basedOn w:val="CommentTextChar"/>
    <w:link w:val="CommentSubject"/>
    <w:uiPriority w:val="99"/>
    <w:semiHidden/>
    <w:rsid w:val="00A33D0E"/>
    <w:rPr>
      <w:b/>
      <w:bCs/>
      <w:sz w:val="20"/>
      <w:szCs w:val="20"/>
    </w:rPr>
  </w:style>
  <w:style w:type="character" w:styleId="Hyperlink">
    <w:name w:val="Hyperlink"/>
    <w:basedOn w:val="DefaultParagraphFont"/>
    <w:uiPriority w:val="99"/>
    <w:unhideWhenUsed/>
    <w:rsid w:val="002061AC"/>
    <w:rPr>
      <w:color w:val="467886" w:themeColor="hyperlink"/>
      <w:u w:val="single"/>
    </w:rPr>
  </w:style>
  <w:style w:type="character" w:styleId="UnresolvedMention">
    <w:name w:val="Unresolved Mention"/>
    <w:basedOn w:val="DefaultParagraphFont"/>
    <w:uiPriority w:val="99"/>
    <w:semiHidden/>
    <w:unhideWhenUsed/>
    <w:rsid w:val="002061AC"/>
    <w:rPr>
      <w:color w:val="605E5C"/>
      <w:shd w:val="clear" w:color="auto" w:fill="E1DFDD"/>
    </w:rPr>
  </w:style>
  <w:style w:type="paragraph" w:styleId="Header">
    <w:name w:val="header"/>
    <w:basedOn w:val="Normal"/>
    <w:link w:val="HeaderChar"/>
    <w:uiPriority w:val="99"/>
    <w:unhideWhenUsed/>
    <w:rsid w:val="00857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674"/>
  </w:style>
  <w:style w:type="paragraph" w:styleId="Footer">
    <w:name w:val="footer"/>
    <w:basedOn w:val="Normal"/>
    <w:link w:val="FooterChar"/>
    <w:uiPriority w:val="99"/>
    <w:unhideWhenUsed/>
    <w:rsid w:val="00857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674"/>
  </w:style>
  <w:style w:type="table" w:styleId="TableGrid">
    <w:name w:val="Table Grid"/>
    <w:basedOn w:val="TableNormal"/>
    <w:uiPriority w:val="39"/>
    <w:rsid w:val="001953DF"/>
    <w:pPr>
      <w:spacing w:after="0" w:line="240" w:lineRule="auto"/>
    </w:pPr>
    <w:tblPr/>
  </w:style>
  <w:style w:type="character" w:styleId="Mention">
    <w:name w:val="Mention"/>
    <w:basedOn w:val="DefaultParagraphFont"/>
    <w:uiPriority w:val="99"/>
    <w:unhideWhenUsed/>
    <w:rsid w:val="00935976"/>
    <w:rPr>
      <w:color w:val="2B579A"/>
      <w:shd w:val="clear" w:color="auto" w:fill="E1DFDD"/>
    </w:rPr>
  </w:style>
  <w:style w:type="paragraph" w:styleId="Revision">
    <w:name w:val="Revision"/>
    <w:hidden/>
    <w:uiPriority w:val="99"/>
    <w:semiHidden/>
    <w:rsid w:val="00093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93">
      <w:bodyDiv w:val="1"/>
      <w:marLeft w:val="0"/>
      <w:marRight w:val="0"/>
      <w:marTop w:val="0"/>
      <w:marBottom w:val="0"/>
      <w:divBdr>
        <w:top w:val="none" w:sz="0" w:space="0" w:color="auto"/>
        <w:left w:val="none" w:sz="0" w:space="0" w:color="auto"/>
        <w:bottom w:val="none" w:sz="0" w:space="0" w:color="auto"/>
        <w:right w:val="none" w:sz="0" w:space="0" w:color="auto"/>
      </w:divBdr>
    </w:div>
    <w:div w:id="72824201">
      <w:bodyDiv w:val="1"/>
      <w:marLeft w:val="0"/>
      <w:marRight w:val="0"/>
      <w:marTop w:val="0"/>
      <w:marBottom w:val="0"/>
      <w:divBdr>
        <w:top w:val="none" w:sz="0" w:space="0" w:color="auto"/>
        <w:left w:val="none" w:sz="0" w:space="0" w:color="auto"/>
        <w:bottom w:val="none" w:sz="0" w:space="0" w:color="auto"/>
        <w:right w:val="none" w:sz="0" w:space="0" w:color="auto"/>
      </w:divBdr>
    </w:div>
    <w:div w:id="73860774">
      <w:bodyDiv w:val="1"/>
      <w:marLeft w:val="0"/>
      <w:marRight w:val="0"/>
      <w:marTop w:val="0"/>
      <w:marBottom w:val="0"/>
      <w:divBdr>
        <w:top w:val="none" w:sz="0" w:space="0" w:color="auto"/>
        <w:left w:val="none" w:sz="0" w:space="0" w:color="auto"/>
        <w:bottom w:val="none" w:sz="0" w:space="0" w:color="auto"/>
        <w:right w:val="none" w:sz="0" w:space="0" w:color="auto"/>
      </w:divBdr>
    </w:div>
    <w:div w:id="78068044">
      <w:bodyDiv w:val="1"/>
      <w:marLeft w:val="0"/>
      <w:marRight w:val="0"/>
      <w:marTop w:val="0"/>
      <w:marBottom w:val="0"/>
      <w:divBdr>
        <w:top w:val="none" w:sz="0" w:space="0" w:color="auto"/>
        <w:left w:val="none" w:sz="0" w:space="0" w:color="auto"/>
        <w:bottom w:val="none" w:sz="0" w:space="0" w:color="auto"/>
        <w:right w:val="none" w:sz="0" w:space="0" w:color="auto"/>
      </w:divBdr>
    </w:div>
    <w:div w:id="114839473">
      <w:bodyDiv w:val="1"/>
      <w:marLeft w:val="0"/>
      <w:marRight w:val="0"/>
      <w:marTop w:val="0"/>
      <w:marBottom w:val="0"/>
      <w:divBdr>
        <w:top w:val="none" w:sz="0" w:space="0" w:color="auto"/>
        <w:left w:val="none" w:sz="0" w:space="0" w:color="auto"/>
        <w:bottom w:val="none" w:sz="0" w:space="0" w:color="auto"/>
        <w:right w:val="none" w:sz="0" w:space="0" w:color="auto"/>
      </w:divBdr>
    </w:div>
    <w:div w:id="117191374">
      <w:bodyDiv w:val="1"/>
      <w:marLeft w:val="0"/>
      <w:marRight w:val="0"/>
      <w:marTop w:val="0"/>
      <w:marBottom w:val="0"/>
      <w:divBdr>
        <w:top w:val="none" w:sz="0" w:space="0" w:color="auto"/>
        <w:left w:val="none" w:sz="0" w:space="0" w:color="auto"/>
        <w:bottom w:val="none" w:sz="0" w:space="0" w:color="auto"/>
        <w:right w:val="none" w:sz="0" w:space="0" w:color="auto"/>
      </w:divBdr>
    </w:div>
    <w:div w:id="210190969">
      <w:bodyDiv w:val="1"/>
      <w:marLeft w:val="0"/>
      <w:marRight w:val="0"/>
      <w:marTop w:val="0"/>
      <w:marBottom w:val="0"/>
      <w:divBdr>
        <w:top w:val="none" w:sz="0" w:space="0" w:color="auto"/>
        <w:left w:val="none" w:sz="0" w:space="0" w:color="auto"/>
        <w:bottom w:val="none" w:sz="0" w:space="0" w:color="auto"/>
        <w:right w:val="none" w:sz="0" w:space="0" w:color="auto"/>
      </w:divBdr>
    </w:div>
    <w:div w:id="221868800">
      <w:bodyDiv w:val="1"/>
      <w:marLeft w:val="0"/>
      <w:marRight w:val="0"/>
      <w:marTop w:val="0"/>
      <w:marBottom w:val="0"/>
      <w:divBdr>
        <w:top w:val="none" w:sz="0" w:space="0" w:color="auto"/>
        <w:left w:val="none" w:sz="0" w:space="0" w:color="auto"/>
        <w:bottom w:val="none" w:sz="0" w:space="0" w:color="auto"/>
        <w:right w:val="none" w:sz="0" w:space="0" w:color="auto"/>
      </w:divBdr>
    </w:div>
    <w:div w:id="236286494">
      <w:bodyDiv w:val="1"/>
      <w:marLeft w:val="0"/>
      <w:marRight w:val="0"/>
      <w:marTop w:val="0"/>
      <w:marBottom w:val="0"/>
      <w:divBdr>
        <w:top w:val="none" w:sz="0" w:space="0" w:color="auto"/>
        <w:left w:val="none" w:sz="0" w:space="0" w:color="auto"/>
        <w:bottom w:val="none" w:sz="0" w:space="0" w:color="auto"/>
        <w:right w:val="none" w:sz="0" w:space="0" w:color="auto"/>
      </w:divBdr>
    </w:div>
    <w:div w:id="249655803">
      <w:bodyDiv w:val="1"/>
      <w:marLeft w:val="0"/>
      <w:marRight w:val="0"/>
      <w:marTop w:val="0"/>
      <w:marBottom w:val="0"/>
      <w:divBdr>
        <w:top w:val="none" w:sz="0" w:space="0" w:color="auto"/>
        <w:left w:val="none" w:sz="0" w:space="0" w:color="auto"/>
        <w:bottom w:val="none" w:sz="0" w:space="0" w:color="auto"/>
        <w:right w:val="none" w:sz="0" w:space="0" w:color="auto"/>
      </w:divBdr>
    </w:div>
    <w:div w:id="259333203">
      <w:bodyDiv w:val="1"/>
      <w:marLeft w:val="0"/>
      <w:marRight w:val="0"/>
      <w:marTop w:val="0"/>
      <w:marBottom w:val="0"/>
      <w:divBdr>
        <w:top w:val="none" w:sz="0" w:space="0" w:color="auto"/>
        <w:left w:val="none" w:sz="0" w:space="0" w:color="auto"/>
        <w:bottom w:val="none" w:sz="0" w:space="0" w:color="auto"/>
        <w:right w:val="none" w:sz="0" w:space="0" w:color="auto"/>
      </w:divBdr>
    </w:div>
    <w:div w:id="268782441">
      <w:bodyDiv w:val="1"/>
      <w:marLeft w:val="0"/>
      <w:marRight w:val="0"/>
      <w:marTop w:val="0"/>
      <w:marBottom w:val="0"/>
      <w:divBdr>
        <w:top w:val="none" w:sz="0" w:space="0" w:color="auto"/>
        <w:left w:val="none" w:sz="0" w:space="0" w:color="auto"/>
        <w:bottom w:val="none" w:sz="0" w:space="0" w:color="auto"/>
        <w:right w:val="none" w:sz="0" w:space="0" w:color="auto"/>
      </w:divBdr>
    </w:div>
    <w:div w:id="283268214">
      <w:bodyDiv w:val="1"/>
      <w:marLeft w:val="0"/>
      <w:marRight w:val="0"/>
      <w:marTop w:val="0"/>
      <w:marBottom w:val="0"/>
      <w:divBdr>
        <w:top w:val="none" w:sz="0" w:space="0" w:color="auto"/>
        <w:left w:val="none" w:sz="0" w:space="0" w:color="auto"/>
        <w:bottom w:val="none" w:sz="0" w:space="0" w:color="auto"/>
        <w:right w:val="none" w:sz="0" w:space="0" w:color="auto"/>
      </w:divBdr>
    </w:div>
    <w:div w:id="293799453">
      <w:bodyDiv w:val="1"/>
      <w:marLeft w:val="0"/>
      <w:marRight w:val="0"/>
      <w:marTop w:val="0"/>
      <w:marBottom w:val="0"/>
      <w:divBdr>
        <w:top w:val="none" w:sz="0" w:space="0" w:color="auto"/>
        <w:left w:val="none" w:sz="0" w:space="0" w:color="auto"/>
        <w:bottom w:val="none" w:sz="0" w:space="0" w:color="auto"/>
        <w:right w:val="none" w:sz="0" w:space="0" w:color="auto"/>
      </w:divBdr>
    </w:div>
    <w:div w:id="300354673">
      <w:bodyDiv w:val="1"/>
      <w:marLeft w:val="0"/>
      <w:marRight w:val="0"/>
      <w:marTop w:val="0"/>
      <w:marBottom w:val="0"/>
      <w:divBdr>
        <w:top w:val="none" w:sz="0" w:space="0" w:color="auto"/>
        <w:left w:val="none" w:sz="0" w:space="0" w:color="auto"/>
        <w:bottom w:val="none" w:sz="0" w:space="0" w:color="auto"/>
        <w:right w:val="none" w:sz="0" w:space="0" w:color="auto"/>
      </w:divBdr>
    </w:div>
    <w:div w:id="315840238">
      <w:bodyDiv w:val="1"/>
      <w:marLeft w:val="0"/>
      <w:marRight w:val="0"/>
      <w:marTop w:val="0"/>
      <w:marBottom w:val="0"/>
      <w:divBdr>
        <w:top w:val="none" w:sz="0" w:space="0" w:color="auto"/>
        <w:left w:val="none" w:sz="0" w:space="0" w:color="auto"/>
        <w:bottom w:val="none" w:sz="0" w:space="0" w:color="auto"/>
        <w:right w:val="none" w:sz="0" w:space="0" w:color="auto"/>
      </w:divBdr>
    </w:div>
    <w:div w:id="316421624">
      <w:bodyDiv w:val="1"/>
      <w:marLeft w:val="0"/>
      <w:marRight w:val="0"/>
      <w:marTop w:val="0"/>
      <w:marBottom w:val="0"/>
      <w:divBdr>
        <w:top w:val="none" w:sz="0" w:space="0" w:color="auto"/>
        <w:left w:val="none" w:sz="0" w:space="0" w:color="auto"/>
        <w:bottom w:val="none" w:sz="0" w:space="0" w:color="auto"/>
        <w:right w:val="none" w:sz="0" w:space="0" w:color="auto"/>
      </w:divBdr>
    </w:div>
    <w:div w:id="320351277">
      <w:bodyDiv w:val="1"/>
      <w:marLeft w:val="0"/>
      <w:marRight w:val="0"/>
      <w:marTop w:val="0"/>
      <w:marBottom w:val="0"/>
      <w:divBdr>
        <w:top w:val="none" w:sz="0" w:space="0" w:color="auto"/>
        <w:left w:val="none" w:sz="0" w:space="0" w:color="auto"/>
        <w:bottom w:val="none" w:sz="0" w:space="0" w:color="auto"/>
        <w:right w:val="none" w:sz="0" w:space="0" w:color="auto"/>
      </w:divBdr>
    </w:div>
    <w:div w:id="402413462">
      <w:bodyDiv w:val="1"/>
      <w:marLeft w:val="0"/>
      <w:marRight w:val="0"/>
      <w:marTop w:val="0"/>
      <w:marBottom w:val="0"/>
      <w:divBdr>
        <w:top w:val="none" w:sz="0" w:space="0" w:color="auto"/>
        <w:left w:val="none" w:sz="0" w:space="0" w:color="auto"/>
        <w:bottom w:val="none" w:sz="0" w:space="0" w:color="auto"/>
        <w:right w:val="none" w:sz="0" w:space="0" w:color="auto"/>
      </w:divBdr>
    </w:div>
    <w:div w:id="404422801">
      <w:bodyDiv w:val="1"/>
      <w:marLeft w:val="0"/>
      <w:marRight w:val="0"/>
      <w:marTop w:val="0"/>
      <w:marBottom w:val="0"/>
      <w:divBdr>
        <w:top w:val="none" w:sz="0" w:space="0" w:color="auto"/>
        <w:left w:val="none" w:sz="0" w:space="0" w:color="auto"/>
        <w:bottom w:val="none" w:sz="0" w:space="0" w:color="auto"/>
        <w:right w:val="none" w:sz="0" w:space="0" w:color="auto"/>
      </w:divBdr>
    </w:div>
    <w:div w:id="467747404">
      <w:bodyDiv w:val="1"/>
      <w:marLeft w:val="0"/>
      <w:marRight w:val="0"/>
      <w:marTop w:val="0"/>
      <w:marBottom w:val="0"/>
      <w:divBdr>
        <w:top w:val="none" w:sz="0" w:space="0" w:color="auto"/>
        <w:left w:val="none" w:sz="0" w:space="0" w:color="auto"/>
        <w:bottom w:val="none" w:sz="0" w:space="0" w:color="auto"/>
        <w:right w:val="none" w:sz="0" w:space="0" w:color="auto"/>
      </w:divBdr>
    </w:div>
    <w:div w:id="551884942">
      <w:bodyDiv w:val="1"/>
      <w:marLeft w:val="0"/>
      <w:marRight w:val="0"/>
      <w:marTop w:val="0"/>
      <w:marBottom w:val="0"/>
      <w:divBdr>
        <w:top w:val="none" w:sz="0" w:space="0" w:color="auto"/>
        <w:left w:val="none" w:sz="0" w:space="0" w:color="auto"/>
        <w:bottom w:val="none" w:sz="0" w:space="0" w:color="auto"/>
        <w:right w:val="none" w:sz="0" w:space="0" w:color="auto"/>
      </w:divBdr>
    </w:div>
    <w:div w:id="570695715">
      <w:bodyDiv w:val="1"/>
      <w:marLeft w:val="0"/>
      <w:marRight w:val="0"/>
      <w:marTop w:val="0"/>
      <w:marBottom w:val="0"/>
      <w:divBdr>
        <w:top w:val="none" w:sz="0" w:space="0" w:color="auto"/>
        <w:left w:val="none" w:sz="0" w:space="0" w:color="auto"/>
        <w:bottom w:val="none" w:sz="0" w:space="0" w:color="auto"/>
        <w:right w:val="none" w:sz="0" w:space="0" w:color="auto"/>
      </w:divBdr>
    </w:div>
    <w:div w:id="571813051">
      <w:bodyDiv w:val="1"/>
      <w:marLeft w:val="0"/>
      <w:marRight w:val="0"/>
      <w:marTop w:val="0"/>
      <w:marBottom w:val="0"/>
      <w:divBdr>
        <w:top w:val="none" w:sz="0" w:space="0" w:color="auto"/>
        <w:left w:val="none" w:sz="0" w:space="0" w:color="auto"/>
        <w:bottom w:val="none" w:sz="0" w:space="0" w:color="auto"/>
        <w:right w:val="none" w:sz="0" w:space="0" w:color="auto"/>
      </w:divBdr>
    </w:div>
    <w:div w:id="595409684">
      <w:bodyDiv w:val="1"/>
      <w:marLeft w:val="0"/>
      <w:marRight w:val="0"/>
      <w:marTop w:val="0"/>
      <w:marBottom w:val="0"/>
      <w:divBdr>
        <w:top w:val="none" w:sz="0" w:space="0" w:color="auto"/>
        <w:left w:val="none" w:sz="0" w:space="0" w:color="auto"/>
        <w:bottom w:val="none" w:sz="0" w:space="0" w:color="auto"/>
        <w:right w:val="none" w:sz="0" w:space="0" w:color="auto"/>
      </w:divBdr>
    </w:div>
    <w:div w:id="682172668">
      <w:bodyDiv w:val="1"/>
      <w:marLeft w:val="0"/>
      <w:marRight w:val="0"/>
      <w:marTop w:val="0"/>
      <w:marBottom w:val="0"/>
      <w:divBdr>
        <w:top w:val="none" w:sz="0" w:space="0" w:color="auto"/>
        <w:left w:val="none" w:sz="0" w:space="0" w:color="auto"/>
        <w:bottom w:val="none" w:sz="0" w:space="0" w:color="auto"/>
        <w:right w:val="none" w:sz="0" w:space="0" w:color="auto"/>
      </w:divBdr>
    </w:div>
    <w:div w:id="692536231">
      <w:bodyDiv w:val="1"/>
      <w:marLeft w:val="0"/>
      <w:marRight w:val="0"/>
      <w:marTop w:val="0"/>
      <w:marBottom w:val="0"/>
      <w:divBdr>
        <w:top w:val="none" w:sz="0" w:space="0" w:color="auto"/>
        <w:left w:val="none" w:sz="0" w:space="0" w:color="auto"/>
        <w:bottom w:val="none" w:sz="0" w:space="0" w:color="auto"/>
        <w:right w:val="none" w:sz="0" w:space="0" w:color="auto"/>
      </w:divBdr>
    </w:div>
    <w:div w:id="693190128">
      <w:bodyDiv w:val="1"/>
      <w:marLeft w:val="0"/>
      <w:marRight w:val="0"/>
      <w:marTop w:val="0"/>
      <w:marBottom w:val="0"/>
      <w:divBdr>
        <w:top w:val="none" w:sz="0" w:space="0" w:color="auto"/>
        <w:left w:val="none" w:sz="0" w:space="0" w:color="auto"/>
        <w:bottom w:val="none" w:sz="0" w:space="0" w:color="auto"/>
        <w:right w:val="none" w:sz="0" w:space="0" w:color="auto"/>
      </w:divBdr>
    </w:div>
    <w:div w:id="694966284">
      <w:bodyDiv w:val="1"/>
      <w:marLeft w:val="0"/>
      <w:marRight w:val="0"/>
      <w:marTop w:val="0"/>
      <w:marBottom w:val="0"/>
      <w:divBdr>
        <w:top w:val="none" w:sz="0" w:space="0" w:color="auto"/>
        <w:left w:val="none" w:sz="0" w:space="0" w:color="auto"/>
        <w:bottom w:val="none" w:sz="0" w:space="0" w:color="auto"/>
        <w:right w:val="none" w:sz="0" w:space="0" w:color="auto"/>
      </w:divBdr>
    </w:div>
    <w:div w:id="719673116">
      <w:bodyDiv w:val="1"/>
      <w:marLeft w:val="0"/>
      <w:marRight w:val="0"/>
      <w:marTop w:val="0"/>
      <w:marBottom w:val="0"/>
      <w:divBdr>
        <w:top w:val="none" w:sz="0" w:space="0" w:color="auto"/>
        <w:left w:val="none" w:sz="0" w:space="0" w:color="auto"/>
        <w:bottom w:val="none" w:sz="0" w:space="0" w:color="auto"/>
        <w:right w:val="none" w:sz="0" w:space="0" w:color="auto"/>
      </w:divBdr>
    </w:div>
    <w:div w:id="739985795">
      <w:bodyDiv w:val="1"/>
      <w:marLeft w:val="0"/>
      <w:marRight w:val="0"/>
      <w:marTop w:val="0"/>
      <w:marBottom w:val="0"/>
      <w:divBdr>
        <w:top w:val="none" w:sz="0" w:space="0" w:color="auto"/>
        <w:left w:val="none" w:sz="0" w:space="0" w:color="auto"/>
        <w:bottom w:val="none" w:sz="0" w:space="0" w:color="auto"/>
        <w:right w:val="none" w:sz="0" w:space="0" w:color="auto"/>
      </w:divBdr>
    </w:div>
    <w:div w:id="740367514">
      <w:bodyDiv w:val="1"/>
      <w:marLeft w:val="0"/>
      <w:marRight w:val="0"/>
      <w:marTop w:val="0"/>
      <w:marBottom w:val="0"/>
      <w:divBdr>
        <w:top w:val="none" w:sz="0" w:space="0" w:color="auto"/>
        <w:left w:val="none" w:sz="0" w:space="0" w:color="auto"/>
        <w:bottom w:val="none" w:sz="0" w:space="0" w:color="auto"/>
        <w:right w:val="none" w:sz="0" w:space="0" w:color="auto"/>
      </w:divBdr>
    </w:div>
    <w:div w:id="746614649">
      <w:bodyDiv w:val="1"/>
      <w:marLeft w:val="0"/>
      <w:marRight w:val="0"/>
      <w:marTop w:val="0"/>
      <w:marBottom w:val="0"/>
      <w:divBdr>
        <w:top w:val="none" w:sz="0" w:space="0" w:color="auto"/>
        <w:left w:val="none" w:sz="0" w:space="0" w:color="auto"/>
        <w:bottom w:val="none" w:sz="0" w:space="0" w:color="auto"/>
        <w:right w:val="none" w:sz="0" w:space="0" w:color="auto"/>
      </w:divBdr>
    </w:div>
    <w:div w:id="748816400">
      <w:bodyDiv w:val="1"/>
      <w:marLeft w:val="0"/>
      <w:marRight w:val="0"/>
      <w:marTop w:val="0"/>
      <w:marBottom w:val="0"/>
      <w:divBdr>
        <w:top w:val="none" w:sz="0" w:space="0" w:color="auto"/>
        <w:left w:val="none" w:sz="0" w:space="0" w:color="auto"/>
        <w:bottom w:val="none" w:sz="0" w:space="0" w:color="auto"/>
        <w:right w:val="none" w:sz="0" w:space="0" w:color="auto"/>
      </w:divBdr>
    </w:div>
    <w:div w:id="751706516">
      <w:bodyDiv w:val="1"/>
      <w:marLeft w:val="0"/>
      <w:marRight w:val="0"/>
      <w:marTop w:val="0"/>
      <w:marBottom w:val="0"/>
      <w:divBdr>
        <w:top w:val="none" w:sz="0" w:space="0" w:color="auto"/>
        <w:left w:val="none" w:sz="0" w:space="0" w:color="auto"/>
        <w:bottom w:val="none" w:sz="0" w:space="0" w:color="auto"/>
        <w:right w:val="none" w:sz="0" w:space="0" w:color="auto"/>
      </w:divBdr>
    </w:div>
    <w:div w:id="755589681">
      <w:bodyDiv w:val="1"/>
      <w:marLeft w:val="0"/>
      <w:marRight w:val="0"/>
      <w:marTop w:val="0"/>
      <w:marBottom w:val="0"/>
      <w:divBdr>
        <w:top w:val="none" w:sz="0" w:space="0" w:color="auto"/>
        <w:left w:val="none" w:sz="0" w:space="0" w:color="auto"/>
        <w:bottom w:val="none" w:sz="0" w:space="0" w:color="auto"/>
        <w:right w:val="none" w:sz="0" w:space="0" w:color="auto"/>
      </w:divBdr>
    </w:div>
    <w:div w:id="792210791">
      <w:bodyDiv w:val="1"/>
      <w:marLeft w:val="0"/>
      <w:marRight w:val="0"/>
      <w:marTop w:val="0"/>
      <w:marBottom w:val="0"/>
      <w:divBdr>
        <w:top w:val="none" w:sz="0" w:space="0" w:color="auto"/>
        <w:left w:val="none" w:sz="0" w:space="0" w:color="auto"/>
        <w:bottom w:val="none" w:sz="0" w:space="0" w:color="auto"/>
        <w:right w:val="none" w:sz="0" w:space="0" w:color="auto"/>
      </w:divBdr>
      <w:divsChild>
        <w:div w:id="1522820274">
          <w:marLeft w:val="600"/>
          <w:marRight w:val="0"/>
          <w:marTop w:val="0"/>
          <w:marBottom w:val="160"/>
          <w:divBdr>
            <w:top w:val="none" w:sz="0" w:space="0" w:color="auto"/>
            <w:left w:val="none" w:sz="0" w:space="0" w:color="auto"/>
            <w:bottom w:val="none" w:sz="0" w:space="0" w:color="auto"/>
            <w:right w:val="none" w:sz="0" w:space="0" w:color="auto"/>
          </w:divBdr>
        </w:div>
        <w:div w:id="2109084312">
          <w:marLeft w:val="600"/>
          <w:marRight w:val="0"/>
          <w:marTop w:val="0"/>
          <w:marBottom w:val="160"/>
          <w:divBdr>
            <w:top w:val="none" w:sz="0" w:space="0" w:color="auto"/>
            <w:left w:val="none" w:sz="0" w:space="0" w:color="auto"/>
            <w:bottom w:val="none" w:sz="0" w:space="0" w:color="auto"/>
            <w:right w:val="none" w:sz="0" w:space="0" w:color="auto"/>
          </w:divBdr>
        </w:div>
      </w:divsChild>
    </w:div>
    <w:div w:id="858004061">
      <w:bodyDiv w:val="1"/>
      <w:marLeft w:val="0"/>
      <w:marRight w:val="0"/>
      <w:marTop w:val="0"/>
      <w:marBottom w:val="0"/>
      <w:divBdr>
        <w:top w:val="none" w:sz="0" w:space="0" w:color="auto"/>
        <w:left w:val="none" w:sz="0" w:space="0" w:color="auto"/>
        <w:bottom w:val="none" w:sz="0" w:space="0" w:color="auto"/>
        <w:right w:val="none" w:sz="0" w:space="0" w:color="auto"/>
      </w:divBdr>
    </w:div>
    <w:div w:id="866212836">
      <w:bodyDiv w:val="1"/>
      <w:marLeft w:val="0"/>
      <w:marRight w:val="0"/>
      <w:marTop w:val="0"/>
      <w:marBottom w:val="0"/>
      <w:divBdr>
        <w:top w:val="none" w:sz="0" w:space="0" w:color="auto"/>
        <w:left w:val="none" w:sz="0" w:space="0" w:color="auto"/>
        <w:bottom w:val="none" w:sz="0" w:space="0" w:color="auto"/>
        <w:right w:val="none" w:sz="0" w:space="0" w:color="auto"/>
      </w:divBdr>
    </w:div>
    <w:div w:id="868028874">
      <w:bodyDiv w:val="1"/>
      <w:marLeft w:val="0"/>
      <w:marRight w:val="0"/>
      <w:marTop w:val="0"/>
      <w:marBottom w:val="0"/>
      <w:divBdr>
        <w:top w:val="none" w:sz="0" w:space="0" w:color="auto"/>
        <w:left w:val="none" w:sz="0" w:space="0" w:color="auto"/>
        <w:bottom w:val="none" w:sz="0" w:space="0" w:color="auto"/>
        <w:right w:val="none" w:sz="0" w:space="0" w:color="auto"/>
      </w:divBdr>
    </w:div>
    <w:div w:id="870337642">
      <w:bodyDiv w:val="1"/>
      <w:marLeft w:val="0"/>
      <w:marRight w:val="0"/>
      <w:marTop w:val="0"/>
      <w:marBottom w:val="0"/>
      <w:divBdr>
        <w:top w:val="none" w:sz="0" w:space="0" w:color="auto"/>
        <w:left w:val="none" w:sz="0" w:space="0" w:color="auto"/>
        <w:bottom w:val="none" w:sz="0" w:space="0" w:color="auto"/>
        <w:right w:val="none" w:sz="0" w:space="0" w:color="auto"/>
      </w:divBdr>
    </w:div>
    <w:div w:id="872037406">
      <w:bodyDiv w:val="1"/>
      <w:marLeft w:val="0"/>
      <w:marRight w:val="0"/>
      <w:marTop w:val="0"/>
      <w:marBottom w:val="0"/>
      <w:divBdr>
        <w:top w:val="none" w:sz="0" w:space="0" w:color="auto"/>
        <w:left w:val="none" w:sz="0" w:space="0" w:color="auto"/>
        <w:bottom w:val="none" w:sz="0" w:space="0" w:color="auto"/>
        <w:right w:val="none" w:sz="0" w:space="0" w:color="auto"/>
      </w:divBdr>
    </w:div>
    <w:div w:id="908921902">
      <w:bodyDiv w:val="1"/>
      <w:marLeft w:val="0"/>
      <w:marRight w:val="0"/>
      <w:marTop w:val="0"/>
      <w:marBottom w:val="0"/>
      <w:divBdr>
        <w:top w:val="none" w:sz="0" w:space="0" w:color="auto"/>
        <w:left w:val="none" w:sz="0" w:space="0" w:color="auto"/>
        <w:bottom w:val="none" w:sz="0" w:space="0" w:color="auto"/>
        <w:right w:val="none" w:sz="0" w:space="0" w:color="auto"/>
      </w:divBdr>
    </w:div>
    <w:div w:id="921068089">
      <w:bodyDiv w:val="1"/>
      <w:marLeft w:val="0"/>
      <w:marRight w:val="0"/>
      <w:marTop w:val="0"/>
      <w:marBottom w:val="0"/>
      <w:divBdr>
        <w:top w:val="none" w:sz="0" w:space="0" w:color="auto"/>
        <w:left w:val="none" w:sz="0" w:space="0" w:color="auto"/>
        <w:bottom w:val="none" w:sz="0" w:space="0" w:color="auto"/>
        <w:right w:val="none" w:sz="0" w:space="0" w:color="auto"/>
      </w:divBdr>
    </w:div>
    <w:div w:id="966660146">
      <w:bodyDiv w:val="1"/>
      <w:marLeft w:val="0"/>
      <w:marRight w:val="0"/>
      <w:marTop w:val="0"/>
      <w:marBottom w:val="0"/>
      <w:divBdr>
        <w:top w:val="none" w:sz="0" w:space="0" w:color="auto"/>
        <w:left w:val="none" w:sz="0" w:space="0" w:color="auto"/>
        <w:bottom w:val="none" w:sz="0" w:space="0" w:color="auto"/>
        <w:right w:val="none" w:sz="0" w:space="0" w:color="auto"/>
      </w:divBdr>
    </w:div>
    <w:div w:id="976370984">
      <w:bodyDiv w:val="1"/>
      <w:marLeft w:val="0"/>
      <w:marRight w:val="0"/>
      <w:marTop w:val="0"/>
      <w:marBottom w:val="0"/>
      <w:divBdr>
        <w:top w:val="none" w:sz="0" w:space="0" w:color="auto"/>
        <w:left w:val="none" w:sz="0" w:space="0" w:color="auto"/>
        <w:bottom w:val="none" w:sz="0" w:space="0" w:color="auto"/>
        <w:right w:val="none" w:sz="0" w:space="0" w:color="auto"/>
      </w:divBdr>
    </w:div>
    <w:div w:id="991525697">
      <w:bodyDiv w:val="1"/>
      <w:marLeft w:val="0"/>
      <w:marRight w:val="0"/>
      <w:marTop w:val="0"/>
      <w:marBottom w:val="0"/>
      <w:divBdr>
        <w:top w:val="none" w:sz="0" w:space="0" w:color="auto"/>
        <w:left w:val="none" w:sz="0" w:space="0" w:color="auto"/>
        <w:bottom w:val="none" w:sz="0" w:space="0" w:color="auto"/>
        <w:right w:val="none" w:sz="0" w:space="0" w:color="auto"/>
      </w:divBdr>
    </w:div>
    <w:div w:id="1001004392">
      <w:bodyDiv w:val="1"/>
      <w:marLeft w:val="0"/>
      <w:marRight w:val="0"/>
      <w:marTop w:val="0"/>
      <w:marBottom w:val="0"/>
      <w:divBdr>
        <w:top w:val="none" w:sz="0" w:space="0" w:color="auto"/>
        <w:left w:val="none" w:sz="0" w:space="0" w:color="auto"/>
        <w:bottom w:val="none" w:sz="0" w:space="0" w:color="auto"/>
        <w:right w:val="none" w:sz="0" w:space="0" w:color="auto"/>
      </w:divBdr>
    </w:div>
    <w:div w:id="1006245339">
      <w:bodyDiv w:val="1"/>
      <w:marLeft w:val="0"/>
      <w:marRight w:val="0"/>
      <w:marTop w:val="0"/>
      <w:marBottom w:val="0"/>
      <w:divBdr>
        <w:top w:val="none" w:sz="0" w:space="0" w:color="auto"/>
        <w:left w:val="none" w:sz="0" w:space="0" w:color="auto"/>
        <w:bottom w:val="none" w:sz="0" w:space="0" w:color="auto"/>
        <w:right w:val="none" w:sz="0" w:space="0" w:color="auto"/>
      </w:divBdr>
    </w:div>
    <w:div w:id="1016426073">
      <w:bodyDiv w:val="1"/>
      <w:marLeft w:val="0"/>
      <w:marRight w:val="0"/>
      <w:marTop w:val="0"/>
      <w:marBottom w:val="0"/>
      <w:divBdr>
        <w:top w:val="none" w:sz="0" w:space="0" w:color="auto"/>
        <w:left w:val="none" w:sz="0" w:space="0" w:color="auto"/>
        <w:bottom w:val="none" w:sz="0" w:space="0" w:color="auto"/>
        <w:right w:val="none" w:sz="0" w:space="0" w:color="auto"/>
      </w:divBdr>
    </w:div>
    <w:div w:id="1032612864">
      <w:bodyDiv w:val="1"/>
      <w:marLeft w:val="0"/>
      <w:marRight w:val="0"/>
      <w:marTop w:val="0"/>
      <w:marBottom w:val="0"/>
      <w:divBdr>
        <w:top w:val="none" w:sz="0" w:space="0" w:color="auto"/>
        <w:left w:val="none" w:sz="0" w:space="0" w:color="auto"/>
        <w:bottom w:val="none" w:sz="0" w:space="0" w:color="auto"/>
        <w:right w:val="none" w:sz="0" w:space="0" w:color="auto"/>
      </w:divBdr>
    </w:div>
    <w:div w:id="1038776713">
      <w:bodyDiv w:val="1"/>
      <w:marLeft w:val="0"/>
      <w:marRight w:val="0"/>
      <w:marTop w:val="0"/>
      <w:marBottom w:val="0"/>
      <w:divBdr>
        <w:top w:val="none" w:sz="0" w:space="0" w:color="auto"/>
        <w:left w:val="none" w:sz="0" w:space="0" w:color="auto"/>
        <w:bottom w:val="none" w:sz="0" w:space="0" w:color="auto"/>
        <w:right w:val="none" w:sz="0" w:space="0" w:color="auto"/>
      </w:divBdr>
    </w:div>
    <w:div w:id="1092626999">
      <w:bodyDiv w:val="1"/>
      <w:marLeft w:val="0"/>
      <w:marRight w:val="0"/>
      <w:marTop w:val="0"/>
      <w:marBottom w:val="0"/>
      <w:divBdr>
        <w:top w:val="none" w:sz="0" w:space="0" w:color="auto"/>
        <w:left w:val="none" w:sz="0" w:space="0" w:color="auto"/>
        <w:bottom w:val="none" w:sz="0" w:space="0" w:color="auto"/>
        <w:right w:val="none" w:sz="0" w:space="0" w:color="auto"/>
      </w:divBdr>
    </w:div>
    <w:div w:id="1129670402">
      <w:bodyDiv w:val="1"/>
      <w:marLeft w:val="0"/>
      <w:marRight w:val="0"/>
      <w:marTop w:val="0"/>
      <w:marBottom w:val="0"/>
      <w:divBdr>
        <w:top w:val="none" w:sz="0" w:space="0" w:color="auto"/>
        <w:left w:val="none" w:sz="0" w:space="0" w:color="auto"/>
        <w:bottom w:val="none" w:sz="0" w:space="0" w:color="auto"/>
        <w:right w:val="none" w:sz="0" w:space="0" w:color="auto"/>
      </w:divBdr>
    </w:div>
    <w:div w:id="1141190649">
      <w:bodyDiv w:val="1"/>
      <w:marLeft w:val="0"/>
      <w:marRight w:val="0"/>
      <w:marTop w:val="0"/>
      <w:marBottom w:val="0"/>
      <w:divBdr>
        <w:top w:val="none" w:sz="0" w:space="0" w:color="auto"/>
        <w:left w:val="none" w:sz="0" w:space="0" w:color="auto"/>
        <w:bottom w:val="none" w:sz="0" w:space="0" w:color="auto"/>
        <w:right w:val="none" w:sz="0" w:space="0" w:color="auto"/>
      </w:divBdr>
    </w:div>
    <w:div w:id="1141314768">
      <w:bodyDiv w:val="1"/>
      <w:marLeft w:val="0"/>
      <w:marRight w:val="0"/>
      <w:marTop w:val="0"/>
      <w:marBottom w:val="0"/>
      <w:divBdr>
        <w:top w:val="none" w:sz="0" w:space="0" w:color="auto"/>
        <w:left w:val="none" w:sz="0" w:space="0" w:color="auto"/>
        <w:bottom w:val="none" w:sz="0" w:space="0" w:color="auto"/>
        <w:right w:val="none" w:sz="0" w:space="0" w:color="auto"/>
      </w:divBdr>
    </w:div>
    <w:div w:id="1149445979">
      <w:bodyDiv w:val="1"/>
      <w:marLeft w:val="0"/>
      <w:marRight w:val="0"/>
      <w:marTop w:val="0"/>
      <w:marBottom w:val="0"/>
      <w:divBdr>
        <w:top w:val="none" w:sz="0" w:space="0" w:color="auto"/>
        <w:left w:val="none" w:sz="0" w:space="0" w:color="auto"/>
        <w:bottom w:val="none" w:sz="0" w:space="0" w:color="auto"/>
        <w:right w:val="none" w:sz="0" w:space="0" w:color="auto"/>
      </w:divBdr>
    </w:div>
    <w:div w:id="1156653258">
      <w:bodyDiv w:val="1"/>
      <w:marLeft w:val="0"/>
      <w:marRight w:val="0"/>
      <w:marTop w:val="0"/>
      <w:marBottom w:val="0"/>
      <w:divBdr>
        <w:top w:val="none" w:sz="0" w:space="0" w:color="auto"/>
        <w:left w:val="none" w:sz="0" w:space="0" w:color="auto"/>
        <w:bottom w:val="none" w:sz="0" w:space="0" w:color="auto"/>
        <w:right w:val="none" w:sz="0" w:space="0" w:color="auto"/>
      </w:divBdr>
    </w:div>
    <w:div w:id="1174959585">
      <w:bodyDiv w:val="1"/>
      <w:marLeft w:val="0"/>
      <w:marRight w:val="0"/>
      <w:marTop w:val="0"/>
      <w:marBottom w:val="0"/>
      <w:divBdr>
        <w:top w:val="none" w:sz="0" w:space="0" w:color="auto"/>
        <w:left w:val="none" w:sz="0" w:space="0" w:color="auto"/>
        <w:bottom w:val="none" w:sz="0" w:space="0" w:color="auto"/>
        <w:right w:val="none" w:sz="0" w:space="0" w:color="auto"/>
      </w:divBdr>
    </w:div>
    <w:div w:id="1223129904">
      <w:bodyDiv w:val="1"/>
      <w:marLeft w:val="0"/>
      <w:marRight w:val="0"/>
      <w:marTop w:val="0"/>
      <w:marBottom w:val="0"/>
      <w:divBdr>
        <w:top w:val="none" w:sz="0" w:space="0" w:color="auto"/>
        <w:left w:val="none" w:sz="0" w:space="0" w:color="auto"/>
        <w:bottom w:val="none" w:sz="0" w:space="0" w:color="auto"/>
        <w:right w:val="none" w:sz="0" w:space="0" w:color="auto"/>
      </w:divBdr>
    </w:div>
    <w:div w:id="1223564300">
      <w:bodyDiv w:val="1"/>
      <w:marLeft w:val="0"/>
      <w:marRight w:val="0"/>
      <w:marTop w:val="0"/>
      <w:marBottom w:val="0"/>
      <w:divBdr>
        <w:top w:val="none" w:sz="0" w:space="0" w:color="auto"/>
        <w:left w:val="none" w:sz="0" w:space="0" w:color="auto"/>
        <w:bottom w:val="none" w:sz="0" w:space="0" w:color="auto"/>
        <w:right w:val="none" w:sz="0" w:space="0" w:color="auto"/>
      </w:divBdr>
    </w:div>
    <w:div w:id="1256137069">
      <w:bodyDiv w:val="1"/>
      <w:marLeft w:val="0"/>
      <w:marRight w:val="0"/>
      <w:marTop w:val="0"/>
      <w:marBottom w:val="0"/>
      <w:divBdr>
        <w:top w:val="none" w:sz="0" w:space="0" w:color="auto"/>
        <w:left w:val="none" w:sz="0" w:space="0" w:color="auto"/>
        <w:bottom w:val="none" w:sz="0" w:space="0" w:color="auto"/>
        <w:right w:val="none" w:sz="0" w:space="0" w:color="auto"/>
      </w:divBdr>
    </w:div>
    <w:div w:id="1258758412">
      <w:bodyDiv w:val="1"/>
      <w:marLeft w:val="0"/>
      <w:marRight w:val="0"/>
      <w:marTop w:val="0"/>
      <w:marBottom w:val="0"/>
      <w:divBdr>
        <w:top w:val="none" w:sz="0" w:space="0" w:color="auto"/>
        <w:left w:val="none" w:sz="0" w:space="0" w:color="auto"/>
        <w:bottom w:val="none" w:sz="0" w:space="0" w:color="auto"/>
        <w:right w:val="none" w:sz="0" w:space="0" w:color="auto"/>
      </w:divBdr>
    </w:div>
    <w:div w:id="1265529353">
      <w:bodyDiv w:val="1"/>
      <w:marLeft w:val="0"/>
      <w:marRight w:val="0"/>
      <w:marTop w:val="0"/>
      <w:marBottom w:val="0"/>
      <w:divBdr>
        <w:top w:val="none" w:sz="0" w:space="0" w:color="auto"/>
        <w:left w:val="none" w:sz="0" w:space="0" w:color="auto"/>
        <w:bottom w:val="none" w:sz="0" w:space="0" w:color="auto"/>
        <w:right w:val="none" w:sz="0" w:space="0" w:color="auto"/>
      </w:divBdr>
    </w:div>
    <w:div w:id="1290934349">
      <w:bodyDiv w:val="1"/>
      <w:marLeft w:val="0"/>
      <w:marRight w:val="0"/>
      <w:marTop w:val="0"/>
      <w:marBottom w:val="0"/>
      <w:divBdr>
        <w:top w:val="none" w:sz="0" w:space="0" w:color="auto"/>
        <w:left w:val="none" w:sz="0" w:space="0" w:color="auto"/>
        <w:bottom w:val="none" w:sz="0" w:space="0" w:color="auto"/>
        <w:right w:val="none" w:sz="0" w:space="0" w:color="auto"/>
      </w:divBdr>
    </w:div>
    <w:div w:id="1334726272">
      <w:bodyDiv w:val="1"/>
      <w:marLeft w:val="0"/>
      <w:marRight w:val="0"/>
      <w:marTop w:val="0"/>
      <w:marBottom w:val="0"/>
      <w:divBdr>
        <w:top w:val="none" w:sz="0" w:space="0" w:color="auto"/>
        <w:left w:val="none" w:sz="0" w:space="0" w:color="auto"/>
        <w:bottom w:val="none" w:sz="0" w:space="0" w:color="auto"/>
        <w:right w:val="none" w:sz="0" w:space="0" w:color="auto"/>
      </w:divBdr>
    </w:div>
    <w:div w:id="1361474087">
      <w:bodyDiv w:val="1"/>
      <w:marLeft w:val="0"/>
      <w:marRight w:val="0"/>
      <w:marTop w:val="0"/>
      <w:marBottom w:val="0"/>
      <w:divBdr>
        <w:top w:val="none" w:sz="0" w:space="0" w:color="auto"/>
        <w:left w:val="none" w:sz="0" w:space="0" w:color="auto"/>
        <w:bottom w:val="none" w:sz="0" w:space="0" w:color="auto"/>
        <w:right w:val="none" w:sz="0" w:space="0" w:color="auto"/>
      </w:divBdr>
    </w:div>
    <w:div w:id="1387609702">
      <w:bodyDiv w:val="1"/>
      <w:marLeft w:val="0"/>
      <w:marRight w:val="0"/>
      <w:marTop w:val="0"/>
      <w:marBottom w:val="0"/>
      <w:divBdr>
        <w:top w:val="none" w:sz="0" w:space="0" w:color="auto"/>
        <w:left w:val="none" w:sz="0" w:space="0" w:color="auto"/>
        <w:bottom w:val="none" w:sz="0" w:space="0" w:color="auto"/>
        <w:right w:val="none" w:sz="0" w:space="0" w:color="auto"/>
      </w:divBdr>
    </w:div>
    <w:div w:id="1428185879">
      <w:bodyDiv w:val="1"/>
      <w:marLeft w:val="0"/>
      <w:marRight w:val="0"/>
      <w:marTop w:val="0"/>
      <w:marBottom w:val="0"/>
      <w:divBdr>
        <w:top w:val="none" w:sz="0" w:space="0" w:color="auto"/>
        <w:left w:val="none" w:sz="0" w:space="0" w:color="auto"/>
        <w:bottom w:val="none" w:sz="0" w:space="0" w:color="auto"/>
        <w:right w:val="none" w:sz="0" w:space="0" w:color="auto"/>
      </w:divBdr>
    </w:div>
    <w:div w:id="1430586901">
      <w:bodyDiv w:val="1"/>
      <w:marLeft w:val="0"/>
      <w:marRight w:val="0"/>
      <w:marTop w:val="0"/>
      <w:marBottom w:val="0"/>
      <w:divBdr>
        <w:top w:val="none" w:sz="0" w:space="0" w:color="auto"/>
        <w:left w:val="none" w:sz="0" w:space="0" w:color="auto"/>
        <w:bottom w:val="none" w:sz="0" w:space="0" w:color="auto"/>
        <w:right w:val="none" w:sz="0" w:space="0" w:color="auto"/>
      </w:divBdr>
    </w:div>
    <w:div w:id="1444501201">
      <w:bodyDiv w:val="1"/>
      <w:marLeft w:val="0"/>
      <w:marRight w:val="0"/>
      <w:marTop w:val="0"/>
      <w:marBottom w:val="0"/>
      <w:divBdr>
        <w:top w:val="none" w:sz="0" w:space="0" w:color="auto"/>
        <w:left w:val="none" w:sz="0" w:space="0" w:color="auto"/>
        <w:bottom w:val="none" w:sz="0" w:space="0" w:color="auto"/>
        <w:right w:val="none" w:sz="0" w:space="0" w:color="auto"/>
      </w:divBdr>
    </w:div>
    <w:div w:id="1471363316">
      <w:bodyDiv w:val="1"/>
      <w:marLeft w:val="0"/>
      <w:marRight w:val="0"/>
      <w:marTop w:val="0"/>
      <w:marBottom w:val="0"/>
      <w:divBdr>
        <w:top w:val="none" w:sz="0" w:space="0" w:color="auto"/>
        <w:left w:val="none" w:sz="0" w:space="0" w:color="auto"/>
        <w:bottom w:val="none" w:sz="0" w:space="0" w:color="auto"/>
        <w:right w:val="none" w:sz="0" w:space="0" w:color="auto"/>
      </w:divBdr>
    </w:div>
    <w:div w:id="1484816232">
      <w:bodyDiv w:val="1"/>
      <w:marLeft w:val="0"/>
      <w:marRight w:val="0"/>
      <w:marTop w:val="0"/>
      <w:marBottom w:val="0"/>
      <w:divBdr>
        <w:top w:val="none" w:sz="0" w:space="0" w:color="auto"/>
        <w:left w:val="none" w:sz="0" w:space="0" w:color="auto"/>
        <w:bottom w:val="none" w:sz="0" w:space="0" w:color="auto"/>
        <w:right w:val="none" w:sz="0" w:space="0" w:color="auto"/>
      </w:divBdr>
    </w:div>
    <w:div w:id="1519733210">
      <w:bodyDiv w:val="1"/>
      <w:marLeft w:val="0"/>
      <w:marRight w:val="0"/>
      <w:marTop w:val="0"/>
      <w:marBottom w:val="0"/>
      <w:divBdr>
        <w:top w:val="none" w:sz="0" w:space="0" w:color="auto"/>
        <w:left w:val="none" w:sz="0" w:space="0" w:color="auto"/>
        <w:bottom w:val="none" w:sz="0" w:space="0" w:color="auto"/>
        <w:right w:val="none" w:sz="0" w:space="0" w:color="auto"/>
      </w:divBdr>
    </w:div>
    <w:div w:id="1528711402">
      <w:bodyDiv w:val="1"/>
      <w:marLeft w:val="0"/>
      <w:marRight w:val="0"/>
      <w:marTop w:val="0"/>
      <w:marBottom w:val="0"/>
      <w:divBdr>
        <w:top w:val="none" w:sz="0" w:space="0" w:color="auto"/>
        <w:left w:val="none" w:sz="0" w:space="0" w:color="auto"/>
        <w:bottom w:val="none" w:sz="0" w:space="0" w:color="auto"/>
        <w:right w:val="none" w:sz="0" w:space="0" w:color="auto"/>
      </w:divBdr>
    </w:div>
    <w:div w:id="1542018618">
      <w:bodyDiv w:val="1"/>
      <w:marLeft w:val="0"/>
      <w:marRight w:val="0"/>
      <w:marTop w:val="0"/>
      <w:marBottom w:val="0"/>
      <w:divBdr>
        <w:top w:val="none" w:sz="0" w:space="0" w:color="auto"/>
        <w:left w:val="none" w:sz="0" w:space="0" w:color="auto"/>
        <w:bottom w:val="none" w:sz="0" w:space="0" w:color="auto"/>
        <w:right w:val="none" w:sz="0" w:space="0" w:color="auto"/>
      </w:divBdr>
    </w:div>
    <w:div w:id="1563052983">
      <w:bodyDiv w:val="1"/>
      <w:marLeft w:val="0"/>
      <w:marRight w:val="0"/>
      <w:marTop w:val="0"/>
      <w:marBottom w:val="0"/>
      <w:divBdr>
        <w:top w:val="none" w:sz="0" w:space="0" w:color="auto"/>
        <w:left w:val="none" w:sz="0" w:space="0" w:color="auto"/>
        <w:bottom w:val="none" w:sz="0" w:space="0" w:color="auto"/>
        <w:right w:val="none" w:sz="0" w:space="0" w:color="auto"/>
      </w:divBdr>
    </w:div>
    <w:div w:id="1587423324">
      <w:bodyDiv w:val="1"/>
      <w:marLeft w:val="0"/>
      <w:marRight w:val="0"/>
      <w:marTop w:val="0"/>
      <w:marBottom w:val="0"/>
      <w:divBdr>
        <w:top w:val="none" w:sz="0" w:space="0" w:color="auto"/>
        <w:left w:val="none" w:sz="0" w:space="0" w:color="auto"/>
        <w:bottom w:val="none" w:sz="0" w:space="0" w:color="auto"/>
        <w:right w:val="none" w:sz="0" w:space="0" w:color="auto"/>
      </w:divBdr>
    </w:div>
    <w:div w:id="1604727802">
      <w:bodyDiv w:val="1"/>
      <w:marLeft w:val="0"/>
      <w:marRight w:val="0"/>
      <w:marTop w:val="0"/>
      <w:marBottom w:val="0"/>
      <w:divBdr>
        <w:top w:val="none" w:sz="0" w:space="0" w:color="auto"/>
        <w:left w:val="none" w:sz="0" w:space="0" w:color="auto"/>
        <w:bottom w:val="none" w:sz="0" w:space="0" w:color="auto"/>
        <w:right w:val="none" w:sz="0" w:space="0" w:color="auto"/>
      </w:divBdr>
    </w:div>
    <w:div w:id="1607226576">
      <w:bodyDiv w:val="1"/>
      <w:marLeft w:val="0"/>
      <w:marRight w:val="0"/>
      <w:marTop w:val="0"/>
      <w:marBottom w:val="0"/>
      <w:divBdr>
        <w:top w:val="none" w:sz="0" w:space="0" w:color="auto"/>
        <w:left w:val="none" w:sz="0" w:space="0" w:color="auto"/>
        <w:bottom w:val="none" w:sz="0" w:space="0" w:color="auto"/>
        <w:right w:val="none" w:sz="0" w:space="0" w:color="auto"/>
      </w:divBdr>
    </w:div>
    <w:div w:id="1629122514">
      <w:bodyDiv w:val="1"/>
      <w:marLeft w:val="0"/>
      <w:marRight w:val="0"/>
      <w:marTop w:val="0"/>
      <w:marBottom w:val="0"/>
      <w:divBdr>
        <w:top w:val="none" w:sz="0" w:space="0" w:color="auto"/>
        <w:left w:val="none" w:sz="0" w:space="0" w:color="auto"/>
        <w:bottom w:val="none" w:sz="0" w:space="0" w:color="auto"/>
        <w:right w:val="none" w:sz="0" w:space="0" w:color="auto"/>
      </w:divBdr>
    </w:div>
    <w:div w:id="1640039314">
      <w:bodyDiv w:val="1"/>
      <w:marLeft w:val="0"/>
      <w:marRight w:val="0"/>
      <w:marTop w:val="0"/>
      <w:marBottom w:val="0"/>
      <w:divBdr>
        <w:top w:val="none" w:sz="0" w:space="0" w:color="auto"/>
        <w:left w:val="none" w:sz="0" w:space="0" w:color="auto"/>
        <w:bottom w:val="none" w:sz="0" w:space="0" w:color="auto"/>
        <w:right w:val="none" w:sz="0" w:space="0" w:color="auto"/>
      </w:divBdr>
    </w:div>
    <w:div w:id="1647126929">
      <w:bodyDiv w:val="1"/>
      <w:marLeft w:val="0"/>
      <w:marRight w:val="0"/>
      <w:marTop w:val="0"/>
      <w:marBottom w:val="0"/>
      <w:divBdr>
        <w:top w:val="none" w:sz="0" w:space="0" w:color="auto"/>
        <w:left w:val="none" w:sz="0" w:space="0" w:color="auto"/>
        <w:bottom w:val="none" w:sz="0" w:space="0" w:color="auto"/>
        <w:right w:val="none" w:sz="0" w:space="0" w:color="auto"/>
      </w:divBdr>
    </w:div>
    <w:div w:id="1649245608">
      <w:bodyDiv w:val="1"/>
      <w:marLeft w:val="0"/>
      <w:marRight w:val="0"/>
      <w:marTop w:val="0"/>
      <w:marBottom w:val="0"/>
      <w:divBdr>
        <w:top w:val="none" w:sz="0" w:space="0" w:color="auto"/>
        <w:left w:val="none" w:sz="0" w:space="0" w:color="auto"/>
        <w:bottom w:val="none" w:sz="0" w:space="0" w:color="auto"/>
        <w:right w:val="none" w:sz="0" w:space="0" w:color="auto"/>
      </w:divBdr>
    </w:div>
    <w:div w:id="1653019664">
      <w:bodyDiv w:val="1"/>
      <w:marLeft w:val="0"/>
      <w:marRight w:val="0"/>
      <w:marTop w:val="0"/>
      <w:marBottom w:val="0"/>
      <w:divBdr>
        <w:top w:val="none" w:sz="0" w:space="0" w:color="auto"/>
        <w:left w:val="none" w:sz="0" w:space="0" w:color="auto"/>
        <w:bottom w:val="none" w:sz="0" w:space="0" w:color="auto"/>
        <w:right w:val="none" w:sz="0" w:space="0" w:color="auto"/>
      </w:divBdr>
    </w:div>
    <w:div w:id="1656184838">
      <w:bodyDiv w:val="1"/>
      <w:marLeft w:val="0"/>
      <w:marRight w:val="0"/>
      <w:marTop w:val="0"/>
      <w:marBottom w:val="0"/>
      <w:divBdr>
        <w:top w:val="none" w:sz="0" w:space="0" w:color="auto"/>
        <w:left w:val="none" w:sz="0" w:space="0" w:color="auto"/>
        <w:bottom w:val="none" w:sz="0" w:space="0" w:color="auto"/>
        <w:right w:val="none" w:sz="0" w:space="0" w:color="auto"/>
      </w:divBdr>
    </w:div>
    <w:div w:id="1772311853">
      <w:bodyDiv w:val="1"/>
      <w:marLeft w:val="0"/>
      <w:marRight w:val="0"/>
      <w:marTop w:val="0"/>
      <w:marBottom w:val="0"/>
      <w:divBdr>
        <w:top w:val="none" w:sz="0" w:space="0" w:color="auto"/>
        <w:left w:val="none" w:sz="0" w:space="0" w:color="auto"/>
        <w:bottom w:val="none" w:sz="0" w:space="0" w:color="auto"/>
        <w:right w:val="none" w:sz="0" w:space="0" w:color="auto"/>
      </w:divBdr>
    </w:div>
    <w:div w:id="1773740794">
      <w:bodyDiv w:val="1"/>
      <w:marLeft w:val="0"/>
      <w:marRight w:val="0"/>
      <w:marTop w:val="0"/>
      <w:marBottom w:val="0"/>
      <w:divBdr>
        <w:top w:val="none" w:sz="0" w:space="0" w:color="auto"/>
        <w:left w:val="none" w:sz="0" w:space="0" w:color="auto"/>
        <w:bottom w:val="none" w:sz="0" w:space="0" w:color="auto"/>
        <w:right w:val="none" w:sz="0" w:space="0" w:color="auto"/>
      </w:divBdr>
    </w:div>
    <w:div w:id="1798521762">
      <w:bodyDiv w:val="1"/>
      <w:marLeft w:val="0"/>
      <w:marRight w:val="0"/>
      <w:marTop w:val="0"/>
      <w:marBottom w:val="0"/>
      <w:divBdr>
        <w:top w:val="none" w:sz="0" w:space="0" w:color="auto"/>
        <w:left w:val="none" w:sz="0" w:space="0" w:color="auto"/>
        <w:bottom w:val="none" w:sz="0" w:space="0" w:color="auto"/>
        <w:right w:val="none" w:sz="0" w:space="0" w:color="auto"/>
      </w:divBdr>
    </w:div>
    <w:div w:id="1846049723">
      <w:bodyDiv w:val="1"/>
      <w:marLeft w:val="0"/>
      <w:marRight w:val="0"/>
      <w:marTop w:val="0"/>
      <w:marBottom w:val="0"/>
      <w:divBdr>
        <w:top w:val="none" w:sz="0" w:space="0" w:color="auto"/>
        <w:left w:val="none" w:sz="0" w:space="0" w:color="auto"/>
        <w:bottom w:val="none" w:sz="0" w:space="0" w:color="auto"/>
        <w:right w:val="none" w:sz="0" w:space="0" w:color="auto"/>
      </w:divBdr>
    </w:div>
    <w:div w:id="1856572185">
      <w:bodyDiv w:val="1"/>
      <w:marLeft w:val="0"/>
      <w:marRight w:val="0"/>
      <w:marTop w:val="0"/>
      <w:marBottom w:val="0"/>
      <w:divBdr>
        <w:top w:val="none" w:sz="0" w:space="0" w:color="auto"/>
        <w:left w:val="none" w:sz="0" w:space="0" w:color="auto"/>
        <w:bottom w:val="none" w:sz="0" w:space="0" w:color="auto"/>
        <w:right w:val="none" w:sz="0" w:space="0" w:color="auto"/>
      </w:divBdr>
    </w:div>
    <w:div w:id="1868173538">
      <w:bodyDiv w:val="1"/>
      <w:marLeft w:val="0"/>
      <w:marRight w:val="0"/>
      <w:marTop w:val="0"/>
      <w:marBottom w:val="0"/>
      <w:divBdr>
        <w:top w:val="none" w:sz="0" w:space="0" w:color="auto"/>
        <w:left w:val="none" w:sz="0" w:space="0" w:color="auto"/>
        <w:bottom w:val="none" w:sz="0" w:space="0" w:color="auto"/>
        <w:right w:val="none" w:sz="0" w:space="0" w:color="auto"/>
      </w:divBdr>
    </w:div>
    <w:div w:id="1870409426">
      <w:bodyDiv w:val="1"/>
      <w:marLeft w:val="0"/>
      <w:marRight w:val="0"/>
      <w:marTop w:val="0"/>
      <w:marBottom w:val="0"/>
      <w:divBdr>
        <w:top w:val="none" w:sz="0" w:space="0" w:color="auto"/>
        <w:left w:val="none" w:sz="0" w:space="0" w:color="auto"/>
        <w:bottom w:val="none" w:sz="0" w:space="0" w:color="auto"/>
        <w:right w:val="none" w:sz="0" w:space="0" w:color="auto"/>
      </w:divBdr>
    </w:div>
    <w:div w:id="1873223103">
      <w:bodyDiv w:val="1"/>
      <w:marLeft w:val="0"/>
      <w:marRight w:val="0"/>
      <w:marTop w:val="0"/>
      <w:marBottom w:val="0"/>
      <w:divBdr>
        <w:top w:val="none" w:sz="0" w:space="0" w:color="auto"/>
        <w:left w:val="none" w:sz="0" w:space="0" w:color="auto"/>
        <w:bottom w:val="none" w:sz="0" w:space="0" w:color="auto"/>
        <w:right w:val="none" w:sz="0" w:space="0" w:color="auto"/>
      </w:divBdr>
    </w:div>
    <w:div w:id="1893494754">
      <w:bodyDiv w:val="1"/>
      <w:marLeft w:val="0"/>
      <w:marRight w:val="0"/>
      <w:marTop w:val="0"/>
      <w:marBottom w:val="0"/>
      <w:divBdr>
        <w:top w:val="none" w:sz="0" w:space="0" w:color="auto"/>
        <w:left w:val="none" w:sz="0" w:space="0" w:color="auto"/>
        <w:bottom w:val="none" w:sz="0" w:space="0" w:color="auto"/>
        <w:right w:val="none" w:sz="0" w:space="0" w:color="auto"/>
      </w:divBdr>
    </w:div>
    <w:div w:id="1921408638">
      <w:bodyDiv w:val="1"/>
      <w:marLeft w:val="0"/>
      <w:marRight w:val="0"/>
      <w:marTop w:val="0"/>
      <w:marBottom w:val="0"/>
      <w:divBdr>
        <w:top w:val="none" w:sz="0" w:space="0" w:color="auto"/>
        <w:left w:val="none" w:sz="0" w:space="0" w:color="auto"/>
        <w:bottom w:val="none" w:sz="0" w:space="0" w:color="auto"/>
        <w:right w:val="none" w:sz="0" w:space="0" w:color="auto"/>
      </w:divBdr>
    </w:div>
    <w:div w:id="1931308646">
      <w:bodyDiv w:val="1"/>
      <w:marLeft w:val="0"/>
      <w:marRight w:val="0"/>
      <w:marTop w:val="0"/>
      <w:marBottom w:val="0"/>
      <w:divBdr>
        <w:top w:val="none" w:sz="0" w:space="0" w:color="auto"/>
        <w:left w:val="none" w:sz="0" w:space="0" w:color="auto"/>
        <w:bottom w:val="none" w:sz="0" w:space="0" w:color="auto"/>
        <w:right w:val="none" w:sz="0" w:space="0" w:color="auto"/>
      </w:divBdr>
    </w:div>
    <w:div w:id="1962950709">
      <w:bodyDiv w:val="1"/>
      <w:marLeft w:val="0"/>
      <w:marRight w:val="0"/>
      <w:marTop w:val="0"/>
      <w:marBottom w:val="0"/>
      <w:divBdr>
        <w:top w:val="none" w:sz="0" w:space="0" w:color="auto"/>
        <w:left w:val="none" w:sz="0" w:space="0" w:color="auto"/>
        <w:bottom w:val="none" w:sz="0" w:space="0" w:color="auto"/>
        <w:right w:val="none" w:sz="0" w:space="0" w:color="auto"/>
      </w:divBdr>
    </w:div>
    <w:div w:id="1982223513">
      <w:bodyDiv w:val="1"/>
      <w:marLeft w:val="0"/>
      <w:marRight w:val="0"/>
      <w:marTop w:val="0"/>
      <w:marBottom w:val="0"/>
      <w:divBdr>
        <w:top w:val="none" w:sz="0" w:space="0" w:color="auto"/>
        <w:left w:val="none" w:sz="0" w:space="0" w:color="auto"/>
        <w:bottom w:val="none" w:sz="0" w:space="0" w:color="auto"/>
        <w:right w:val="none" w:sz="0" w:space="0" w:color="auto"/>
      </w:divBdr>
    </w:div>
    <w:div w:id="2004308490">
      <w:bodyDiv w:val="1"/>
      <w:marLeft w:val="0"/>
      <w:marRight w:val="0"/>
      <w:marTop w:val="0"/>
      <w:marBottom w:val="0"/>
      <w:divBdr>
        <w:top w:val="none" w:sz="0" w:space="0" w:color="auto"/>
        <w:left w:val="none" w:sz="0" w:space="0" w:color="auto"/>
        <w:bottom w:val="none" w:sz="0" w:space="0" w:color="auto"/>
        <w:right w:val="none" w:sz="0" w:space="0" w:color="auto"/>
      </w:divBdr>
    </w:div>
    <w:div w:id="2014449505">
      <w:bodyDiv w:val="1"/>
      <w:marLeft w:val="0"/>
      <w:marRight w:val="0"/>
      <w:marTop w:val="0"/>
      <w:marBottom w:val="0"/>
      <w:divBdr>
        <w:top w:val="none" w:sz="0" w:space="0" w:color="auto"/>
        <w:left w:val="none" w:sz="0" w:space="0" w:color="auto"/>
        <w:bottom w:val="none" w:sz="0" w:space="0" w:color="auto"/>
        <w:right w:val="none" w:sz="0" w:space="0" w:color="auto"/>
      </w:divBdr>
    </w:div>
    <w:div w:id="2024934484">
      <w:bodyDiv w:val="1"/>
      <w:marLeft w:val="0"/>
      <w:marRight w:val="0"/>
      <w:marTop w:val="0"/>
      <w:marBottom w:val="0"/>
      <w:divBdr>
        <w:top w:val="none" w:sz="0" w:space="0" w:color="auto"/>
        <w:left w:val="none" w:sz="0" w:space="0" w:color="auto"/>
        <w:bottom w:val="none" w:sz="0" w:space="0" w:color="auto"/>
        <w:right w:val="none" w:sz="0" w:space="0" w:color="auto"/>
      </w:divBdr>
    </w:div>
    <w:div w:id="2037152956">
      <w:bodyDiv w:val="1"/>
      <w:marLeft w:val="0"/>
      <w:marRight w:val="0"/>
      <w:marTop w:val="0"/>
      <w:marBottom w:val="0"/>
      <w:divBdr>
        <w:top w:val="none" w:sz="0" w:space="0" w:color="auto"/>
        <w:left w:val="none" w:sz="0" w:space="0" w:color="auto"/>
        <w:bottom w:val="none" w:sz="0" w:space="0" w:color="auto"/>
        <w:right w:val="none" w:sz="0" w:space="0" w:color="auto"/>
      </w:divBdr>
    </w:div>
    <w:div w:id="2046827178">
      <w:bodyDiv w:val="1"/>
      <w:marLeft w:val="0"/>
      <w:marRight w:val="0"/>
      <w:marTop w:val="0"/>
      <w:marBottom w:val="0"/>
      <w:divBdr>
        <w:top w:val="none" w:sz="0" w:space="0" w:color="auto"/>
        <w:left w:val="none" w:sz="0" w:space="0" w:color="auto"/>
        <w:bottom w:val="none" w:sz="0" w:space="0" w:color="auto"/>
        <w:right w:val="none" w:sz="0" w:space="0" w:color="auto"/>
      </w:divBdr>
    </w:div>
    <w:div w:id="2053144188">
      <w:bodyDiv w:val="1"/>
      <w:marLeft w:val="0"/>
      <w:marRight w:val="0"/>
      <w:marTop w:val="0"/>
      <w:marBottom w:val="0"/>
      <w:divBdr>
        <w:top w:val="none" w:sz="0" w:space="0" w:color="auto"/>
        <w:left w:val="none" w:sz="0" w:space="0" w:color="auto"/>
        <w:bottom w:val="none" w:sz="0" w:space="0" w:color="auto"/>
        <w:right w:val="none" w:sz="0" w:space="0" w:color="auto"/>
      </w:divBdr>
    </w:div>
    <w:div w:id="2063096743">
      <w:bodyDiv w:val="1"/>
      <w:marLeft w:val="0"/>
      <w:marRight w:val="0"/>
      <w:marTop w:val="0"/>
      <w:marBottom w:val="0"/>
      <w:divBdr>
        <w:top w:val="none" w:sz="0" w:space="0" w:color="auto"/>
        <w:left w:val="none" w:sz="0" w:space="0" w:color="auto"/>
        <w:bottom w:val="none" w:sz="0" w:space="0" w:color="auto"/>
        <w:right w:val="none" w:sz="0" w:space="0" w:color="auto"/>
      </w:divBdr>
    </w:div>
    <w:div w:id="2087608933">
      <w:bodyDiv w:val="1"/>
      <w:marLeft w:val="0"/>
      <w:marRight w:val="0"/>
      <w:marTop w:val="0"/>
      <w:marBottom w:val="0"/>
      <w:divBdr>
        <w:top w:val="none" w:sz="0" w:space="0" w:color="auto"/>
        <w:left w:val="none" w:sz="0" w:space="0" w:color="auto"/>
        <w:bottom w:val="none" w:sz="0" w:space="0" w:color="auto"/>
        <w:right w:val="none" w:sz="0" w:space="0" w:color="auto"/>
      </w:divBdr>
    </w:div>
    <w:div w:id="21049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ac.uk/mediav8/equality-diversity-and-inclusion/NU%20-%20EDI%20Strategy%2028022020%20FINAL%20w.Logo.pdf"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necto.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l.ac.uk/mediav8/who-we-are/files/APP%20summary%202025-26%20to%202028-29.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ncl.ac.uk/heritage/research/current-projects/campus-legac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l.ac.uk/edi/gender/duty/"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A7D32-03A8-4A4A-9E52-EEB2C7A6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78</Pages>
  <Words>14537</Words>
  <Characters>82866</Characters>
  <Application>Microsoft Office Word</Application>
  <DocSecurity>2</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97209</CharactersWithSpaces>
  <SharedDoc>false</SharedDoc>
  <HLinks>
    <vt:vector size="30" baseType="variant">
      <vt:variant>
        <vt:i4>1835020</vt:i4>
      </vt:variant>
      <vt:variant>
        <vt:i4>12</vt:i4>
      </vt:variant>
      <vt:variant>
        <vt:i4>0</vt:i4>
      </vt:variant>
      <vt:variant>
        <vt:i4>5</vt:i4>
      </vt:variant>
      <vt:variant>
        <vt:lpwstr>https://www.ncl.ac.uk/mediav8/who-we-are/files/APP summary 2025-26 to 2028-29.pdf</vt:lpwstr>
      </vt:variant>
      <vt:variant>
        <vt:lpwstr/>
      </vt:variant>
      <vt:variant>
        <vt:i4>1835028</vt:i4>
      </vt:variant>
      <vt:variant>
        <vt:i4>9</vt:i4>
      </vt:variant>
      <vt:variant>
        <vt:i4>0</vt:i4>
      </vt:variant>
      <vt:variant>
        <vt:i4>5</vt:i4>
      </vt:variant>
      <vt:variant>
        <vt:lpwstr>https://www.ncl.ac.uk/heritage/research/current-projects/campus-legacies/</vt:lpwstr>
      </vt:variant>
      <vt:variant>
        <vt:lpwstr/>
      </vt:variant>
      <vt:variant>
        <vt:i4>3670025</vt:i4>
      </vt:variant>
      <vt:variant>
        <vt:i4>6</vt:i4>
      </vt:variant>
      <vt:variant>
        <vt:i4>0</vt:i4>
      </vt:variant>
      <vt:variant>
        <vt:i4>5</vt:i4>
      </vt:variant>
      <vt:variant>
        <vt:lpwstr>mailto:ncf137@newcastle.ac.uk</vt:lpwstr>
      </vt:variant>
      <vt:variant>
        <vt:lpwstr/>
      </vt:variant>
      <vt:variant>
        <vt:i4>3866661</vt:i4>
      </vt:variant>
      <vt:variant>
        <vt:i4>3</vt:i4>
      </vt:variant>
      <vt:variant>
        <vt:i4>0</vt:i4>
      </vt:variant>
      <vt:variant>
        <vt:i4>5</vt:i4>
      </vt:variant>
      <vt:variant>
        <vt:lpwstr>https://www.ncl.ac.uk/edi/gender/duty/</vt:lpwstr>
      </vt:variant>
      <vt:variant>
        <vt:lpwstr/>
      </vt:variant>
      <vt:variant>
        <vt:i4>7667833</vt:i4>
      </vt:variant>
      <vt:variant>
        <vt:i4>0</vt:i4>
      </vt:variant>
      <vt:variant>
        <vt:i4>0</vt:i4>
      </vt:variant>
      <vt:variant>
        <vt:i4>5</vt:i4>
      </vt:variant>
      <vt:variant>
        <vt:lpwstr>https://www.ncl.ac.uk/mediav8/equality-diversity-and-inclusion/NU - EDI Strategy 28022020 FINAL w.Logo.pdf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Fox</dc:creator>
  <cp:keywords/>
  <dc:description/>
  <cp:lastModifiedBy>Caroline Fox</cp:lastModifiedBy>
  <cp:revision>112</cp:revision>
  <dcterms:created xsi:type="dcterms:W3CDTF">2026-01-23T10:58:00Z</dcterms:created>
  <dcterms:modified xsi:type="dcterms:W3CDTF">2026-01-27T11:34:00Z</dcterms:modified>
</cp:coreProperties>
</file>